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115F" w14:textId="77777777" w:rsidR="00C02D8D" w:rsidRPr="001302C3" w:rsidRDefault="00C02D8D" w:rsidP="00C02D8D">
      <w:pPr>
        <w:spacing w:after="101" w:line="276" w:lineRule="auto"/>
        <w:ind w:right="-1"/>
        <w:jc w:val="center"/>
        <w:rPr>
          <w:rFonts w:ascii="Gotham" w:eastAsia="Times New Roman" w:hAnsi="Gotham" w:cs="Arial"/>
          <w:b/>
          <w:noProof/>
          <w:sz w:val="18"/>
          <w:szCs w:val="18"/>
          <w:lang w:val="es-MX" w:eastAsia="es-ES"/>
        </w:rPr>
      </w:pPr>
      <w:bookmarkStart w:id="0" w:name="_Hlk99539704"/>
      <w:bookmarkStart w:id="1" w:name="_Hlk99539725"/>
      <w:r w:rsidRPr="001302C3">
        <w:rPr>
          <w:rFonts w:ascii="Gotham" w:eastAsia="Times New Roman" w:hAnsi="Gotham" w:cs="Arial"/>
          <w:b/>
          <w:noProof/>
          <w:sz w:val="18"/>
          <w:szCs w:val="18"/>
          <w:lang w:val="es-MX" w:eastAsia="es-ES"/>
        </w:rPr>
        <w:t>NOTAS A LOS ESTADOS FINANCIEROS</w:t>
      </w:r>
    </w:p>
    <w:p w14:paraId="0D88424E" w14:textId="77777777" w:rsidR="00C02D8D" w:rsidRPr="001302C3" w:rsidRDefault="00C02D8D" w:rsidP="00C02D8D">
      <w:pPr>
        <w:spacing w:line="276" w:lineRule="auto"/>
        <w:ind w:right="-1"/>
        <w:jc w:val="center"/>
        <w:outlineLvl w:val="0"/>
        <w:rPr>
          <w:rFonts w:ascii="Gotham" w:hAnsi="Gotham" w:cs="Times New Roman"/>
          <w:noProof/>
          <w:sz w:val="18"/>
          <w:szCs w:val="18"/>
          <w:lang w:val="es-MX"/>
        </w:rPr>
      </w:pPr>
      <w:r w:rsidRPr="001302C3">
        <w:rPr>
          <w:rFonts w:ascii="Gotham" w:hAnsi="Gotham" w:cs="Times New Roman"/>
          <w:b/>
          <w:noProof/>
          <w:sz w:val="18"/>
          <w:szCs w:val="18"/>
          <w:lang w:val="es-MX"/>
        </w:rPr>
        <w:t xml:space="preserve">Entidad: </w:t>
      </w:r>
      <w:r w:rsidRPr="001302C3">
        <w:rPr>
          <w:rFonts w:ascii="Gotham" w:hAnsi="Gotham" w:cs="Times New Roman"/>
          <w:noProof/>
          <w:sz w:val="18"/>
          <w:szCs w:val="18"/>
          <w:u w:val="single"/>
          <w:lang w:val="es-MX"/>
        </w:rPr>
        <w:t>Instituto de la Función Registral del Estado de México</w:t>
      </w:r>
      <w:r w:rsidRPr="001302C3">
        <w:rPr>
          <w:rFonts w:ascii="Gotham" w:hAnsi="Gotham" w:cs="Times New Roman"/>
          <w:noProof/>
          <w:sz w:val="18"/>
          <w:szCs w:val="18"/>
          <w:lang w:val="es-MX"/>
        </w:rPr>
        <w:t xml:space="preserve"> (IFREM).</w:t>
      </w:r>
    </w:p>
    <w:p w14:paraId="3F64672E" w14:textId="77777777" w:rsidR="00C02D8D" w:rsidRPr="001302C3" w:rsidRDefault="00C02D8D" w:rsidP="00C02D8D">
      <w:pPr>
        <w:spacing w:line="276" w:lineRule="auto"/>
        <w:ind w:right="-1"/>
        <w:jc w:val="center"/>
        <w:outlineLvl w:val="0"/>
        <w:rPr>
          <w:rFonts w:ascii="Gotham" w:hAnsi="Gotham" w:cs="Times New Roman"/>
          <w:noProof/>
          <w:sz w:val="18"/>
          <w:szCs w:val="18"/>
          <w:u w:val="single"/>
          <w:lang w:val="es-MX"/>
        </w:rPr>
      </w:pPr>
      <w:r w:rsidRPr="001302C3">
        <w:rPr>
          <w:rFonts w:ascii="Gotham" w:hAnsi="Gotham" w:cs="Times New Roman"/>
          <w:b/>
          <w:noProof/>
          <w:sz w:val="18"/>
          <w:szCs w:val="18"/>
          <w:lang w:val="es-MX"/>
        </w:rPr>
        <w:t>Mes:</w:t>
      </w:r>
      <w:r w:rsidRPr="001302C3">
        <w:rPr>
          <w:rFonts w:ascii="Gotham" w:hAnsi="Gotham" w:cs="Times New Roman"/>
          <w:noProof/>
          <w:sz w:val="18"/>
          <w:szCs w:val="18"/>
          <w:lang w:val="es-MX"/>
        </w:rPr>
        <w:t xml:space="preserve"> </w:t>
      </w:r>
      <w:r w:rsidRPr="001302C3">
        <w:rPr>
          <w:rFonts w:ascii="Gotham" w:hAnsi="Gotham" w:cs="Times New Roman"/>
          <w:noProof/>
          <w:sz w:val="18"/>
          <w:szCs w:val="18"/>
          <w:u w:val="single"/>
          <w:lang w:val="es-MX"/>
        </w:rPr>
        <w:t>Diciembre</w:t>
      </w:r>
      <w:r w:rsidRPr="001302C3">
        <w:rPr>
          <w:rFonts w:ascii="Gotham" w:hAnsi="Gotham" w:cs="Times New Roman"/>
          <w:noProof/>
          <w:sz w:val="18"/>
          <w:szCs w:val="18"/>
          <w:lang w:val="es-MX"/>
        </w:rPr>
        <w:t xml:space="preserve"> </w:t>
      </w:r>
      <w:r w:rsidRPr="001302C3">
        <w:rPr>
          <w:rFonts w:ascii="Gotham" w:hAnsi="Gotham" w:cs="Times New Roman"/>
          <w:b/>
          <w:noProof/>
          <w:sz w:val="18"/>
          <w:szCs w:val="18"/>
          <w:lang w:val="es-MX"/>
        </w:rPr>
        <w:t>de</w:t>
      </w:r>
      <w:r w:rsidRPr="001302C3">
        <w:rPr>
          <w:rFonts w:ascii="Gotham" w:hAnsi="Gotham" w:cs="Times New Roman"/>
          <w:noProof/>
          <w:sz w:val="18"/>
          <w:szCs w:val="18"/>
          <w:lang w:val="es-MX"/>
        </w:rPr>
        <w:t xml:space="preserve"> </w:t>
      </w:r>
      <w:r w:rsidRPr="001302C3">
        <w:rPr>
          <w:rFonts w:ascii="Gotham" w:hAnsi="Gotham" w:cs="Times New Roman"/>
          <w:noProof/>
          <w:sz w:val="18"/>
          <w:szCs w:val="18"/>
          <w:u w:val="single"/>
          <w:lang w:val="es-MX"/>
        </w:rPr>
        <w:t>2023</w:t>
      </w:r>
    </w:p>
    <w:p w14:paraId="09D71612" w14:textId="77777777" w:rsidR="00C02D8D" w:rsidRPr="001302C3" w:rsidRDefault="00C02D8D" w:rsidP="00C02D8D">
      <w:pPr>
        <w:spacing w:line="276" w:lineRule="auto"/>
        <w:ind w:right="-1"/>
        <w:jc w:val="center"/>
        <w:outlineLvl w:val="0"/>
        <w:rPr>
          <w:rFonts w:ascii="Gotham" w:hAnsi="Gotham" w:cs="Times New Roman"/>
          <w:noProof/>
          <w:sz w:val="18"/>
          <w:szCs w:val="18"/>
          <w:u w:val="single"/>
          <w:lang w:val="es-MX"/>
        </w:rPr>
      </w:pPr>
      <w:r w:rsidRPr="001302C3">
        <w:rPr>
          <w:rFonts w:ascii="Gotham" w:hAnsi="Gotham" w:cs="Times New Roman"/>
          <w:noProof/>
          <w:sz w:val="18"/>
          <w:szCs w:val="18"/>
          <w:u w:val="single"/>
          <w:lang w:val="es-MX"/>
        </w:rPr>
        <w:t>(Cifras Preliminares)</w:t>
      </w:r>
    </w:p>
    <w:p w14:paraId="1B767986" w14:textId="77777777" w:rsidR="00C02D8D" w:rsidRPr="001302C3" w:rsidRDefault="00C02D8D" w:rsidP="00C02D8D">
      <w:pPr>
        <w:spacing w:line="276" w:lineRule="auto"/>
        <w:ind w:right="-1"/>
        <w:jc w:val="center"/>
        <w:outlineLvl w:val="0"/>
        <w:rPr>
          <w:rFonts w:ascii="Gotham" w:hAnsi="Gotham" w:cs="Times New Roman"/>
          <w:noProof/>
          <w:sz w:val="18"/>
          <w:szCs w:val="18"/>
          <w:u w:val="single"/>
          <w:lang w:val="es-MX"/>
        </w:rPr>
      </w:pPr>
    </w:p>
    <w:p w14:paraId="2B20BA03" w14:textId="77777777" w:rsidR="00C02D8D" w:rsidRPr="001302C3" w:rsidRDefault="00C02D8D" w:rsidP="00C02D8D">
      <w:pPr>
        <w:spacing w:line="276" w:lineRule="auto"/>
        <w:ind w:right="-1" w:firstLine="708"/>
        <w:outlineLvl w:val="0"/>
        <w:rPr>
          <w:rFonts w:ascii="Gotham" w:eastAsia="Times New Roman" w:hAnsi="Gotham" w:cs="Arial"/>
          <w:b/>
          <w:noProof/>
          <w:sz w:val="18"/>
          <w:szCs w:val="18"/>
          <w:lang w:val="es-MX" w:eastAsia="es-MX"/>
        </w:rPr>
      </w:pPr>
      <w:r w:rsidRPr="001302C3">
        <w:rPr>
          <w:rFonts w:ascii="Gotham" w:eastAsia="Times New Roman" w:hAnsi="Gotham" w:cs="Arial"/>
          <w:b/>
          <w:noProof/>
          <w:sz w:val="18"/>
          <w:szCs w:val="18"/>
          <w:lang w:val="es-MX" w:eastAsia="es-MX"/>
        </w:rPr>
        <w:t>a) NOTAS DE DESGLOSE</w:t>
      </w:r>
    </w:p>
    <w:p w14:paraId="218CBEA3" w14:textId="77777777" w:rsidR="00C02D8D" w:rsidRPr="001302C3" w:rsidRDefault="00C02D8D" w:rsidP="00C02D8D">
      <w:pPr>
        <w:spacing w:line="276" w:lineRule="auto"/>
        <w:ind w:right="-1" w:firstLine="708"/>
        <w:outlineLvl w:val="0"/>
        <w:rPr>
          <w:rFonts w:ascii="Gotham" w:eastAsia="Times New Roman" w:hAnsi="Gotham" w:cs="Arial"/>
          <w:b/>
          <w:noProof/>
          <w:sz w:val="18"/>
          <w:szCs w:val="18"/>
          <w:lang w:val="es-MX" w:eastAsia="es-MX"/>
        </w:rPr>
      </w:pPr>
    </w:p>
    <w:p w14:paraId="2F7A39E0" w14:textId="77777777" w:rsidR="00C02D8D" w:rsidRPr="001302C3" w:rsidRDefault="00C02D8D" w:rsidP="00C02D8D">
      <w:pPr>
        <w:numPr>
          <w:ilvl w:val="0"/>
          <w:numId w:val="1"/>
        </w:numPr>
        <w:spacing w:before="240" w:after="240" w:line="276" w:lineRule="auto"/>
        <w:ind w:left="1068" w:right="-1"/>
        <w:contextualSpacing/>
        <w:outlineLvl w:val="0"/>
        <w:rPr>
          <w:rFonts w:ascii="Gotham" w:eastAsia="Times New Roman" w:hAnsi="Gotham" w:cs="Arial"/>
          <w:b/>
          <w:noProof/>
          <w:sz w:val="18"/>
          <w:szCs w:val="18"/>
          <w:lang w:val="es-MX" w:eastAsia="es-MX"/>
        </w:rPr>
      </w:pPr>
      <w:r w:rsidRPr="001302C3">
        <w:rPr>
          <w:rFonts w:ascii="Gotham" w:eastAsia="Times New Roman" w:hAnsi="Gotham" w:cs="Arial"/>
          <w:b/>
          <w:noProof/>
          <w:sz w:val="18"/>
          <w:szCs w:val="18"/>
          <w:lang w:val="es-MX" w:eastAsia="es-MX"/>
        </w:rPr>
        <w:t>NOTAS AL ESTADO DE SITUACIÓN FINANCIERA</w:t>
      </w:r>
    </w:p>
    <w:p w14:paraId="7F0B04DD" w14:textId="77777777" w:rsidR="00C02D8D" w:rsidRPr="001302C3" w:rsidRDefault="00C02D8D" w:rsidP="00C02D8D">
      <w:pPr>
        <w:spacing w:before="240" w:after="240" w:line="276" w:lineRule="auto"/>
        <w:ind w:left="1068" w:right="-1"/>
        <w:contextualSpacing/>
        <w:outlineLvl w:val="0"/>
        <w:rPr>
          <w:rFonts w:ascii="Gotham" w:eastAsia="Times New Roman" w:hAnsi="Gotham" w:cs="Arial"/>
          <w:b/>
          <w:noProof/>
          <w:sz w:val="18"/>
          <w:szCs w:val="18"/>
          <w:lang w:val="es-MX" w:eastAsia="es-MX"/>
        </w:rPr>
      </w:pPr>
    </w:p>
    <w:p w14:paraId="64C67EDB" w14:textId="77777777" w:rsidR="00C02D8D" w:rsidRPr="001302C3" w:rsidRDefault="00C02D8D" w:rsidP="00C02D8D">
      <w:pPr>
        <w:spacing w:before="240" w:after="240" w:line="276" w:lineRule="auto"/>
        <w:ind w:right="-1"/>
        <w:outlineLvl w:val="0"/>
        <w:rPr>
          <w:rFonts w:ascii="Gotham" w:hAnsi="Gotham" w:cs="Arial"/>
          <w:b/>
          <w:noProof/>
          <w:sz w:val="18"/>
          <w:szCs w:val="18"/>
          <w:lang w:val="es-MX"/>
        </w:rPr>
      </w:pPr>
      <w:r w:rsidRPr="001302C3">
        <w:rPr>
          <w:rFonts w:ascii="Gotham" w:hAnsi="Gotham" w:cs="Arial"/>
          <w:b/>
          <w:noProof/>
          <w:sz w:val="18"/>
          <w:szCs w:val="18"/>
          <w:lang w:val="es-MX"/>
        </w:rPr>
        <w:t>Activo Circulante</w:t>
      </w:r>
    </w:p>
    <w:p w14:paraId="2DFD790B" w14:textId="216EB573" w:rsidR="00C02D8D" w:rsidRPr="001302C3" w:rsidRDefault="00C02D8D" w:rsidP="00C02D8D">
      <w:pPr>
        <w:jc w:val="both"/>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Efectivo y Equivalentes. - </w:t>
      </w:r>
      <w:r w:rsidRPr="001302C3">
        <w:rPr>
          <w:rFonts w:ascii="Gotham" w:eastAsia="Times New Roman" w:hAnsi="Gotham" w:cs="Arial"/>
          <w:noProof/>
          <w:color w:val="000000"/>
          <w:sz w:val="18"/>
          <w:szCs w:val="18"/>
          <w:lang w:val="es-MX" w:eastAsia="es-MX"/>
        </w:rPr>
        <w:t xml:space="preserve">El saldo total de este rubro es de </w:t>
      </w:r>
      <w:r w:rsidR="00061BCE" w:rsidRPr="001302C3">
        <w:rPr>
          <w:rFonts w:ascii="Gotham" w:eastAsia="Times New Roman" w:hAnsi="Gotham" w:cs="Arial"/>
          <w:b/>
          <w:noProof/>
          <w:sz w:val="18"/>
          <w:szCs w:val="18"/>
          <w:lang w:val="es-MX" w:eastAsia="es-MX"/>
        </w:rPr>
        <w:t>220,804,025.82</w:t>
      </w:r>
      <w:r w:rsidR="00061BCE" w:rsidRPr="001302C3">
        <w:rPr>
          <w:rFonts w:ascii="Gotham" w:eastAsia="Times New Roman" w:hAnsi="Gotham" w:cs="Arial"/>
          <w:noProof/>
          <w:sz w:val="18"/>
          <w:szCs w:val="18"/>
          <w:lang w:val="es-MX" w:eastAsia="es-MX"/>
        </w:rPr>
        <w:t xml:space="preserve"> </w:t>
      </w:r>
      <w:r w:rsidRPr="001302C3">
        <w:rPr>
          <w:rFonts w:ascii="Gotham" w:eastAsia="Times New Roman" w:hAnsi="Gotham" w:cs="Arial"/>
          <w:noProof/>
          <w:sz w:val="18"/>
          <w:szCs w:val="18"/>
          <w:lang w:val="es-MX" w:eastAsia="es-MX"/>
        </w:rPr>
        <w:t xml:space="preserve">y </w:t>
      </w:r>
      <w:r w:rsidRPr="001302C3">
        <w:rPr>
          <w:rFonts w:ascii="Gotham" w:eastAsia="Times New Roman" w:hAnsi="Gotham" w:cs="Arial"/>
          <w:noProof/>
          <w:color w:val="000000"/>
          <w:sz w:val="18"/>
          <w:szCs w:val="18"/>
          <w:lang w:val="es-MX" w:eastAsia="es-MX"/>
        </w:rPr>
        <w:t>se integra con las siguientes cuentas:</w:t>
      </w:r>
    </w:p>
    <w:p w14:paraId="70195A88" w14:textId="77777777" w:rsidR="00C02D8D" w:rsidRPr="001302C3" w:rsidRDefault="00C02D8D" w:rsidP="00C02D8D">
      <w:pPr>
        <w:jc w:val="both"/>
        <w:rPr>
          <w:rFonts w:ascii="Gotham" w:eastAsia="Times New Roman" w:hAnsi="Gotham" w:cs="Times New Roman"/>
          <w:noProof/>
          <w:sz w:val="18"/>
          <w:szCs w:val="18"/>
          <w:lang w:val="es-MX" w:eastAsia="es-MX"/>
        </w:rPr>
      </w:pPr>
    </w:p>
    <w:p w14:paraId="17B314CF" w14:textId="77777777" w:rsidR="00C02D8D" w:rsidRPr="001302C3" w:rsidRDefault="00C02D8D" w:rsidP="00C02D8D">
      <w:pPr>
        <w:numPr>
          <w:ilvl w:val="0"/>
          <w:numId w:val="2"/>
        </w:numPr>
        <w:spacing w:after="160"/>
        <w:ind w:left="502"/>
        <w:jc w:val="both"/>
        <w:textAlignment w:val="baseline"/>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Efectivo. - </w:t>
      </w:r>
      <w:r w:rsidRPr="001302C3">
        <w:rPr>
          <w:rFonts w:ascii="Gotham" w:eastAsia="Times New Roman" w:hAnsi="Gotham" w:cs="Arial"/>
          <w:noProof/>
          <w:color w:val="000000"/>
          <w:sz w:val="18"/>
          <w:szCs w:val="18"/>
          <w:lang w:val="es-MX" w:eastAsia="es-MX"/>
        </w:rPr>
        <w:t>El saldo de 33,000.00, es el importe de efectivo disponible para solventar gastos menores y cubrir necesidades urgentes de gasto corriente, que  se requieran en las oficinas administrativas de la Dirección General.</w:t>
      </w:r>
    </w:p>
    <w:p w14:paraId="4C321759" w14:textId="39153274" w:rsidR="00C02D8D" w:rsidRPr="001302C3" w:rsidRDefault="00C02D8D" w:rsidP="00C02D8D">
      <w:pPr>
        <w:numPr>
          <w:ilvl w:val="0"/>
          <w:numId w:val="2"/>
        </w:numPr>
        <w:spacing w:after="160"/>
        <w:ind w:left="502"/>
        <w:jc w:val="both"/>
        <w:textAlignment w:val="baseline"/>
        <w:rPr>
          <w:rFonts w:ascii="Gotham" w:hAnsi="Gotham" w:cs="Times New Roman"/>
          <w:noProof/>
          <w:sz w:val="18"/>
          <w:szCs w:val="18"/>
          <w:lang w:val="es-MX" w:eastAsia="es-MX"/>
        </w:rPr>
      </w:pPr>
      <w:r w:rsidRPr="001302C3">
        <w:rPr>
          <w:rFonts w:ascii="Gotham" w:eastAsia="Times New Roman" w:hAnsi="Gotham" w:cs="Arial"/>
          <w:b/>
          <w:bCs/>
          <w:noProof/>
          <w:color w:val="000000"/>
          <w:sz w:val="18"/>
          <w:szCs w:val="18"/>
          <w:lang w:val="es-MX" w:eastAsia="es-MX"/>
        </w:rPr>
        <w:t xml:space="preserve">Bancos/Tesorería. - </w:t>
      </w:r>
      <w:r w:rsidRPr="001302C3">
        <w:rPr>
          <w:rFonts w:ascii="Gotham" w:eastAsia="Times New Roman" w:hAnsi="Gotham" w:cs="Arial"/>
          <w:noProof/>
          <w:color w:val="000000"/>
          <w:sz w:val="18"/>
          <w:szCs w:val="18"/>
          <w:lang w:val="es-MX" w:eastAsia="es-MX"/>
        </w:rPr>
        <w:t xml:space="preserve">El saldo de </w:t>
      </w:r>
      <w:r w:rsidR="00061BCE" w:rsidRPr="001302C3">
        <w:rPr>
          <w:rFonts w:ascii="Gotham" w:eastAsia="Times New Roman" w:hAnsi="Gotham" w:cs="Arial"/>
          <w:noProof/>
          <w:color w:val="000000"/>
          <w:sz w:val="18"/>
          <w:szCs w:val="18"/>
          <w:lang w:val="es-MX" w:eastAsia="es-MX"/>
        </w:rPr>
        <w:t>2,040,488.12,</w:t>
      </w:r>
      <w:r w:rsidRPr="001302C3">
        <w:rPr>
          <w:rFonts w:ascii="Gotham" w:eastAsia="Times New Roman" w:hAnsi="Gotham" w:cs="Arial"/>
          <w:noProof/>
          <w:color w:val="000000"/>
          <w:sz w:val="18"/>
          <w:szCs w:val="18"/>
          <w:lang w:val="es-MX" w:eastAsia="es-MX"/>
        </w:rPr>
        <w:t xml:space="preserve"> refleja la disponibilidad financiera para cubrir los gastos por las necesidades de la operación y de inversión, con la finalidad de cumplir con los compromisos de pago en tiempo y forma. La relación de cuentas específicas que integran este saldo, es la siguiente: </w:t>
      </w:r>
    </w:p>
    <w:p w14:paraId="38B69C7B" w14:textId="7283C3A9" w:rsidR="00C02D8D" w:rsidRPr="001302C3" w:rsidRDefault="001357AB" w:rsidP="00C02D8D">
      <w:pPr>
        <w:ind w:left="502"/>
        <w:jc w:val="both"/>
        <w:textAlignment w:val="baseline"/>
        <w:rPr>
          <w:rFonts w:ascii="Gotham" w:hAnsi="Gotham" w:cs="Times New Roman"/>
          <w:noProof/>
          <w:sz w:val="18"/>
          <w:szCs w:val="18"/>
          <w:lang w:val="es-MX" w:eastAsia="es-MX"/>
        </w:rPr>
      </w:pPr>
      <w:r w:rsidRPr="00D26758">
        <w:rPr>
          <w:rFonts w:ascii="Gotham" w:hAnsi="Gotham" w:cs="Times New Roman"/>
          <w:noProof/>
          <w:sz w:val="18"/>
          <w:szCs w:val="18"/>
          <w:lang w:val="es-MX" w:eastAsia="es-MX"/>
        </w:rPr>
        <w:drawing>
          <wp:anchor distT="0" distB="0" distL="114300" distR="114300" simplePos="0" relativeHeight="251697152" behindDoc="0" locked="0" layoutInCell="1" allowOverlap="1" wp14:anchorId="43F61CBC" wp14:editId="4318E330">
            <wp:simplePos x="0" y="0"/>
            <wp:positionH relativeFrom="margin">
              <wp:posOffset>771896</wp:posOffset>
            </wp:positionH>
            <wp:positionV relativeFrom="paragraph">
              <wp:posOffset>8411</wp:posOffset>
            </wp:positionV>
            <wp:extent cx="4891405" cy="3881755"/>
            <wp:effectExtent l="0" t="0" r="4445" b="4445"/>
            <wp:wrapSquare wrapText="bothSides"/>
            <wp:docPr id="17465677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67723" name=""/>
                    <pic:cNvPicPr/>
                  </pic:nvPicPr>
                  <pic:blipFill>
                    <a:blip r:embed="rId8">
                      <a:extLst>
                        <a:ext uri="{28A0092B-C50C-407E-A947-70E740481C1C}">
                          <a14:useLocalDpi xmlns:a14="http://schemas.microsoft.com/office/drawing/2010/main" val="0"/>
                        </a:ext>
                      </a:extLst>
                    </a:blip>
                    <a:stretch>
                      <a:fillRect/>
                    </a:stretch>
                  </pic:blipFill>
                  <pic:spPr>
                    <a:xfrm>
                      <a:off x="0" y="0"/>
                      <a:ext cx="4891405" cy="3881755"/>
                    </a:xfrm>
                    <a:prstGeom prst="rect">
                      <a:avLst/>
                    </a:prstGeom>
                  </pic:spPr>
                </pic:pic>
              </a:graphicData>
            </a:graphic>
            <wp14:sizeRelH relativeFrom="page">
              <wp14:pctWidth>0</wp14:pctWidth>
            </wp14:sizeRelH>
            <wp14:sizeRelV relativeFrom="page">
              <wp14:pctHeight>0</wp14:pctHeight>
            </wp14:sizeRelV>
          </wp:anchor>
        </w:drawing>
      </w:r>
    </w:p>
    <w:p w14:paraId="509DEAC8" w14:textId="7977FF81" w:rsidR="00C02D8D" w:rsidRPr="001302C3" w:rsidRDefault="00C02D8D" w:rsidP="00C02D8D">
      <w:pPr>
        <w:ind w:left="502"/>
        <w:jc w:val="both"/>
        <w:textAlignment w:val="baseline"/>
        <w:rPr>
          <w:rFonts w:ascii="Gotham" w:hAnsi="Gotham" w:cs="Times New Roman"/>
          <w:noProof/>
          <w:sz w:val="18"/>
          <w:szCs w:val="18"/>
          <w:lang w:val="es-MX" w:eastAsia="es-MX"/>
        </w:rPr>
      </w:pPr>
    </w:p>
    <w:p w14:paraId="5544DB2A"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4D98B24C"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75FCF7DB"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04BD7C21"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744FC34B"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3041520"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EAB3049"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48683B2F" w14:textId="303F7754" w:rsidR="00C02D8D" w:rsidRPr="001302C3" w:rsidRDefault="00C02D8D" w:rsidP="00C02D8D">
      <w:pPr>
        <w:ind w:left="502"/>
        <w:jc w:val="both"/>
        <w:textAlignment w:val="baseline"/>
        <w:rPr>
          <w:rFonts w:ascii="Gotham" w:hAnsi="Gotham" w:cs="Times New Roman"/>
          <w:noProof/>
          <w:sz w:val="18"/>
          <w:szCs w:val="18"/>
          <w:lang w:val="es-MX" w:eastAsia="es-MX"/>
        </w:rPr>
      </w:pPr>
    </w:p>
    <w:p w14:paraId="61B34BAB" w14:textId="17BAA83E" w:rsidR="00C02D8D" w:rsidRPr="001302C3" w:rsidRDefault="00C02D8D" w:rsidP="00C02D8D">
      <w:pPr>
        <w:ind w:left="502"/>
        <w:jc w:val="both"/>
        <w:textAlignment w:val="baseline"/>
        <w:rPr>
          <w:rFonts w:ascii="Gotham" w:hAnsi="Gotham" w:cs="Times New Roman"/>
          <w:noProof/>
          <w:sz w:val="18"/>
          <w:szCs w:val="18"/>
          <w:lang w:val="es-MX" w:eastAsia="es-MX"/>
        </w:rPr>
      </w:pPr>
    </w:p>
    <w:p w14:paraId="366AD7E8" w14:textId="6C2C4519" w:rsidR="00C02D8D" w:rsidRPr="001302C3" w:rsidRDefault="00C02D8D" w:rsidP="00C02D8D">
      <w:pPr>
        <w:ind w:left="502"/>
        <w:jc w:val="both"/>
        <w:textAlignment w:val="baseline"/>
        <w:rPr>
          <w:rFonts w:ascii="Gotham" w:hAnsi="Gotham" w:cs="Times New Roman"/>
          <w:noProof/>
          <w:sz w:val="18"/>
          <w:szCs w:val="18"/>
          <w:lang w:val="es-MX" w:eastAsia="es-MX"/>
        </w:rPr>
      </w:pPr>
    </w:p>
    <w:p w14:paraId="3BE9B1A1"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0F5038DF"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13A26C26"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591BBCEE"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182BC91C"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62CEF80F"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90F3CD4"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189D61A4"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68B79523"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65E14145"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0D91E0F1"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06F2E1B"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4489042"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5ED314A2"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62CB70D4"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31B45706"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6E7B4B22"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0AFE3BE9"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564D0421" w14:textId="77777777" w:rsidR="00C02D8D" w:rsidRPr="001302C3" w:rsidRDefault="00C02D8D" w:rsidP="00C02D8D">
      <w:pPr>
        <w:ind w:left="502"/>
        <w:jc w:val="both"/>
        <w:textAlignment w:val="baseline"/>
        <w:rPr>
          <w:rFonts w:ascii="Gotham" w:hAnsi="Gotham" w:cs="Times New Roman"/>
          <w:noProof/>
          <w:sz w:val="18"/>
          <w:szCs w:val="18"/>
          <w:lang w:val="es-MX" w:eastAsia="es-MX"/>
        </w:rPr>
      </w:pPr>
    </w:p>
    <w:p w14:paraId="70B61CDF" w14:textId="77777777" w:rsidR="00C02D8D" w:rsidRPr="001302C3" w:rsidRDefault="00C02D8D" w:rsidP="00C02D8D">
      <w:pPr>
        <w:numPr>
          <w:ilvl w:val="0"/>
          <w:numId w:val="2"/>
        </w:numPr>
        <w:spacing w:after="160"/>
        <w:jc w:val="both"/>
        <w:textAlignment w:val="baseline"/>
        <w:rPr>
          <w:rFonts w:ascii="Gotham" w:eastAsia="Times New Roman" w:hAnsi="Gotham" w:cs="Arial"/>
          <w:noProof/>
          <w:color w:val="000000"/>
          <w:sz w:val="18"/>
          <w:szCs w:val="18"/>
          <w:lang w:val="es-MX" w:eastAsia="es-MX"/>
        </w:rPr>
      </w:pPr>
      <w:r w:rsidRPr="001302C3">
        <w:rPr>
          <w:rFonts w:ascii="Gotham" w:hAnsi="Gotham"/>
          <w:noProof/>
          <w:sz w:val="18"/>
          <w:szCs w:val="18"/>
          <w:lang w:val="es-MX" w:eastAsia="es-MX"/>
        </w:rPr>
        <w:lastRenderedPageBreak/>
        <w:drawing>
          <wp:anchor distT="0" distB="0" distL="114300" distR="114300" simplePos="0" relativeHeight="251676672" behindDoc="0" locked="0" layoutInCell="1" allowOverlap="1" wp14:anchorId="4CF810AD" wp14:editId="63A4A4D9">
            <wp:simplePos x="0" y="0"/>
            <wp:positionH relativeFrom="margin">
              <wp:align>center</wp:align>
            </wp:positionH>
            <wp:positionV relativeFrom="paragraph">
              <wp:posOffset>596256</wp:posOffset>
            </wp:positionV>
            <wp:extent cx="5554345" cy="1619250"/>
            <wp:effectExtent l="0" t="0" r="8255" b="0"/>
            <wp:wrapSquare wrapText="bothSides"/>
            <wp:docPr id="1350235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3507" name=""/>
                    <pic:cNvPicPr/>
                  </pic:nvPicPr>
                  <pic:blipFill>
                    <a:blip r:embed="rId9">
                      <a:extLst>
                        <a:ext uri="{28A0092B-C50C-407E-A947-70E740481C1C}">
                          <a14:useLocalDpi xmlns:a14="http://schemas.microsoft.com/office/drawing/2010/main" val="0"/>
                        </a:ext>
                      </a:extLst>
                    </a:blip>
                    <a:stretch>
                      <a:fillRect/>
                    </a:stretch>
                  </pic:blipFill>
                  <pic:spPr>
                    <a:xfrm>
                      <a:off x="0" y="0"/>
                      <a:ext cx="5554345" cy="1619250"/>
                    </a:xfrm>
                    <a:prstGeom prst="rect">
                      <a:avLst/>
                    </a:prstGeom>
                  </pic:spPr>
                </pic:pic>
              </a:graphicData>
            </a:graphic>
            <wp14:sizeRelH relativeFrom="page">
              <wp14:pctWidth>0</wp14:pctWidth>
            </wp14:sizeRelH>
            <wp14:sizeRelV relativeFrom="page">
              <wp14:pctHeight>0</wp14:pctHeight>
            </wp14:sizeRelV>
          </wp:anchor>
        </w:drawing>
      </w:r>
      <w:r w:rsidRPr="001302C3">
        <w:rPr>
          <w:rFonts w:ascii="Gotham" w:eastAsia="Times New Roman" w:hAnsi="Gotham" w:cs="Arial"/>
          <w:b/>
          <w:bCs/>
          <w:noProof/>
          <w:color w:val="000000"/>
          <w:sz w:val="18"/>
          <w:szCs w:val="18"/>
          <w:lang w:val="es-MX" w:eastAsia="es-MX"/>
        </w:rPr>
        <w:t xml:space="preserve">Inversiones Temporales (Hasta 3 meses). - </w:t>
      </w:r>
      <w:r w:rsidRPr="001302C3">
        <w:rPr>
          <w:rFonts w:ascii="Gotham" w:eastAsia="Times New Roman" w:hAnsi="Gotham" w:cs="Arial"/>
          <w:noProof/>
          <w:color w:val="000000"/>
          <w:sz w:val="18"/>
          <w:szCs w:val="18"/>
          <w:lang w:val="es-MX" w:eastAsia="es-MX"/>
        </w:rPr>
        <w:t xml:space="preserve">El saldo de </w:t>
      </w:r>
      <w:bookmarkStart w:id="2" w:name="_Hlk128580981"/>
      <w:bookmarkStart w:id="3" w:name="_Hlk134009505"/>
      <w:r w:rsidRPr="001302C3">
        <w:rPr>
          <w:rFonts w:ascii="Gotham" w:eastAsia="Times New Roman" w:hAnsi="Gotham" w:cs="Arial"/>
          <w:noProof/>
          <w:color w:val="000000"/>
          <w:sz w:val="18"/>
          <w:szCs w:val="18"/>
          <w:lang w:val="es-MX" w:eastAsia="es-MX"/>
        </w:rPr>
        <w:t>218,730,537.</w:t>
      </w:r>
      <w:bookmarkEnd w:id="2"/>
      <w:r w:rsidRPr="001302C3">
        <w:rPr>
          <w:rFonts w:ascii="Gotham" w:eastAsia="Times New Roman" w:hAnsi="Gotham" w:cs="Arial"/>
          <w:noProof/>
          <w:color w:val="000000"/>
          <w:sz w:val="18"/>
          <w:szCs w:val="18"/>
          <w:lang w:val="es-MX" w:eastAsia="es-MX"/>
        </w:rPr>
        <w:t>70,</w:t>
      </w:r>
      <w:bookmarkEnd w:id="3"/>
      <w:r w:rsidRPr="001302C3">
        <w:rPr>
          <w:rFonts w:ascii="Gotham" w:eastAsia="Times New Roman" w:hAnsi="Gotham" w:cs="Arial"/>
          <w:noProof/>
          <w:color w:val="000000"/>
          <w:sz w:val="18"/>
          <w:szCs w:val="18"/>
          <w:lang w:val="es-MX" w:eastAsia="es-MX"/>
        </w:rPr>
        <w:t xml:space="preserve"> reflejan los depósitos bancarios para tener disponibilidades financieras en instrumentos de renta fija y poder cubrir con oportunidad los gastos de operación y de inversión del Instituto. Los intereses que generan las cuentas de inversiones se registran como Ingresos de Gestión, en el rubro de Productos Financieros.</w:t>
      </w:r>
    </w:p>
    <w:p w14:paraId="157E89BB" w14:textId="77777777" w:rsidR="00C02D8D" w:rsidRPr="001302C3" w:rsidRDefault="00C02D8D" w:rsidP="00C02D8D">
      <w:pPr>
        <w:spacing w:after="160"/>
        <w:jc w:val="both"/>
        <w:textAlignment w:val="baseline"/>
        <w:rPr>
          <w:rFonts w:ascii="Gotham" w:eastAsia="Times New Roman" w:hAnsi="Gotham" w:cs="Arial"/>
          <w:noProof/>
          <w:color w:val="000000"/>
          <w:sz w:val="18"/>
          <w:szCs w:val="18"/>
          <w:lang w:val="es-MX" w:eastAsia="es-MX"/>
        </w:rPr>
      </w:pPr>
    </w:p>
    <w:p w14:paraId="32768202" w14:textId="77777777" w:rsidR="00C02D8D" w:rsidRPr="001302C3" w:rsidRDefault="00C02D8D" w:rsidP="00C02D8D">
      <w:pPr>
        <w:jc w:val="center"/>
        <w:rPr>
          <w:rFonts w:ascii="Gotham" w:hAnsi="Gotham"/>
          <w:noProof/>
          <w:sz w:val="18"/>
          <w:szCs w:val="18"/>
          <w:lang w:val="es-MX" w:eastAsia="es-MX"/>
        </w:rPr>
      </w:pPr>
    </w:p>
    <w:p w14:paraId="07664D9D" w14:textId="77777777" w:rsidR="00C02D8D" w:rsidRPr="001302C3" w:rsidRDefault="00C02D8D" w:rsidP="00C02D8D">
      <w:pPr>
        <w:jc w:val="center"/>
        <w:rPr>
          <w:rFonts w:ascii="Gotham" w:hAnsi="Gotham"/>
          <w:noProof/>
          <w:sz w:val="18"/>
          <w:szCs w:val="18"/>
          <w:lang w:val="es-MX" w:eastAsia="es-MX"/>
        </w:rPr>
      </w:pPr>
    </w:p>
    <w:p w14:paraId="7ABC2D10" w14:textId="77777777" w:rsidR="00C02D8D" w:rsidRPr="001302C3" w:rsidRDefault="00C02D8D" w:rsidP="00C02D8D">
      <w:pPr>
        <w:jc w:val="center"/>
        <w:rPr>
          <w:rFonts w:ascii="Gotham" w:hAnsi="Gotham"/>
          <w:noProof/>
          <w:sz w:val="18"/>
          <w:szCs w:val="18"/>
          <w:lang w:val="es-MX" w:eastAsia="es-MX"/>
        </w:rPr>
      </w:pPr>
    </w:p>
    <w:p w14:paraId="2019C563" w14:textId="77777777" w:rsidR="00C02D8D" w:rsidRPr="001302C3" w:rsidRDefault="00C02D8D" w:rsidP="00C02D8D">
      <w:pPr>
        <w:jc w:val="center"/>
        <w:rPr>
          <w:rFonts w:ascii="Gotham" w:hAnsi="Gotham"/>
          <w:noProof/>
          <w:sz w:val="18"/>
          <w:szCs w:val="18"/>
          <w:lang w:val="es-MX" w:eastAsia="es-MX"/>
        </w:rPr>
      </w:pPr>
    </w:p>
    <w:p w14:paraId="17B62323" w14:textId="77777777" w:rsidR="00C02D8D" w:rsidRPr="001302C3" w:rsidRDefault="00C02D8D" w:rsidP="00C02D8D">
      <w:pPr>
        <w:jc w:val="center"/>
        <w:rPr>
          <w:rFonts w:ascii="Gotham" w:hAnsi="Gotham"/>
          <w:noProof/>
          <w:sz w:val="18"/>
          <w:szCs w:val="18"/>
          <w:lang w:val="es-MX" w:eastAsia="es-MX"/>
        </w:rPr>
      </w:pPr>
    </w:p>
    <w:p w14:paraId="416EA3B9" w14:textId="77777777" w:rsidR="00C02D8D" w:rsidRPr="001302C3" w:rsidRDefault="00C02D8D" w:rsidP="00C02D8D">
      <w:pPr>
        <w:jc w:val="center"/>
        <w:rPr>
          <w:rFonts w:ascii="Gotham" w:hAnsi="Gotham"/>
          <w:noProof/>
          <w:sz w:val="18"/>
          <w:szCs w:val="18"/>
          <w:lang w:val="es-MX" w:eastAsia="es-MX"/>
        </w:rPr>
      </w:pPr>
    </w:p>
    <w:p w14:paraId="4C8BB7EA" w14:textId="77777777" w:rsidR="00C02D8D" w:rsidRPr="001302C3" w:rsidRDefault="00C02D8D" w:rsidP="00C02D8D">
      <w:pPr>
        <w:jc w:val="center"/>
        <w:rPr>
          <w:rFonts w:ascii="Gotham" w:hAnsi="Gotham"/>
          <w:noProof/>
          <w:sz w:val="18"/>
          <w:szCs w:val="18"/>
          <w:lang w:val="es-MX" w:eastAsia="es-MX"/>
        </w:rPr>
      </w:pPr>
    </w:p>
    <w:p w14:paraId="271B5F54" w14:textId="77777777" w:rsidR="00C02D8D" w:rsidRPr="001302C3" w:rsidRDefault="00C02D8D" w:rsidP="00C02D8D">
      <w:pPr>
        <w:jc w:val="center"/>
        <w:rPr>
          <w:rFonts w:ascii="Gotham" w:hAnsi="Gotham"/>
          <w:noProof/>
          <w:sz w:val="18"/>
          <w:szCs w:val="18"/>
          <w:lang w:val="es-MX" w:eastAsia="es-MX"/>
        </w:rPr>
      </w:pPr>
    </w:p>
    <w:p w14:paraId="6024F2C1" w14:textId="77777777" w:rsidR="00C02D8D" w:rsidRPr="001302C3" w:rsidRDefault="00C02D8D" w:rsidP="00C02D8D">
      <w:pPr>
        <w:jc w:val="center"/>
        <w:rPr>
          <w:rFonts w:ascii="Gotham" w:hAnsi="Gotham"/>
          <w:noProof/>
          <w:sz w:val="18"/>
          <w:szCs w:val="18"/>
          <w:lang w:val="es-MX" w:eastAsia="es-MX"/>
        </w:rPr>
      </w:pPr>
    </w:p>
    <w:p w14:paraId="0481BCC5" w14:textId="77777777" w:rsidR="00C02D8D" w:rsidRPr="001302C3" w:rsidRDefault="00C02D8D" w:rsidP="00C02D8D">
      <w:pPr>
        <w:jc w:val="center"/>
        <w:rPr>
          <w:rFonts w:ascii="Gotham" w:hAnsi="Gotham"/>
          <w:noProof/>
          <w:sz w:val="18"/>
          <w:szCs w:val="18"/>
          <w:lang w:val="es-MX" w:eastAsia="es-MX"/>
        </w:rPr>
      </w:pPr>
    </w:p>
    <w:p w14:paraId="00337F34" w14:textId="77777777" w:rsidR="00C02D8D" w:rsidRPr="001302C3" w:rsidRDefault="00C02D8D" w:rsidP="00C02D8D">
      <w:pPr>
        <w:jc w:val="center"/>
        <w:rPr>
          <w:rFonts w:ascii="Gotham" w:hAnsi="Gotham"/>
          <w:noProof/>
          <w:sz w:val="18"/>
          <w:szCs w:val="18"/>
          <w:lang w:val="es-MX" w:eastAsia="es-MX"/>
        </w:rPr>
      </w:pPr>
    </w:p>
    <w:p w14:paraId="52A392C1" w14:textId="77777777" w:rsidR="00C02D8D" w:rsidRPr="001302C3" w:rsidRDefault="00C02D8D" w:rsidP="00C02D8D">
      <w:pPr>
        <w:jc w:val="center"/>
        <w:rPr>
          <w:rFonts w:ascii="Gotham" w:hAnsi="Gotham"/>
          <w:noProof/>
          <w:sz w:val="18"/>
          <w:szCs w:val="18"/>
          <w:lang w:val="es-MX" w:eastAsia="es-MX"/>
        </w:rPr>
      </w:pPr>
    </w:p>
    <w:p w14:paraId="6841DE0A" w14:textId="1537E04C" w:rsidR="00C02D8D" w:rsidRPr="001302C3" w:rsidRDefault="00C02D8D" w:rsidP="00C02D8D">
      <w:pPr>
        <w:spacing w:line="276" w:lineRule="auto"/>
        <w:jc w:val="both"/>
        <w:rPr>
          <w:rFonts w:ascii="Gotham" w:eastAsia="Times New Roman" w:hAnsi="Gotham" w:cs="Arial"/>
          <w:noProof/>
          <w:color w:val="000000"/>
          <w:sz w:val="18"/>
          <w:szCs w:val="18"/>
          <w:lang w:val="es-MX" w:eastAsia="es-MX"/>
        </w:rPr>
      </w:pPr>
      <w:r w:rsidRPr="001302C3">
        <w:rPr>
          <w:rFonts w:ascii="Gotham" w:eastAsia="Times New Roman" w:hAnsi="Gotham" w:cs="Arial"/>
          <w:noProof/>
          <w:sz w:val="18"/>
          <w:szCs w:val="18"/>
          <w:lang w:val="es-MX" w:eastAsia="es-MX"/>
        </w:rPr>
        <w:t>El saldo de inversiones en Scotiabank</w:t>
      </w:r>
      <w:r w:rsidR="00061BCE" w:rsidRPr="001302C3">
        <w:rPr>
          <w:rFonts w:ascii="Gotham" w:eastAsia="Times New Roman" w:hAnsi="Gotham" w:cs="Arial"/>
          <w:noProof/>
          <w:sz w:val="18"/>
          <w:szCs w:val="18"/>
          <w:lang w:val="es-MX" w:eastAsia="es-MX"/>
        </w:rPr>
        <w:t>,</w:t>
      </w:r>
      <w:r w:rsidRPr="001302C3">
        <w:rPr>
          <w:rFonts w:ascii="Gotham" w:eastAsia="Times New Roman" w:hAnsi="Gotham" w:cs="Arial"/>
          <w:noProof/>
          <w:sz w:val="18"/>
          <w:szCs w:val="18"/>
          <w:lang w:val="es-MX" w:eastAsia="es-MX"/>
        </w:rPr>
        <w:t xml:space="preserve"> por 113,418,829.53 , </w:t>
      </w:r>
      <w:r w:rsidR="00061BCE" w:rsidRPr="001302C3">
        <w:rPr>
          <w:rFonts w:ascii="Gotham" w:eastAsia="Times New Roman" w:hAnsi="Gotham" w:cs="Arial"/>
          <w:noProof/>
          <w:sz w:val="18"/>
          <w:szCs w:val="18"/>
          <w:lang w:val="es-MX" w:eastAsia="es-MX"/>
        </w:rPr>
        <w:t>se integra por la cuenta número *******117 con saldo de</w:t>
      </w:r>
      <w:r w:rsidRPr="001302C3">
        <w:rPr>
          <w:rFonts w:ascii="Gotham" w:eastAsia="Times New Roman" w:hAnsi="Gotham" w:cs="Arial"/>
          <w:noProof/>
          <w:sz w:val="18"/>
          <w:szCs w:val="18"/>
          <w:lang w:val="es-MX" w:eastAsia="es-MX"/>
        </w:rPr>
        <w:t xml:space="preserve"> 7,211,164.46, corresponde a los remanentes del recurso del Programa de Regularizaci</w:t>
      </w:r>
      <w:r w:rsidR="0023046A" w:rsidRPr="001302C3">
        <w:rPr>
          <w:rFonts w:ascii="Gotham" w:eastAsia="Times New Roman" w:hAnsi="Gotham" w:cs="Arial"/>
          <w:noProof/>
          <w:sz w:val="18"/>
          <w:szCs w:val="18"/>
          <w:lang w:val="es-MX" w:eastAsia="es-MX"/>
        </w:rPr>
        <w:t>ó</w:t>
      </w:r>
      <w:r w:rsidRPr="001302C3">
        <w:rPr>
          <w:rFonts w:ascii="Gotham" w:eastAsia="Times New Roman" w:hAnsi="Gotham" w:cs="Arial"/>
          <w:noProof/>
          <w:sz w:val="18"/>
          <w:szCs w:val="18"/>
          <w:lang w:val="es-MX" w:eastAsia="es-MX"/>
        </w:rPr>
        <w:t>n de Tenencia de la Tierra</w:t>
      </w:r>
      <w:r w:rsidR="0023046A" w:rsidRPr="001302C3">
        <w:rPr>
          <w:rFonts w:ascii="Gotham" w:eastAsia="Times New Roman" w:hAnsi="Gotham" w:cs="Arial"/>
          <w:noProof/>
          <w:sz w:val="18"/>
          <w:szCs w:val="18"/>
          <w:lang w:val="es-MX" w:eastAsia="es-MX"/>
        </w:rPr>
        <w:t xml:space="preserve"> (PRTT)</w:t>
      </w:r>
      <w:r w:rsidR="00061BCE" w:rsidRPr="001302C3">
        <w:rPr>
          <w:rFonts w:ascii="Gotham" w:eastAsia="Times New Roman" w:hAnsi="Gotham" w:cs="Arial"/>
          <w:noProof/>
          <w:sz w:val="18"/>
          <w:szCs w:val="18"/>
          <w:lang w:val="es-MX" w:eastAsia="es-MX"/>
        </w:rPr>
        <w:t xml:space="preserve"> y</w:t>
      </w:r>
      <w:r w:rsidRPr="001302C3">
        <w:rPr>
          <w:rFonts w:ascii="Gotham" w:eastAsia="Times New Roman" w:hAnsi="Gotham" w:cs="Arial"/>
          <w:noProof/>
          <w:sz w:val="18"/>
          <w:szCs w:val="18"/>
          <w:lang w:val="es-MX" w:eastAsia="es-MX"/>
        </w:rPr>
        <w:t xml:space="preserve"> la </w:t>
      </w:r>
      <w:r w:rsidRPr="001302C3">
        <w:rPr>
          <w:rFonts w:ascii="Gotham" w:eastAsia="Times New Roman" w:hAnsi="Gotham" w:cs="Arial"/>
          <w:noProof/>
          <w:color w:val="000000"/>
          <w:sz w:val="18"/>
          <w:szCs w:val="18"/>
          <w:lang w:val="es-MX" w:eastAsia="es-MX"/>
        </w:rPr>
        <w:t>cuenta número ******813, que refleja un saldo de 106,207,665.07, como se observa en el siguiente desglose que permite identificar su integración:</w:t>
      </w:r>
    </w:p>
    <w:p w14:paraId="66EF4085" w14:textId="30658B43" w:rsidR="00061BCE" w:rsidRPr="001357AB" w:rsidRDefault="00061BCE" w:rsidP="00C02D8D">
      <w:pPr>
        <w:spacing w:line="276" w:lineRule="auto"/>
        <w:jc w:val="both"/>
        <w:rPr>
          <w:rFonts w:ascii="Gotham" w:eastAsia="Times New Roman" w:hAnsi="Gotham" w:cs="Arial"/>
          <w:noProof/>
          <w:color w:val="000000"/>
          <w:sz w:val="12"/>
          <w:szCs w:val="12"/>
          <w:lang w:val="es-MX" w:eastAsia="es-MX"/>
        </w:rPr>
      </w:pPr>
    </w:p>
    <w:p w14:paraId="41F00B63" w14:textId="429C64FA" w:rsidR="00C02D8D" w:rsidRPr="001302C3" w:rsidRDefault="0023046A" w:rsidP="00C02D8D">
      <w:pPr>
        <w:spacing w:line="276" w:lineRule="auto"/>
        <w:jc w:val="center"/>
        <w:rPr>
          <w:rFonts w:ascii="Gotham" w:eastAsia="Times New Roman" w:hAnsi="Gotham" w:cs="Arial"/>
          <w:noProof/>
          <w:color w:val="000000"/>
          <w:sz w:val="18"/>
          <w:szCs w:val="18"/>
          <w:lang w:val="es-MX" w:eastAsia="es-MX"/>
        </w:rPr>
      </w:pPr>
      <w:r w:rsidRPr="001302C3">
        <w:rPr>
          <w:rFonts w:ascii="Gotham" w:eastAsia="Times New Roman" w:hAnsi="Gotham" w:cs="Arial"/>
          <w:noProof/>
          <w:sz w:val="18"/>
          <w:szCs w:val="18"/>
          <w:lang w:val="es-MX" w:eastAsia="es-MX"/>
        </w:rPr>
        <w:drawing>
          <wp:anchor distT="0" distB="0" distL="114300" distR="114300" simplePos="0" relativeHeight="251682816" behindDoc="0" locked="0" layoutInCell="1" allowOverlap="1" wp14:anchorId="4A006075" wp14:editId="41D3D458">
            <wp:simplePos x="0" y="0"/>
            <wp:positionH relativeFrom="margin">
              <wp:align>center</wp:align>
            </wp:positionH>
            <wp:positionV relativeFrom="paragraph">
              <wp:posOffset>6985</wp:posOffset>
            </wp:positionV>
            <wp:extent cx="4291965" cy="1727200"/>
            <wp:effectExtent l="0" t="0" r="0" b="6350"/>
            <wp:wrapSquare wrapText="bothSides"/>
            <wp:docPr id="7551712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71284" name=""/>
                    <pic:cNvPicPr/>
                  </pic:nvPicPr>
                  <pic:blipFill>
                    <a:blip r:embed="rId10">
                      <a:extLst>
                        <a:ext uri="{28A0092B-C50C-407E-A947-70E740481C1C}">
                          <a14:useLocalDpi xmlns:a14="http://schemas.microsoft.com/office/drawing/2010/main" val="0"/>
                        </a:ext>
                      </a:extLst>
                    </a:blip>
                    <a:stretch>
                      <a:fillRect/>
                    </a:stretch>
                  </pic:blipFill>
                  <pic:spPr>
                    <a:xfrm>
                      <a:off x="0" y="0"/>
                      <a:ext cx="4291965" cy="1727200"/>
                    </a:xfrm>
                    <a:prstGeom prst="rect">
                      <a:avLst/>
                    </a:prstGeom>
                  </pic:spPr>
                </pic:pic>
              </a:graphicData>
            </a:graphic>
            <wp14:sizeRelH relativeFrom="page">
              <wp14:pctWidth>0</wp14:pctWidth>
            </wp14:sizeRelH>
            <wp14:sizeRelV relativeFrom="page">
              <wp14:pctHeight>0</wp14:pctHeight>
            </wp14:sizeRelV>
          </wp:anchor>
        </w:drawing>
      </w:r>
    </w:p>
    <w:p w14:paraId="30F1A211" w14:textId="7CC9EB39" w:rsidR="00C02D8D" w:rsidRPr="001302C3" w:rsidRDefault="00C02D8D" w:rsidP="00C02D8D">
      <w:pPr>
        <w:spacing w:line="276" w:lineRule="auto"/>
        <w:jc w:val="both"/>
        <w:rPr>
          <w:rFonts w:ascii="Gotham" w:eastAsia="Times New Roman" w:hAnsi="Gotham" w:cs="Arial"/>
          <w:noProof/>
          <w:sz w:val="18"/>
          <w:szCs w:val="18"/>
          <w:lang w:val="es-MX" w:eastAsia="es-MX"/>
        </w:rPr>
      </w:pPr>
    </w:p>
    <w:p w14:paraId="6951ED81" w14:textId="1D06A29A"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2989F2D" w14:textId="120027AB"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AFE9899" w14:textId="62B5C1DA"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71DAB3A4" w14:textId="0D872EC7"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161A52D9" w14:textId="3C680B24"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7E8042C9" w14:textId="69BD6FFC"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37E1434" w14:textId="67404843"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28210D61" w14:textId="09B35ED2"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14963AC" w14:textId="53A37878"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1518782" w14:textId="6C24A460"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54C2F594" w14:textId="77777777" w:rsidR="00061BCE" w:rsidRPr="001302C3" w:rsidRDefault="00061BCE" w:rsidP="00C02D8D">
      <w:pPr>
        <w:spacing w:line="276" w:lineRule="auto"/>
        <w:jc w:val="both"/>
        <w:rPr>
          <w:rFonts w:ascii="Gotham" w:eastAsia="Times New Roman" w:hAnsi="Gotham" w:cs="Arial"/>
          <w:noProof/>
          <w:sz w:val="18"/>
          <w:szCs w:val="18"/>
          <w:lang w:val="es-MX" w:eastAsia="es-MX"/>
        </w:rPr>
      </w:pPr>
    </w:p>
    <w:p w14:paraId="40E33C7E" w14:textId="1A974E95"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El saldo de inversiones en Santander, por 105,311,708.17, muestra desde el mes de julio del 2023, un fondo para garantizar la operación del Instituto ante cualquier</w:t>
      </w:r>
      <w:r w:rsidR="00061BCE" w:rsidRPr="001302C3">
        <w:rPr>
          <w:rFonts w:ascii="Gotham" w:eastAsia="Times New Roman" w:hAnsi="Gotham" w:cs="Arial"/>
          <w:noProof/>
          <w:sz w:val="18"/>
          <w:szCs w:val="18"/>
          <w:lang w:val="es-MX" w:eastAsia="es-MX"/>
        </w:rPr>
        <w:t xml:space="preserve"> contigencia</w:t>
      </w:r>
      <w:r w:rsidRPr="001302C3">
        <w:rPr>
          <w:rFonts w:ascii="Gotham" w:eastAsia="Times New Roman" w:hAnsi="Gotham" w:cs="Arial"/>
          <w:noProof/>
          <w:sz w:val="18"/>
          <w:szCs w:val="18"/>
          <w:lang w:val="es-MX" w:eastAsia="es-MX"/>
        </w:rPr>
        <w:t>.</w:t>
      </w:r>
    </w:p>
    <w:p w14:paraId="68949133" w14:textId="77777777" w:rsidR="00C02D8D" w:rsidRPr="001302C3" w:rsidRDefault="00C02D8D" w:rsidP="00C02D8D">
      <w:pPr>
        <w:spacing w:line="276" w:lineRule="auto"/>
        <w:jc w:val="both"/>
        <w:rPr>
          <w:rFonts w:ascii="Gotham" w:eastAsia="Times New Roman" w:hAnsi="Gotham" w:cs="Arial"/>
          <w:noProof/>
          <w:sz w:val="18"/>
          <w:szCs w:val="18"/>
          <w:lang w:val="es-MX" w:eastAsia="es-MX"/>
        </w:rPr>
      </w:pPr>
    </w:p>
    <w:p w14:paraId="26935328" w14:textId="28A115BE"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En este mes se realizó</w:t>
      </w:r>
      <w:r w:rsidR="00061BCE" w:rsidRPr="001302C3">
        <w:rPr>
          <w:rFonts w:ascii="Gotham" w:eastAsia="Times New Roman" w:hAnsi="Gotham" w:cs="Arial"/>
          <w:noProof/>
          <w:sz w:val="18"/>
          <w:szCs w:val="18"/>
          <w:lang w:val="es-MX" w:eastAsia="es-MX"/>
        </w:rPr>
        <w:t xml:space="preserve"> el traspaso,</w:t>
      </w:r>
      <w:r w:rsidRPr="001302C3">
        <w:rPr>
          <w:rFonts w:ascii="Gotham" w:eastAsia="Times New Roman" w:hAnsi="Gotham" w:cs="Arial"/>
          <w:noProof/>
          <w:sz w:val="18"/>
          <w:szCs w:val="18"/>
          <w:lang w:val="es-MX" w:eastAsia="es-MX"/>
        </w:rPr>
        <w:t xml:space="preserve"> de la inversión en la cuenta </w:t>
      </w:r>
      <w:r w:rsidR="00061BCE" w:rsidRPr="001302C3">
        <w:rPr>
          <w:rFonts w:ascii="Gotham" w:eastAsia="Times New Roman" w:hAnsi="Gotham" w:cs="Arial"/>
          <w:noProof/>
          <w:sz w:val="18"/>
          <w:szCs w:val="18"/>
          <w:lang w:val="es-MX" w:eastAsia="es-MX"/>
        </w:rPr>
        <w:t>****</w:t>
      </w:r>
      <w:r w:rsidRPr="001302C3">
        <w:rPr>
          <w:rFonts w:ascii="Gotham" w:eastAsia="Times New Roman" w:hAnsi="Gotham" w:cs="Arial"/>
          <w:noProof/>
          <w:sz w:val="18"/>
          <w:szCs w:val="18"/>
          <w:lang w:val="es-MX" w:eastAsia="es-MX"/>
        </w:rPr>
        <w:t xml:space="preserve">***470 de HSBC </w:t>
      </w:r>
      <w:r w:rsidR="00061BCE" w:rsidRPr="001302C3">
        <w:rPr>
          <w:rFonts w:ascii="Gotham" w:eastAsia="Times New Roman" w:hAnsi="Gotham" w:cs="Arial"/>
          <w:noProof/>
          <w:sz w:val="18"/>
          <w:szCs w:val="18"/>
          <w:lang w:val="es-MX" w:eastAsia="es-MX"/>
        </w:rPr>
        <w:t>al</w:t>
      </w:r>
      <w:r w:rsidRPr="001302C3">
        <w:rPr>
          <w:rFonts w:ascii="Gotham" w:eastAsia="Times New Roman" w:hAnsi="Gotham" w:cs="Arial"/>
          <w:noProof/>
          <w:sz w:val="18"/>
          <w:szCs w:val="18"/>
          <w:lang w:val="es-MX" w:eastAsia="es-MX"/>
        </w:rPr>
        <w:t xml:space="preserve"> G</w:t>
      </w:r>
      <w:r w:rsidR="00F14746" w:rsidRPr="001302C3">
        <w:rPr>
          <w:rFonts w:ascii="Gotham" w:eastAsia="Times New Roman" w:hAnsi="Gotham" w:cs="Arial"/>
          <w:noProof/>
          <w:sz w:val="18"/>
          <w:szCs w:val="18"/>
          <w:lang w:val="es-MX" w:eastAsia="es-MX"/>
        </w:rPr>
        <w:t xml:space="preserve">obierno del </w:t>
      </w:r>
      <w:r w:rsidRPr="001302C3">
        <w:rPr>
          <w:rFonts w:ascii="Gotham" w:eastAsia="Times New Roman" w:hAnsi="Gotham" w:cs="Arial"/>
          <w:noProof/>
          <w:sz w:val="18"/>
          <w:szCs w:val="18"/>
          <w:lang w:val="es-MX" w:eastAsia="es-MX"/>
        </w:rPr>
        <w:t>E</w:t>
      </w:r>
      <w:r w:rsidR="00F14746" w:rsidRPr="001302C3">
        <w:rPr>
          <w:rFonts w:ascii="Gotham" w:eastAsia="Times New Roman" w:hAnsi="Gotham" w:cs="Arial"/>
          <w:noProof/>
          <w:sz w:val="18"/>
          <w:szCs w:val="18"/>
          <w:lang w:val="es-MX" w:eastAsia="es-MX"/>
        </w:rPr>
        <w:t xml:space="preserve">stado de </w:t>
      </w:r>
      <w:r w:rsidRPr="001302C3">
        <w:rPr>
          <w:rFonts w:ascii="Gotham" w:eastAsia="Times New Roman" w:hAnsi="Gotham" w:cs="Arial"/>
          <w:noProof/>
          <w:sz w:val="18"/>
          <w:szCs w:val="18"/>
          <w:lang w:val="es-MX" w:eastAsia="es-MX"/>
        </w:rPr>
        <w:t>M</w:t>
      </w:r>
      <w:r w:rsidR="00F14746" w:rsidRPr="001302C3">
        <w:rPr>
          <w:rFonts w:ascii="Gotham" w:eastAsia="Times New Roman" w:hAnsi="Gotham" w:cs="Arial"/>
          <w:noProof/>
          <w:sz w:val="18"/>
          <w:szCs w:val="18"/>
          <w:lang w:val="es-MX" w:eastAsia="es-MX"/>
        </w:rPr>
        <w:t>éxico (GEM)</w:t>
      </w:r>
      <w:r w:rsidRPr="001302C3">
        <w:rPr>
          <w:rFonts w:ascii="Gotham" w:eastAsia="Times New Roman" w:hAnsi="Gotham" w:cs="Arial"/>
          <w:noProof/>
          <w:sz w:val="18"/>
          <w:szCs w:val="18"/>
          <w:lang w:val="es-MX" w:eastAsia="es-MX"/>
        </w:rPr>
        <w:t>, de los remanentes del Fideicomiso de Cobranza al IFREM, correspondientes a la distribución 157, por 247,236,767.41, incl</w:t>
      </w:r>
      <w:r w:rsidR="008D2BAD" w:rsidRPr="001302C3">
        <w:rPr>
          <w:rFonts w:ascii="Gotham" w:eastAsia="Times New Roman" w:hAnsi="Gotham" w:cs="Arial"/>
          <w:noProof/>
          <w:sz w:val="18"/>
          <w:szCs w:val="18"/>
          <w:lang w:val="es-MX" w:eastAsia="es-MX"/>
        </w:rPr>
        <w:t>u</w:t>
      </w:r>
      <w:r w:rsidRPr="001302C3">
        <w:rPr>
          <w:rFonts w:ascii="Gotham" w:eastAsia="Times New Roman" w:hAnsi="Gotham" w:cs="Arial"/>
          <w:noProof/>
          <w:sz w:val="18"/>
          <w:szCs w:val="18"/>
          <w:lang w:val="es-MX" w:eastAsia="es-MX"/>
        </w:rPr>
        <w:t>ye los intereses generados.</w:t>
      </w:r>
    </w:p>
    <w:p w14:paraId="7CE9E225" w14:textId="77777777" w:rsidR="00C02D8D" w:rsidRPr="001302C3" w:rsidRDefault="00C02D8D" w:rsidP="00C02D8D">
      <w:pPr>
        <w:spacing w:line="276" w:lineRule="auto"/>
        <w:jc w:val="both"/>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 xml:space="preserve">                                                                                                                                                                                                                                                                                                                                                                                                                                       </w:t>
      </w:r>
    </w:p>
    <w:p w14:paraId="3395A39F" w14:textId="5248CDE4" w:rsidR="00C02D8D" w:rsidRPr="001302C3" w:rsidRDefault="00C02D8D" w:rsidP="00C02D8D">
      <w:pPr>
        <w:numPr>
          <w:ilvl w:val="0"/>
          <w:numId w:val="2"/>
        </w:numPr>
        <w:spacing w:after="160"/>
        <w:jc w:val="both"/>
        <w:textAlignment w:val="baseline"/>
        <w:rPr>
          <w:rFonts w:ascii="Gotham" w:eastAsia="Times New Roman" w:hAnsi="Gotham" w:cs="Arial"/>
          <w:bCs/>
          <w:noProof/>
          <w:sz w:val="18"/>
          <w:szCs w:val="18"/>
          <w:lang w:val="es-MX" w:eastAsia="es-MX"/>
        </w:rPr>
      </w:pPr>
      <w:r w:rsidRPr="001302C3">
        <w:rPr>
          <w:rFonts w:ascii="Gotham" w:eastAsia="Times New Roman" w:hAnsi="Gotham" w:cs="Arial"/>
          <w:b/>
          <w:bCs/>
          <w:noProof/>
          <w:sz w:val="18"/>
          <w:szCs w:val="18"/>
          <w:lang w:val="es-MX" w:eastAsia="es-MX"/>
        </w:rPr>
        <w:t>Deudores Diversos por Cobrar a Corto Plazo.</w:t>
      </w:r>
      <w:r w:rsidRPr="001302C3">
        <w:rPr>
          <w:rFonts w:ascii="Gotham" w:eastAsia="Times New Roman" w:hAnsi="Gotham" w:cs="Arial"/>
          <w:noProof/>
          <w:sz w:val="18"/>
          <w:szCs w:val="18"/>
          <w:lang w:val="es-MX" w:eastAsia="es-MX"/>
        </w:rPr>
        <w:t xml:space="preserve"> El saldo de 1,377.23, se integra por </w:t>
      </w:r>
      <w:r w:rsidR="00EC6535" w:rsidRPr="001302C3">
        <w:rPr>
          <w:rFonts w:ascii="Gotham" w:eastAsia="Times New Roman" w:hAnsi="Gotham" w:cs="Arial"/>
          <w:noProof/>
          <w:sz w:val="18"/>
          <w:szCs w:val="18"/>
          <w:lang w:val="es-MX" w:eastAsia="es-MX"/>
        </w:rPr>
        <w:t>motivo del pago de cuotas al ISSEMYM, de un Servidor Público con licencia sin gose de sueldo, recuperable en enero 2024, con la resolución favorable que calificó el riesgo de trabajo</w:t>
      </w:r>
      <w:r w:rsidRPr="001302C3">
        <w:rPr>
          <w:rFonts w:ascii="Gotham" w:eastAsia="Times New Roman" w:hAnsi="Gotham" w:cs="Arial"/>
          <w:noProof/>
          <w:sz w:val="18"/>
          <w:szCs w:val="18"/>
          <w:lang w:val="es-MX" w:eastAsia="es-MX"/>
        </w:rPr>
        <w:t>.</w:t>
      </w:r>
    </w:p>
    <w:p w14:paraId="0EB2E01C" w14:textId="42EDD65F" w:rsidR="00C02D8D" w:rsidRPr="001302C3" w:rsidRDefault="00C02D8D" w:rsidP="00C02D8D">
      <w:pPr>
        <w:spacing w:after="160"/>
        <w:jc w:val="both"/>
        <w:textAlignment w:val="baseline"/>
        <w:rPr>
          <w:rFonts w:ascii="Gotham" w:eastAsia="Times New Roman" w:hAnsi="Gotham" w:cs="Arial"/>
          <w:bCs/>
          <w:noProof/>
          <w:sz w:val="18"/>
          <w:szCs w:val="18"/>
          <w:lang w:val="es-MX" w:eastAsia="es-MX"/>
        </w:rPr>
      </w:pPr>
    </w:p>
    <w:p w14:paraId="3945D780" w14:textId="77777777" w:rsidR="00F14746" w:rsidRDefault="00F14746" w:rsidP="00C02D8D">
      <w:pPr>
        <w:spacing w:after="160"/>
        <w:jc w:val="both"/>
        <w:textAlignment w:val="baseline"/>
        <w:rPr>
          <w:rFonts w:ascii="Gotham" w:eastAsia="Times New Roman" w:hAnsi="Gotham" w:cs="Arial"/>
          <w:bCs/>
          <w:noProof/>
          <w:sz w:val="18"/>
          <w:szCs w:val="18"/>
          <w:lang w:val="es-MX" w:eastAsia="es-MX"/>
        </w:rPr>
      </w:pPr>
    </w:p>
    <w:p w14:paraId="64E49D1D" w14:textId="77777777" w:rsidR="000C2C4E" w:rsidRPr="001302C3" w:rsidRDefault="000C2C4E" w:rsidP="00C02D8D">
      <w:pPr>
        <w:spacing w:after="160"/>
        <w:jc w:val="both"/>
        <w:textAlignment w:val="baseline"/>
        <w:rPr>
          <w:rFonts w:ascii="Gotham" w:eastAsia="Times New Roman" w:hAnsi="Gotham" w:cs="Arial"/>
          <w:bCs/>
          <w:noProof/>
          <w:sz w:val="18"/>
          <w:szCs w:val="18"/>
          <w:lang w:val="es-MX" w:eastAsia="es-MX"/>
        </w:rPr>
      </w:pPr>
    </w:p>
    <w:p w14:paraId="7F4C4160" w14:textId="77777777" w:rsidR="00C02D8D" w:rsidRPr="001302C3" w:rsidRDefault="00C02D8D" w:rsidP="00C02D8D">
      <w:pPr>
        <w:spacing w:line="256" w:lineRule="auto"/>
        <w:jc w:val="both"/>
        <w:textAlignment w:val="baseline"/>
        <w:rPr>
          <w:rFonts w:ascii="Gotham" w:hAnsi="Gotham" w:cs="Arial"/>
          <w:b/>
          <w:bCs/>
          <w:noProof/>
          <w:color w:val="000000"/>
          <w:sz w:val="18"/>
          <w:szCs w:val="18"/>
          <w:lang w:val="es-MX"/>
        </w:rPr>
      </w:pPr>
      <w:r w:rsidRPr="001302C3">
        <w:rPr>
          <w:rFonts w:ascii="Gotham" w:hAnsi="Gotham" w:cs="Arial"/>
          <w:b/>
          <w:bCs/>
          <w:noProof/>
          <w:color w:val="000000"/>
          <w:sz w:val="18"/>
          <w:szCs w:val="18"/>
          <w:lang w:val="es-MX"/>
        </w:rPr>
        <w:lastRenderedPageBreak/>
        <w:t>Activo No Circulante</w:t>
      </w:r>
    </w:p>
    <w:p w14:paraId="2B74EA5A" w14:textId="77777777" w:rsidR="00C02D8D" w:rsidRPr="001302C3" w:rsidRDefault="00C02D8D" w:rsidP="00C02D8D">
      <w:pPr>
        <w:spacing w:line="256" w:lineRule="auto"/>
        <w:jc w:val="both"/>
        <w:textAlignment w:val="baseline"/>
        <w:rPr>
          <w:rFonts w:ascii="Gotham" w:hAnsi="Gotham" w:cs="Arial"/>
          <w:bCs/>
          <w:noProof/>
          <w:sz w:val="18"/>
          <w:szCs w:val="18"/>
          <w:lang w:val="es-MX"/>
        </w:rPr>
      </w:pPr>
    </w:p>
    <w:p w14:paraId="3F4F3684" w14:textId="77777777" w:rsidR="00C02D8D" w:rsidRPr="001302C3" w:rsidRDefault="00C02D8D" w:rsidP="00C02D8D">
      <w:pPr>
        <w:spacing w:line="256" w:lineRule="auto"/>
        <w:jc w:val="both"/>
        <w:textAlignment w:val="baseline"/>
        <w:rPr>
          <w:rFonts w:ascii="Gotham" w:hAnsi="Gotham" w:cs="Arial"/>
          <w:noProof/>
          <w:color w:val="000000"/>
          <w:sz w:val="18"/>
          <w:szCs w:val="18"/>
          <w:lang w:val="es-MX"/>
        </w:rPr>
      </w:pPr>
      <w:r w:rsidRPr="001302C3">
        <w:rPr>
          <w:rFonts w:ascii="Gotham" w:hAnsi="Gotham" w:cs="Arial"/>
          <w:b/>
          <w:bCs/>
          <w:noProof/>
          <w:color w:val="000000"/>
          <w:sz w:val="18"/>
          <w:szCs w:val="18"/>
          <w:lang w:val="es-MX"/>
        </w:rPr>
        <w:t xml:space="preserve">Inversiones Financieras a Largo Plazo. - </w:t>
      </w:r>
      <w:r w:rsidRPr="001302C3">
        <w:rPr>
          <w:rFonts w:ascii="Gotham" w:hAnsi="Gotham" w:cs="Arial"/>
          <w:noProof/>
          <w:color w:val="000000"/>
          <w:sz w:val="18"/>
          <w:szCs w:val="18"/>
          <w:lang w:val="es-MX"/>
        </w:rPr>
        <w:t xml:space="preserve">El saldo de esta cuenta </w:t>
      </w:r>
      <w:r w:rsidRPr="001302C3">
        <w:rPr>
          <w:rFonts w:ascii="Gotham" w:eastAsia="Times New Roman" w:hAnsi="Gotham" w:cs="Arial"/>
          <w:noProof/>
          <w:sz w:val="18"/>
          <w:szCs w:val="18"/>
          <w:lang w:val="es-MX" w:eastAsia="es-MX"/>
        </w:rPr>
        <w:t xml:space="preserve">por la cantidad de </w:t>
      </w:r>
      <w:r w:rsidRPr="001302C3">
        <w:rPr>
          <w:rFonts w:ascii="Gotham" w:eastAsia="Times New Roman" w:hAnsi="Gotham" w:cs="Arial"/>
          <w:b/>
          <w:noProof/>
          <w:sz w:val="18"/>
          <w:szCs w:val="18"/>
          <w:lang w:val="es-MX" w:eastAsia="es-MX"/>
        </w:rPr>
        <w:t>6,827,988,305.31,</w:t>
      </w:r>
      <w:r w:rsidRPr="001302C3">
        <w:rPr>
          <w:rFonts w:ascii="Gotham" w:eastAsia="Times New Roman" w:hAnsi="Gotham" w:cs="Arial"/>
          <w:noProof/>
          <w:sz w:val="18"/>
          <w:szCs w:val="18"/>
          <w:lang w:val="es-MX" w:eastAsia="es-MX"/>
        </w:rPr>
        <w:t xml:space="preserve"> </w:t>
      </w:r>
      <w:r w:rsidRPr="001302C3">
        <w:rPr>
          <w:rFonts w:ascii="Gotham" w:hAnsi="Gotham" w:cs="Arial"/>
          <w:noProof/>
          <w:color w:val="000000"/>
          <w:sz w:val="18"/>
          <w:szCs w:val="18"/>
          <w:lang w:val="es-MX"/>
        </w:rPr>
        <w:t>se integra como sigue</w:t>
      </w:r>
      <w:r w:rsidRPr="001302C3">
        <w:rPr>
          <w:rFonts w:ascii="Gotham" w:hAnsi="Gotham" w:cs="Arial"/>
          <w:b/>
          <w:bCs/>
          <w:noProof/>
          <w:color w:val="000000"/>
          <w:sz w:val="18"/>
          <w:szCs w:val="18"/>
          <w:lang w:val="es-MX"/>
        </w:rPr>
        <w:t>:</w:t>
      </w:r>
      <w:r w:rsidRPr="001302C3">
        <w:rPr>
          <w:rFonts w:ascii="Gotham" w:hAnsi="Gotham" w:cs="Arial"/>
          <w:noProof/>
          <w:color w:val="000000"/>
          <w:sz w:val="18"/>
          <w:szCs w:val="18"/>
          <w:lang w:val="es-MX"/>
        </w:rPr>
        <w:t> </w:t>
      </w:r>
    </w:p>
    <w:p w14:paraId="5CEB4C27" w14:textId="77777777" w:rsidR="00C02D8D" w:rsidRPr="001302C3" w:rsidRDefault="00C02D8D" w:rsidP="00C02D8D">
      <w:pPr>
        <w:spacing w:line="256" w:lineRule="auto"/>
        <w:jc w:val="both"/>
        <w:textAlignment w:val="baseline"/>
        <w:rPr>
          <w:rFonts w:ascii="Gotham" w:hAnsi="Gotham" w:cs="Arial"/>
          <w:bCs/>
          <w:noProof/>
          <w:sz w:val="18"/>
          <w:szCs w:val="18"/>
          <w:lang w:val="es-MX"/>
        </w:rPr>
      </w:pPr>
    </w:p>
    <w:p w14:paraId="49D56B14" w14:textId="77777777" w:rsidR="00C02D8D" w:rsidRPr="001302C3" w:rsidRDefault="00C02D8D" w:rsidP="00C02D8D">
      <w:pPr>
        <w:numPr>
          <w:ilvl w:val="0"/>
          <w:numId w:val="2"/>
        </w:numPr>
        <w:contextualSpacing/>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sz w:val="18"/>
          <w:szCs w:val="18"/>
          <w:lang w:val="es-MX" w:eastAsia="es-MX"/>
        </w:rPr>
        <w:t>Fideicomisos, Mandatos y Contratos Análogos</w:t>
      </w:r>
      <w:r w:rsidRPr="001302C3">
        <w:rPr>
          <w:rFonts w:ascii="Gotham" w:eastAsia="Times New Roman" w:hAnsi="Gotham" w:cs="Arial"/>
          <w:noProof/>
          <w:sz w:val="18"/>
          <w:szCs w:val="18"/>
          <w:lang w:val="es-MX" w:eastAsia="es-MX"/>
        </w:rPr>
        <w:t>. – De las aportaciones realizadas al Fideicomiso de Cobranza, desde sus inicios al mes que se comenta, se han trasferido por el Registro Público de la Propiedad (RPP) el importe de 6,817,506,627.73 y por el Registro Público de Comercio (RPC) un importe 10,481,677.58. En  esta cuenta se muestran los recursos en las cuentas de la fiduciaria, menos los pagos de los bonos por amortización de capital e intereses y las remesas al Instituto para gastos de operación y devoluciones de ingresos indebidos, así como los remanentes recibidos y transferidos al GEM para la inversión productiva.</w:t>
      </w:r>
    </w:p>
    <w:p w14:paraId="1B79C239" w14:textId="77777777" w:rsidR="00C02D8D" w:rsidRPr="001302C3" w:rsidRDefault="00C02D8D" w:rsidP="00C02D8D">
      <w:pPr>
        <w:rPr>
          <w:rFonts w:ascii="Gotham" w:eastAsia="Times New Roman" w:hAnsi="Gotham" w:cs="Arial"/>
          <w:noProof/>
          <w:sz w:val="18"/>
          <w:szCs w:val="18"/>
          <w:lang w:val="es-MX" w:eastAsia="es-MX"/>
        </w:rPr>
      </w:pPr>
    </w:p>
    <w:p w14:paraId="291CC406" w14:textId="1E3AC3A5" w:rsidR="00C02D8D" w:rsidRPr="001302C3" w:rsidRDefault="00C02D8D" w:rsidP="00C02D8D">
      <w:pPr>
        <w:rPr>
          <w:rFonts w:ascii="Gotham" w:eastAsia="Times New Roman" w:hAnsi="Gotham" w:cs="Arial"/>
          <w:noProof/>
          <w:color w:val="000000"/>
          <w:sz w:val="18"/>
          <w:szCs w:val="18"/>
          <w:lang w:val="es-MX" w:eastAsia="es-MX"/>
        </w:rPr>
      </w:pPr>
      <w:r w:rsidRPr="001302C3">
        <w:rPr>
          <w:rFonts w:ascii="Gotham" w:eastAsia="Times New Roman" w:hAnsi="Gotham" w:cs="Arial"/>
          <w:b/>
          <w:bCs/>
          <w:noProof/>
          <w:sz w:val="18"/>
          <w:szCs w:val="18"/>
          <w:lang w:val="es-MX" w:eastAsia="es-MX"/>
        </w:rPr>
        <w:t>Bienes Inmuebles, Infraestructura y Construcciones en Proceso.</w:t>
      </w:r>
      <w:r w:rsidRPr="001302C3">
        <w:rPr>
          <w:rFonts w:ascii="Gotham" w:eastAsia="Times New Roman" w:hAnsi="Gotham" w:cs="Arial"/>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El saldo de este rub</w:t>
      </w:r>
      <w:r w:rsidR="0023046A" w:rsidRPr="001302C3">
        <w:rPr>
          <w:rFonts w:ascii="Gotham" w:eastAsia="Times New Roman" w:hAnsi="Gotham" w:cs="Arial"/>
          <w:noProof/>
          <w:color w:val="000000"/>
          <w:sz w:val="18"/>
          <w:szCs w:val="18"/>
          <w:lang w:val="es-MX" w:eastAsia="es-MX"/>
        </w:rPr>
        <w:t>ro</w:t>
      </w:r>
      <w:r w:rsidRPr="001302C3">
        <w:rPr>
          <w:rFonts w:ascii="Gotham" w:eastAsia="Times New Roman" w:hAnsi="Gotham" w:cs="Arial"/>
          <w:noProof/>
          <w:color w:val="000000"/>
          <w:sz w:val="18"/>
          <w:szCs w:val="18"/>
          <w:lang w:val="es-MX" w:eastAsia="es-MX"/>
        </w:rPr>
        <w:t xml:space="preserve"> es de </w:t>
      </w:r>
      <w:r w:rsidRPr="001302C3">
        <w:rPr>
          <w:rFonts w:ascii="Gotham" w:eastAsia="Times New Roman" w:hAnsi="Gotham" w:cs="Arial"/>
          <w:b/>
          <w:noProof/>
          <w:sz w:val="18"/>
          <w:szCs w:val="18"/>
          <w:lang w:val="es-MX" w:eastAsia="es-MX"/>
        </w:rPr>
        <w:t>124,015,004.58</w:t>
      </w:r>
      <w:r w:rsidRPr="001302C3">
        <w:rPr>
          <w:rFonts w:ascii="Gotham" w:eastAsia="Times New Roman" w:hAnsi="Gotham" w:cs="Arial"/>
          <w:noProof/>
          <w:color w:val="000000"/>
          <w:sz w:val="18"/>
          <w:szCs w:val="18"/>
          <w:lang w:val="es-MX" w:eastAsia="es-MX"/>
        </w:rPr>
        <w:t>, se integra con las siguientes cuentas:</w:t>
      </w:r>
    </w:p>
    <w:p w14:paraId="4F98E050" w14:textId="77777777" w:rsidR="00C02D8D" w:rsidRPr="001302C3" w:rsidRDefault="00C02D8D" w:rsidP="00C02D8D">
      <w:pPr>
        <w:rPr>
          <w:rFonts w:ascii="Gotham" w:eastAsia="Times New Roman" w:hAnsi="Gotham" w:cs="Arial"/>
          <w:noProof/>
          <w:color w:val="000000"/>
          <w:sz w:val="18"/>
          <w:szCs w:val="18"/>
          <w:lang w:val="es-MX" w:eastAsia="es-MX"/>
        </w:rPr>
      </w:pPr>
    </w:p>
    <w:p w14:paraId="36E23780" w14:textId="77777777" w:rsidR="00C02D8D" w:rsidRPr="001302C3" w:rsidRDefault="00C02D8D" w:rsidP="00C02D8D">
      <w:pPr>
        <w:numPr>
          <w:ilvl w:val="0"/>
          <w:numId w:val="2"/>
        </w:numPr>
        <w:contextualSpacing/>
        <w:jc w:val="both"/>
        <w:textAlignment w:val="baseline"/>
        <w:rPr>
          <w:rFonts w:ascii="Gotham" w:eastAsia="Times New Roman" w:hAnsi="Gotham" w:cs="Times New Roman"/>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Terrenos.</w:t>
      </w:r>
      <w:r w:rsidRPr="001302C3">
        <w:rPr>
          <w:rFonts w:ascii="Gotham" w:eastAsia="Times New Roman" w:hAnsi="Gotham" w:cs="Times New Roman"/>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A la fecha de análisis, esta cuenta refleja un valor de 2,793,209.00, los cuales corresponde a las donaciones a este Instituto, en las Oficinas Registrales de Tenango del Valle, Otumba, Ixtlahuaca y el Oro.</w:t>
      </w:r>
    </w:p>
    <w:p w14:paraId="1F780C8F" w14:textId="77777777" w:rsidR="00C02D8D" w:rsidRPr="001302C3" w:rsidRDefault="00C02D8D" w:rsidP="00C02D8D">
      <w:pPr>
        <w:contextualSpacing/>
        <w:jc w:val="both"/>
        <w:textAlignment w:val="baseline"/>
        <w:rPr>
          <w:rFonts w:ascii="Gotham" w:eastAsia="Times New Roman" w:hAnsi="Gotham" w:cs="Times New Roman"/>
          <w:b/>
          <w:bCs/>
          <w:noProof/>
          <w:color w:val="000000"/>
          <w:sz w:val="18"/>
          <w:szCs w:val="18"/>
          <w:lang w:val="es-MX" w:eastAsia="es-MX"/>
        </w:rPr>
      </w:pPr>
    </w:p>
    <w:p w14:paraId="5B86825E" w14:textId="77777777" w:rsidR="00C02D8D" w:rsidRPr="001302C3" w:rsidRDefault="00C02D8D" w:rsidP="00C02D8D">
      <w:pPr>
        <w:numPr>
          <w:ilvl w:val="0"/>
          <w:numId w:val="2"/>
        </w:numPr>
        <w:contextualSpacing/>
        <w:jc w:val="both"/>
        <w:textAlignment w:val="baseline"/>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Edificios no Habitacionales.</w:t>
      </w:r>
      <w:r w:rsidRPr="001302C3">
        <w:rPr>
          <w:rFonts w:ascii="Gotham" w:eastAsia="Times New Roman" w:hAnsi="Gotham" w:cs="Times New Roman"/>
          <w:b/>
          <w:bCs/>
          <w:noProof/>
          <w:color w:val="000000"/>
          <w:sz w:val="18"/>
          <w:szCs w:val="18"/>
          <w:lang w:val="es-MX" w:eastAsia="es-MX"/>
        </w:rPr>
        <w:t xml:space="preserve"> – </w:t>
      </w:r>
      <w:r w:rsidRPr="001302C3">
        <w:rPr>
          <w:rFonts w:ascii="Gotham" w:eastAsia="Times New Roman" w:hAnsi="Gotham" w:cs="Arial"/>
          <w:noProof/>
          <w:color w:val="000000"/>
          <w:sz w:val="18"/>
          <w:szCs w:val="18"/>
          <w:lang w:val="es-MX" w:eastAsia="es-MX"/>
        </w:rPr>
        <w:t xml:space="preserve">Al presente mes, esta cuenta presenta un valor histórico de 121,221,795.58 y la depreciación acumulada al citado mes fue de 14,576,373.24. Al afectar contra el resultado del ejercicio se determina un valor </w:t>
      </w:r>
      <w:r w:rsidRPr="001302C3">
        <w:rPr>
          <w:rFonts w:ascii="Gotham" w:eastAsia="Times New Roman" w:hAnsi="Gotham" w:cs="Arial"/>
          <w:noProof/>
          <w:sz w:val="18"/>
          <w:szCs w:val="18"/>
          <w:lang w:val="es-MX" w:eastAsia="es-MX"/>
        </w:rPr>
        <w:t>neto e</w:t>
      </w:r>
      <w:r w:rsidRPr="001302C3">
        <w:rPr>
          <w:rFonts w:ascii="Gotham" w:eastAsia="Times New Roman" w:hAnsi="Gotham" w:cs="Arial"/>
          <w:noProof/>
          <w:color w:val="000000"/>
          <w:sz w:val="18"/>
          <w:szCs w:val="18"/>
          <w:lang w:val="es-MX" w:eastAsia="es-MX"/>
        </w:rPr>
        <w:t xml:space="preserve">n libros contables de 106,645,422.34. </w:t>
      </w:r>
    </w:p>
    <w:p w14:paraId="524447BC" w14:textId="77777777" w:rsidR="00C02D8D" w:rsidRPr="001302C3" w:rsidRDefault="00C02D8D" w:rsidP="00C02D8D">
      <w:pPr>
        <w:ind w:left="720"/>
        <w:contextualSpacing/>
        <w:rPr>
          <w:rFonts w:ascii="Gotham" w:eastAsia="Times New Roman" w:hAnsi="Gotham" w:cs="Arial"/>
          <w:b/>
          <w:bCs/>
          <w:noProof/>
          <w:color w:val="000000"/>
          <w:sz w:val="18"/>
          <w:szCs w:val="18"/>
          <w:lang w:val="es-MX" w:eastAsia="es-MX"/>
        </w:rPr>
      </w:pPr>
    </w:p>
    <w:p w14:paraId="2080CD3E" w14:textId="32386699" w:rsidR="00C02D8D" w:rsidRPr="001302C3" w:rsidRDefault="00C02D8D" w:rsidP="00C02D8D">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Bienes Muebles. - </w:t>
      </w:r>
      <w:r w:rsidRPr="001302C3">
        <w:rPr>
          <w:rFonts w:ascii="Gotham" w:eastAsia="Times New Roman" w:hAnsi="Gotham" w:cs="Arial"/>
          <w:noProof/>
          <w:color w:val="000000"/>
          <w:sz w:val="18"/>
          <w:szCs w:val="18"/>
          <w:lang w:val="es-MX" w:eastAsia="es-MX"/>
        </w:rPr>
        <w:t xml:space="preserve">El saldo de esta cuenta es por un importe de </w:t>
      </w:r>
      <w:r w:rsidRPr="001302C3">
        <w:rPr>
          <w:rFonts w:ascii="Gotham" w:eastAsia="Times New Roman" w:hAnsi="Gotham" w:cs="Arial"/>
          <w:noProof/>
          <w:sz w:val="18"/>
          <w:szCs w:val="18"/>
          <w:lang w:val="es-MX" w:eastAsia="es-MX"/>
        </w:rPr>
        <w:t>336,158,998.00</w:t>
      </w:r>
      <w:r w:rsidRPr="001302C3">
        <w:rPr>
          <w:rFonts w:ascii="Gotham" w:eastAsia="Times New Roman" w:hAnsi="Gotham" w:cs="Arial"/>
          <w:noProof/>
          <w:color w:val="000000"/>
          <w:sz w:val="18"/>
          <w:szCs w:val="18"/>
          <w:lang w:val="es-MX" w:eastAsia="es-MX"/>
        </w:rPr>
        <w:t>, de acuerdo con el Análisis de Movimientos del Activo No Circulante y su Depreciación como se puede observar en el siguiente cuadro:  </w:t>
      </w:r>
    </w:p>
    <w:p w14:paraId="5261A482" w14:textId="09B61364" w:rsidR="0023046A" w:rsidRPr="001302C3" w:rsidRDefault="0023046A" w:rsidP="0023046A">
      <w:pPr>
        <w:pStyle w:val="Prrafodelista"/>
        <w:rPr>
          <w:rFonts w:ascii="Gotham" w:eastAsia="Times New Roman" w:hAnsi="Gotham" w:cs="Arial"/>
          <w:noProof/>
          <w:color w:val="000000"/>
          <w:sz w:val="18"/>
          <w:szCs w:val="18"/>
          <w:lang w:eastAsia="es-MX"/>
        </w:rPr>
      </w:pPr>
    </w:p>
    <w:p w14:paraId="0795FD5C" w14:textId="2912A4E4" w:rsidR="0023046A" w:rsidRPr="001302C3" w:rsidRDefault="0023046A" w:rsidP="0023046A">
      <w:pPr>
        <w:contextualSpacing/>
        <w:jc w:val="center"/>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noProof/>
          <w:color w:val="000000"/>
          <w:sz w:val="18"/>
          <w:szCs w:val="18"/>
          <w:lang w:val="es-MX" w:eastAsia="es-MX"/>
        </w:rPr>
        <w:drawing>
          <wp:anchor distT="0" distB="0" distL="114300" distR="114300" simplePos="0" relativeHeight="251687936" behindDoc="0" locked="0" layoutInCell="1" allowOverlap="1" wp14:anchorId="41D0710F" wp14:editId="66DB95E7">
            <wp:simplePos x="0" y="0"/>
            <wp:positionH relativeFrom="margin">
              <wp:align>right</wp:align>
            </wp:positionH>
            <wp:positionV relativeFrom="paragraph">
              <wp:posOffset>3810</wp:posOffset>
            </wp:positionV>
            <wp:extent cx="5982970" cy="248602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82970" cy="2486025"/>
                    </a:xfrm>
                    <a:prstGeom prst="rect">
                      <a:avLst/>
                    </a:prstGeom>
                  </pic:spPr>
                </pic:pic>
              </a:graphicData>
            </a:graphic>
            <wp14:sizeRelH relativeFrom="page">
              <wp14:pctWidth>0</wp14:pctWidth>
            </wp14:sizeRelH>
            <wp14:sizeRelV relativeFrom="page">
              <wp14:pctHeight>0</wp14:pctHeight>
            </wp14:sizeRelV>
          </wp:anchor>
        </w:drawing>
      </w:r>
    </w:p>
    <w:p w14:paraId="084E841E" w14:textId="75EC5222" w:rsidR="00C02D8D" w:rsidRPr="001302C3" w:rsidRDefault="00C02D8D" w:rsidP="0023046A">
      <w:pPr>
        <w:contextualSpacing/>
        <w:jc w:val="right"/>
        <w:textAlignment w:val="baseline"/>
        <w:rPr>
          <w:rFonts w:ascii="Gotham" w:eastAsia="Times New Roman" w:hAnsi="Gotham" w:cs="Arial"/>
          <w:noProof/>
          <w:color w:val="000000"/>
          <w:sz w:val="18"/>
          <w:szCs w:val="18"/>
          <w:lang w:val="es-MX" w:eastAsia="es-MX"/>
        </w:rPr>
      </w:pPr>
    </w:p>
    <w:p w14:paraId="58D0F99B"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bookmarkStart w:id="4" w:name="_Hlk140051149"/>
    </w:p>
    <w:p w14:paraId="69B860D9"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243797DB"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F40E78C" w14:textId="63E256B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D258750" w14:textId="12989733"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2ED2B11" w14:textId="20004D75"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46A84AB5" w14:textId="2E23DE81"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11BB755" w14:textId="550EC0E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20BF03B" w14:textId="0C81484F"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56BFB76B" w14:textId="7D3A05C2"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35FBED0C" w14:textId="083C5843"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E12BA3D" w14:textId="040200D8"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5BE71970" w14:textId="56B8371D"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742743B3" w14:textId="3F6D664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2FA59AF" w14:textId="27B7C04A"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4F589539" w14:textId="3FC79A2C"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77266E5" w14:textId="3DA7C7F4"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68AEC390"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161B9D87" w14:textId="77777777" w:rsidR="0023046A" w:rsidRPr="001302C3" w:rsidRDefault="0023046A" w:rsidP="00C02D8D">
      <w:pPr>
        <w:jc w:val="both"/>
        <w:textAlignment w:val="baseline"/>
        <w:rPr>
          <w:rFonts w:ascii="Gotham" w:eastAsia="Times New Roman" w:hAnsi="Gotham" w:cs="Arial"/>
          <w:noProof/>
          <w:color w:val="000000"/>
          <w:sz w:val="18"/>
          <w:szCs w:val="18"/>
          <w:lang w:val="es-MX" w:eastAsia="es-MX"/>
        </w:rPr>
      </w:pPr>
    </w:p>
    <w:p w14:paraId="0B085A35" w14:textId="7880C635"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noProof/>
          <w:color w:val="000000"/>
          <w:sz w:val="18"/>
          <w:szCs w:val="18"/>
          <w:lang w:val="es-MX" w:eastAsia="es-MX"/>
        </w:rPr>
        <w:t xml:space="preserve">Referente al importe de 34,896,060.39, se muestra el traspaso de la cuenta “Construcciones en Proceso en Bienes propios” a la cuenta “Edificios No Habitacionales”, de acuerdo con el </w:t>
      </w:r>
      <w:r w:rsidRPr="001302C3">
        <w:rPr>
          <w:rFonts w:ascii="Gotham" w:hAnsi="Gotham" w:cs="Arial"/>
          <w:noProof/>
          <w:sz w:val="18"/>
          <w:szCs w:val="18"/>
          <w:lang w:val="es-MX"/>
        </w:rPr>
        <w:t>“</w:t>
      </w:r>
      <w:r w:rsidRPr="001302C3">
        <w:rPr>
          <w:rFonts w:ascii="Gotham" w:hAnsi="Gotham" w:cs="Arial"/>
          <w:b/>
          <w:i/>
          <w:iCs/>
          <w:noProof/>
          <w:sz w:val="18"/>
          <w:szCs w:val="18"/>
          <w:lang w:val="es-MX"/>
        </w:rPr>
        <w:t>ACTA DE ENTREGA RECEPCIÓN DE OBRA</w:t>
      </w:r>
      <w:r w:rsidRPr="001302C3">
        <w:rPr>
          <w:rFonts w:ascii="Gotham" w:hAnsi="Gotham" w:cs="Arial"/>
          <w:noProof/>
          <w:sz w:val="18"/>
          <w:szCs w:val="18"/>
          <w:lang w:val="es-MX"/>
        </w:rPr>
        <w:t xml:space="preserve">” </w:t>
      </w:r>
      <w:r w:rsidRPr="001302C3">
        <w:rPr>
          <w:rFonts w:ascii="Gotham" w:eastAsia="Times New Roman" w:hAnsi="Gotham" w:cs="Times New Roman"/>
          <w:bCs/>
          <w:noProof/>
          <w:color w:val="000000"/>
          <w:sz w:val="18"/>
          <w:szCs w:val="18"/>
          <w:lang w:val="es-MX" w:eastAsia="es-MX"/>
        </w:rPr>
        <w:t>“</w:t>
      </w:r>
      <w:r w:rsidRPr="001302C3">
        <w:rPr>
          <w:rFonts w:ascii="Gotham" w:hAnsi="Gotham" w:cs="Arial"/>
          <w:b/>
          <w:bCs/>
          <w:i/>
          <w:iCs/>
          <w:noProof/>
          <w:sz w:val="18"/>
          <w:szCs w:val="18"/>
          <w:lang w:val="es-MX"/>
        </w:rPr>
        <w:t>Construcción y Equipamiento de la Segunda Etapa del Archivo General de Notarías (Conclusión) (Obra nueva)”</w:t>
      </w:r>
      <w:r w:rsidRPr="001302C3">
        <w:rPr>
          <w:rFonts w:ascii="Gotham" w:eastAsia="Times New Roman" w:hAnsi="Gotham" w:cs="Times New Roman"/>
          <w:bCs/>
          <w:noProof/>
          <w:color w:val="000000"/>
          <w:sz w:val="18"/>
          <w:szCs w:val="18"/>
          <w:lang w:val="es-MX" w:eastAsia="es-MX"/>
        </w:rPr>
        <w:t>,</w:t>
      </w:r>
      <w:r w:rsidRPr="001302C3">
        <w:rPr>
          <w:rFonts w:ascii="Gotham" w:eastAsia="Times New Roman" w:hAnsi="Gotham" w:cs="Arial"/>
          <w:noProof/>
          <w:color w:val="000000"/>
          <w:sz w:val="18"/>
          <w:szCs w:val="18"/>
          <w:lang w:val="es-MX" w:eastAsia="es-MX"/>
        </w:rPr>
        <w:t xml:space="preserve"> de fecha 03 de marzo de 2023.</w:t>
      </w:r>
    </w:p>
    <w:p w14:paraId="5A795010" w14:textId="77777777"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p>
    <w:p w14:paraId="7B014C9D" w14:textId="77777777" w:rsidR="00C02D8D" w:rsidRPr="001302C3" w:rsidRDefault="00C02D8D" w:rsidP="00C02D8D">
      <w:pPr>
        <w:jc w:val="both"/>
        <w:textAlignment w:val="baseline"/>
        <w:rPr>
          <w:rFonts w:ascii="Gotham" w:hAnsi="Gotham" w:cs="Times New Roman"/>
          <w:i/>
          <w:noProof/>
          <w:sz w:val="16"/>
          <w:szCs w:val="18"/>
          <w:lang w:val="es-MX"/>
        </w:rPr>
      </w:pPr>
      <w:r w:rsidRPr="001302C3">
        <w:rPr>
          <w:rFonts w:ascii="Gotham" w:eastAsia="Times New Roman" w:hAnsi="Gotham" w:cs="Arial"/>
          <w:noProof/>
          <w:color w:val="000000"/>
          <w:sz w:val="18"/>
          <w:szCs w:val="18"/>
          <w:lang w:val="es-MX" w:eastAsia="es-MX"/>
        </w:rPr>
        <w:lastRenderedPageBreak/>
        <w:t xml:space="preserve">Asimismo, se realizaron reclasificaciones de bienes muebles a Control Administrativo; de la cuenta de Equipo de Cómputo y de Tecnologías de la Información por un importe de 452,400.14 que corresponde a 116 fuentes de energía y de la cuenta de Muebles de Oficina y Estantería por un importe de 1,327,052.00, que integran 406 bienes. </w:t>
      </w:r>
      <w:r w:rsidRPr="001302C3">
        <w:rPr>
          <w:rFonts w:ascii="Gotham" w:hAnsi="Gotham" w:cs="Times New Roman"/>
          <w:noProof/>
          <w:sz w:val="18"/>
          <w:szCs w:val="18"/>
          <w:lang w:val="es-MX"/>
        </w:rPr>
        <w:t xml:space="preserve">Asimismo, en el mes de agosto de 2023, se reclasificaron $2,601.30 de bienes que aún están en uso y en el mes de septiembre de 2023, se concilio y depuro la transferencia de bienes trasferidos del GEM al IFREM, por la cantidad de 434,186.25, </w:t>
      </w:r>
      <w:r w:rsidRPr="001302C3">
        <w:rPr>
          <w:rFonts w:ascii="Gotham" w:eastAsia="Times New Roman" w:hAnsi="Gotham" w:cs="Arial"/>
          <w:noProof/>
          <w:color w:val="000000"/>
          <w:sz w:val="18"/>
          <w:szCs w:val="18"/>
          <w:lang w:val="es-MX" w:eastAsia="es-MX"/>
        </w:rPr>
        <w:t>en cumplimiento al apartado 6. Políticas de Registro, inciso 9) Adquisición de Bienes Muebles e Inmuebles, cuarto párrafo del Manual Único de Contabilidad Gubernamental para las Dependencias y Entidades Públicas del Gobierno y Municipios del Estado de México, (vigente), en el que se señala que</w:t>
      </w:r>
      <w:r w:rsidRPr="001302C3">
        <w:rPr>
          <w:rFonts w:ascii="Gotham" w:eastAsia="Times New Roman" w:hAnsi="Gotham" w:cs="Arial"/>
          <w:noProof/>
          <w:color w:val="000000"/>
          <w:sz w:val="16"/>
          <w:szCs w:val="18"/>
          <w:lang w:val="es-MX" w:eastAsia="es-MX"/>
        </w:rPr>
        <w:t xml:space="preserve">, </w:t>
      </w:r>
      <w:r w:rsidRPr="001302C3">
        <w:rPr>
          <w:rFonts w:ascii="Gotham" w:eastAsia="Times New Roman" w:hAnsi="Gotham" w:cs="Arial"/>
          <w:i/>
          <w:noProof/>
          <w:color w:val="000000"/>
          <w:sz w:val="16"/>
          <w:szCs w:val="18"/>
          <w:lang w:val="es-MX" w:eastAsia="es-MX"/>
        </w:rPr>
        <w:t>“…</w:t>
      </w:r>
      <w:r w:rsidRPr="001302C3">
        <w:rPr>
          <w:rFonts w:ascii="Gotham" w:hAnsi="Gotham" w:cs="Times New Roman"/>
          <w:i/>
          <w:noProof/>
          <w:sz w:val="16"/>
          <w:szCs w:val="18"/>
          <w:lang w:val="es-MX"/>
        </w:rPr>
        <w:t xml:space="preserve">Para efectos del control administrativo, las adquisiciones de Bienes muebles, con un costo igual o mayor a 35 veces el valor diario de la UMA pero menor de 70 veces el valor diario de la UMA, también deberán incorporarse al sistema de control patrimonial, no así para la conciliación contable. Los Bienes muebles adquiridos con un costo menor a 35 veces el valor diario de la UMA, se deberán considerar bienes no inventariables y no requerirán de control administrativo alguno”. </w:t>
      </w:r>
    </w:p>
    <w:p w14:paraId="7BE5209D" w14:textId="77777777" w:rsidR="00C02D8D" w:rsidRPr="001302C3" w:rsidRDefault="00C02D8D" w:rsidP="00C02D8D">
      <w:pPr>
        <w:jc w:val="both"/>
        <w:textAlignment w:val="baseline"/>
        <w:rPr>
          <w:rFonts w:ascii="Gotham" w:eastAsia="Times New Roman" w:hAnsi="Gotham" w:cs="Arial"/>
          <w:noProof/>
          <w:color w:val="000000"/>
          <w:sz w:val="16"/>
          <w:szCs w:val="18"/>
          <w:lang w:val="es-MX" w:eastAsia="es-MX"/>
        </w:rPr>
      </w:pPr>
    </w:p>
    <w:bookmarkEnd w:id="4"/>
    <w:p w14:paraId="2021115C" w14:textId="77777777" w:rsidR="00C02D8D" w:rsidRPr="001302C3" w:rsidRDefault="00C02D8D" w:rsidP="00C02D8D">
      <w:pPr>
        <w:rPr>
          <w:rFonts w:ascii="Gotham" w:eastAsia="Times New Roman" w:hAnsi="Gotham" w:cs="Arial"/>
          <w:noProof/>
          <w:color w:val="000000"/>
          <w:sz w:val="18"/>
          <w:szCs w:val="18"/>
          <w:lang w:val="es-MX" w:eastAsia="es-MX"/>
        </w:rPr>
      </w:pPr>
      <w:r w:rsidRPr="001302C3">
        <w:rPr>
          <w:rFonts w:ascii="Gotham" w:eastAsia="Times New Roman" w:hAnsi="Gotham" w:cs="Arial"/>
          <w:bCs/>
          <w:noProof/>
          <w:color w:val="000000"/>
          <w:sz w:val="18"/>
          <w:szCs w:val="18"/>
          <w:lang w:val="es-MX" w:eastAsia="es-MX"/>
        </w:rPr>
        <w:t>A</w:t>
      </w:r>
      <w:r w:rsidRPr="001302C3">
        <w:rPr>
          <w:rFonts w:ascii="Gotham" w:eastAsia="Times New Roman" w:hAnsi="Gotham" w:cs="Arial"/>
          <w:b/>
          <w:bCs/>
          <w:noProof/>
          <w:color w:val="000000"/>
          <w:sz w:val="18"/>
          <w:szCs w:val="18"/>
          <w:lang w:val="es-MX" w:eastAsia="es-MX"/>
        </w:rPr>
        <w:t>ctivos Diferidos. -</w:t>
      </w:r>
      <w:r w:rsidRPr="001302C3">
        <w:rPr>
          <w:rFonts w:ascii="Gotham" w:eastAsia="Times New Roman" w:hAnsi="Gotham" w:cs="Arial"/>
          <w:noProof/>
          <w:color w:val="000000"/>
          <w:sz w:val="18"/>
          <w:szCs w:val="18"/>
          <w:lang w:val="es-MX" w:eastAsia="es-MX"/>
        </w:rPr>
        <w:t xml:space="preserve"> El saldo </w:t>
      </w:r>
      <w:r w:rsidRPr="001302C3">
        <w:rPr>
          <w:rFonts w:ascii="Gotham" w:eastAsia="Times New Roman" w:hAnsi="Gotham" w:cs="Arial"/>
          <w:noProof/>
          <w:sz w:val="18"/>
          <w:szCs w:val="18"/>
          <w:lang w:val="es-MX" w:eastAsia="es-MX"/>
        </w:rPr>
        <w:t xml:space="preserve">de este rubro es de 64,761.00 que </w:t>
      </w:r>
      <w:r w:rsidRPr="001302C3">
        <w:rPr>
          <w:rFonts w:ascii="Gotham" w:eastAsia="Times New Roman" w:hAnsi="Gotham" w:cs="Arial"/>
          <w:noProof/>
          <w:color w:val="000000"/>
          <w:sz w:val="18"/>
          <w:szCs w:val="18"/>
          <w:lang w:val="es-MX" w:eastAsia="es-MX"/>
        </w:rPr>
        <w:t xml:space="preserve">se integra por la siguiente cuenta: </w:t>
      </w:r>
    </w:p>
    <w:p w14:paraId="2FA3C6AC" w14:textId="77777777" w:rsidR="00C02D8D" w:rsidRPr="001302C3" w:rsidRDefault="00C02D8D" w:rsidP="00C02D8D">
      <w:pPr>
        <w:rPr>
          <w:rFonts w:ascii="Gotham" w:eastAsia="Times New Roman" w:hAnsi="Gotham" w:cs="Arial"/>
          <w:noProof/>
          <w:color w:val="000000"/>
          <w:sz w:val="18"/>
          <w:szCs w:val="18"/>
          <w:lang w:val="es-MX" w:eastAsia="es-MX"/>
        </w:rPr>
      </w:pPr>
    </w:p>
    <w:p w14:paraId="39097C91" w14:textId="77777777" w:rsidR="00C02D8D" w:rsidRPr="001302C3" w:rsidRDefault="00C02D8D" w:rsidP="00C02D8D">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b/>
          <w:noProof/>
          <w:color w:val="000000"/>
          <w:sz w:val="18"/>
          <w:szCs w:val="18"/>
          <w:lang w:val="es-MX" w:eastAsia="es-MX"/>
        </w:rPr>
        <w:t>Otros</w:t>
      </w:r>
      <w:r w:rsidRPr="001302C3">
        <w:rPr>
          <w:rFonts w:ascii="Gotham" w:eastAsia="Times New Roman" w:hAnsi="Gotham" w:cs="Arial"/>
          <w:b/>
          <w:bCs/>
          <w:noProof/>
          <w:color w:val="000000"/>
          <w:sz w:val="18"/>
          <w:szCs w:val="18"/>
          <w:lang w:val="es-MX" w:eastAsia="es-MX"/>
        </w:rPr>
        <w:t xml:space="preserve"> Activos Diferidos. -</w:t>
      </w:r>
      <w:r w:rsidRPr="001302C3">
        <w:rPr>
          <w:rFonts w:ascii="Gotham" w:eastAsia="Times New Roman" w:hAnsi="Gotham" w:cs="Arial"/>
          <w:noProof/>
          <w:color w:val="000000"/>
          <w:sz w:val="18"/>
          <w:szCs w:val="18"/>
          <w:lang w:val="es-MX" w:eastAsia="es-MX"/>
        </w:rPr>
        <w:t xml:space="preserve"> Su saldo representa los depósitos en garantía que se han otorgado a la Comisión Federal de Electricidad (CFE) para prestar el servicio de energía eléctrica.</w:t>
      </w:r>
    </w:p>
    <w:p w14:paraId="3BFC967A" w14:textId="77777777" w:rsidR="00C02D8D" w:rsidRPr="001302C3" w:rsidRDefault="00C02D8D" w:rsidP="00C02D8D">
      <w:pPr>
        <w:rPr>
          <w:rFonts w:ascii="Gotham" w:eastAsia="Times New Roman" w:hAnsi="Gotham" w:cs="Arial"/>
          <w:noProof/>
          <w:color w:val="000000"/>
          <w:sz w:val="18"/>
          <w:szCs w:val="18"/>
          <w:lang w:val="es-MX" w:eastAsia="es-MX"/>
        </w:rPr>
      </w:pPr>
    </w:p>
    <w:p w14:paraId="64258AF4" w14:textId="77777777" w:rsidR="00C02D8D" w:rsidRPr="001302C3" w:rsidRDefault="00C02D8D" w:rsidP="00C02D8D">
      <w:pPr>
        <w:rPr>
          <w:rFonts w:ascii="Gotham" w:eastAsia="Times New Roman" w:hAnsi="Gotham" w:cs="Arial"/>
          <w:noProof/>
          <w:color w:val="000000"/>
          <w:sz w:val="18"/>
          <w:szCs w:val="18"/>
          <w:lang w:val="es-MX" w:eastAsia="es-MX"/>
        </w:rPr>
      </w:pPr>
    </w:p>
    <w:p w14:paraId="0F509B2B" w14:textId="77777777" w:rsidR="00C02D8D" w:rsidRPr="001302C3" w:rsidRDefault="00C02D8D" w:rsidP="00C02D8D">
      <w:pPr>
        <w:rPr>
          <w:rFonts w:ascii="Gotham" w:eastAsia="Times New Roman" w:hAnsi="Gotham" w:cs="Arial"/>
          <w:b/>
          <w:bCs/>
          <w:noProof/>
          <w:color w:val="000000"/>
          <w:sz w:val="18"/>
          <w:szCs w:val="18"/>
          <w:lang w:val="es-MX" w:eastAsia="es-MX"/>
        </w:rPr>
      </w:pPr>
      <w:r w:rsidRPr="001302C3">
        <w:rPr>
          <w:rFonts w:ascii="Gotham" w:eastAsia="Times New Roman" w:hAnsi="Gotham" w:cs="Arial"/>
          <w:b/>
          <w:bCs/>
          <w:noProof/>
          <w:color w:val="000000"/>
          <w:sz w:val="18"/>
          <w:szCs w:val="18"/>
          <w:lang w:val="es-MX" w:eastAsia="es-MX"/>
        </w:rPr>
        <w:t>Pasivo Circulante</w:t>
      </w:r>
    </w:p>
    <w:p w14:paraId="225D8302" w14:textId="77777777" w:rsidR="00C02D8D" w:rsidRPr="001302C3" w:rsidRDefault="00C02D8D" w:rsidP="00C02D8D">
      <w:pPr>
        <w:rPr>
          <w:rFonts w:ascii="Gotham" w:eastAsia="Times New Roman" w:hAnsi="Gotham" w:cs="Arial"/>
          <w:b/>
          <w:bCs/>
          <w:noProof/>
          <w:color w:val="000000"/>
          <w:sz w:val="18"/>
          <w:szCs w:val="18"/>
          <w:lang w:val="es-MX" w:eastAsia="es-MX"/>
        </w:rPr>
      </w:pPr>
    </w:p>
    <w:p w14:paraId="7877BB04" w14:textId="77777777" w:rsidR="00C02D8D" w:rsidRPr="001302C3" w:rsidRDefault="00C02D8D" w:rsidP="00C02D8D">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color w:val="000000"/>
          <w:sz w:val="18"/>
          <w:szCs w:val="18"/>
          <w:lang w:val="es-MX" w:eastAsia="es-MX"/>
        </w:rPr>
        <w:t xml:space="preserve">Cuentas por Pagar a Corto Plazo. - </w:t>
      </w:r>
      <w:r w:rsidRPr="001302C3">
        <w:rPr>
          <w:rFonts w:ascii="Gotham" w:eastAsia="Times New Roman" w:hAnsi="Gotham" w:cs="Arial"/>
          <w:noProof/>
          <w:color w:val="000000"/>
          <w:sz w:val="18"/>
          <w:szCs w:val="18"/>
          <w:lang w:val="es-MX" w:eastAsia="es-MX"/>
        </w:rPr>
        <w:t xml:space="preserve">El saldo que refleja este rubro, al mes de noviembre de 2023, </w:t>
      </w:r>
      <w:r w:rsidRPr="001302C3">
        <w:rPr>
          <w:rFonts w:ascii="Gotham" w:eastAsia="Times New Roman" w:hAnsi="Gotham" w:cs="Arial"/>
          <w:noProof/>
          <w:sz w:val="18"/>
          <w:szCs w:val="18"/>
          <w:lang w:val="es-MX" w:eastAsia="es-MX"/>
        </w:rPr>
        <w:t>es de</w:t>
      </w:r>
      <w:r w:rsidRPr="001302C3">
        <w:rPr>
          <w:rFonts w:ascii="Gotham" w:eastAsia="Times New Roman" w:hAnsi="Gotham" w:cs="Times New Roman"/>
          <w:noProof/>
          <w:sz w:val="18"/>
          <w:szCs w:val="18"/>
          <w:lang w:val="es-MX" w:eastAsia="es-MX"/>
        </w:rPr>
        <w:t xml:space="preserve"> </w:t>
      </w:r>
      <w:r w:rsidRPr="001302C3">
        <w:rPr>
          <w:rFonts w:ascii="Gotham" w:eastAsia="Times New Roman" w:hAnsi="Gotham" w:cs="Arial"/>
          <w:noProof/>
          <w:sz w:val="18"/>
          <w:szCs w:val="18"/>
          <w:lang w:val="es-MX" w:eastAsia="es-MX"/>
        </w:rPr>
        <w:t xml:space="preserve">2,696,685.94 y se integra </w:t>
      </w:r>
      <w:r w:rsidRPr="001302C3">
        <w:rPr>
          <w:rFonts w:ascii="Gotham" w:eastAsia="Times New Roman" w:hAnsi="Gotham" w:cs="Arial"/>
          <w:noProof/>
          <w:color w:val="000000"/>
          <w:sz w:val="18"/>
          <w:szCs w:val="18"/>
          <w:lang w:val="es-MX" w:eastAsia="es-MX"/>
        </w:rPr>
        <w:t>de la forma y con la antigüedad de saldos siguientes:</w:t>
      </w:r>
    </w:p>
    <w:p w14:paraId="244E79BF" w14:textId="77777777" w:rsidR="00C02D8D" w:rsidRPr="001302C3" w:rsidRDefault="00C02D8D" w:rsidP="00C02D8D">
      <w:pPr>
        <w:jc w:val="both"/>
        <w:textAlignment w:val="baseline"/>
        <w:rPr>
          <w:rFonts w:ascii="Gotham" w:eastAsia="Times New Roman" w:hAnsi="Gotham" w:cs="Arial"/>
          <w:noProof/>
          <w:color w:val="000000"/>
          <w:sz w:val="18"/>
          <w:szCs w:val="18"/>
          <w:lang w:val="es-MX" w:eastAsia="es-MX"/>
        </w:rPr>
      </w:pPr>
    </w:p>
    <w:p w14:paraId="71A16070" w14:textId="77777777" w:rsidR="00C02D8D" w:rsidRPr="001302C3" w:rsidRDefault="00C02D8D" w:rsidP="00C02D8D">
      <w:pPr>
        <w:pStyle w:val="Prrafodelista"/>
        <w:numPr>
          <w:ilvl w:val="0"/>
          <w:numId w:val="2"/>
        </w:numPr>
        <w:rPr>
          <w:rFonts w:ascii="Gotham" w:eastAsia="Times New Roman" w:hAnsi="Gotham" w:cs="Arial"/>
          <w:noProof/>
          <w:color w:val="000000"/>
          <w:sz w:val="18"/>
          <w:szCs w:val="18"/>
          <w:lang w:eastAsia="es-MX"/>
        </w:rPr>
      </w:pPr>
      <w:r w:rsidRPr="001302C3">
        <w:rPr>
          <w:rFonts w:ascii="Gotham" w:eastAsia="Times New Roman" w:hAnsi="Gotham" w:cs="Arial"/>
          <w:b/>
          <w:bCs/>
          <w:noProof/>
          <w:color w:val="000000"/>
          <w:sz w:val="18"/>
          <w:szCs w:val="18"/>
          <w:lang w:eastAsia="es-MX"/>
        </w:rPr>
        <w:t>Proveedores por Pagar a Corto Plazo</w:t>
      </w:r>
      <w:r w:rsidRPr="001302C3">
        <w:rPr>
          <w:rFonts w:ascii="Gotham" w:eastAsia="Times New Roman" w:hAnsi="Gotham" w:cs="Arial"/>
          <w:noProof/>
          <w:color w:val="000000"/>
          <w:sz w:val="18"/>
          <w:szCs w:val="18"/>
          <w:lang w:eastAsia="es-MX"/>
        </w:rPr>
        <w:t>. - El saldo de 927,594.00, en este mes representa los adeudos a Proveedores de Bienes y Servicios, ésta se describe en el cuadro siguiente:</w:t>
      </w:r>
    </w:p>
    <w:p w14:paraId="56FD9089" w14:textId="77777777" w:rsidR="00C02D8D" w:rsidRPr="001302C3" w:rsidRDefault="00C02D8D" w:rsidP="00C02D8D">
      <w:pPr>
        <w:pStyle w:val="Prrafodelista"/>
        <w:ind w:left="644"/>
        <w:rPr>
          <w:rFonts w:ascii="Gotham" w:eastAsia="Times New Roman" w:hAnsi="Gotham" w:cs="Arial"/>
          <w:noProof/>
          <w:color w:val="000000"/>
          <w:sz w:val="18"/>
          <w:szCs w:val="18"/>
          <w:lang w:eastAsia="es-MX"/>
        </w:rPr>
      </w:pPr>
      <w:r w:rsidRPr="001302C3">
        <w:rPr>
          <w:rFonts w:ascii="Gotham" w:eastAsia="Times New Roman" w:hAnsi="Gotham" w:cs="Arial"/>
          <w:noProof/>
          <w:color w:val="000000"/>
          <w:sz w:val="18"/>
          <w:szCs w:val="18"/>
          <w:lang w:eastAsia="es-MX"/>
        </w:rPr>
        <w:drawing>
          <wp:anchor distT="0" distB="0" distL="114300" distR="114300" simplePos="0" relativeHeight="251678720" behindDoc="0" locked="0" layoutInCell="1" allowOverlap="1" wp14:anchorId="0A841B43" wp14:editId="09169CA1">
            <wp:simplePos x="0" y="0"/>
            <wp:positionH relativeFrom="column">
              <wp:posOffset>58420</wp:posOffset>
            </wp:positionH>
            <wp:positionV relativeFrom="paragraph">
              <wp:posOffset>132715</wp:posOffset>
            </wp:positionV>
            <wp:extent cx="6332220" cy="631190"/>
            <wp:effectExtent l="0" t="0" r="0" b="0"/>
            <wp:wrapSquare wrapText="bothSides"/>
            <wp:docPr id="7512507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50719" name=""/>
                    <pic:cNvPicPr/>
                  </pic:nvPicPr>
                  <pic:blipFill>
                    <a:blip r:embed="rId12">
                      <a:extLst>
                        <a:ext uri="{28A0092B-C50C-407E-A947-70E740481C1C}">
                          <a14:useLocalDpi xmlns:a14="http://schemas.microsoft.com/office/drawing/2010/main" val="0"/>
                        </a:ext>
                      </a:extLst>
                    </a:blip>
                    <a:stretch>
                      <a:fillRect/>
                    </a:stretch>
                  </pic:blipFill>
                  <pic:spPr>
                    <a:xfrm>
                      <a:off x="0" y="0"/>
                      <a:ext cx="6332220" cy="631190"/>
                    </a:xfrm>
                    <a:prstGeom prst="rect">
                      <a:avLst/>
                    </a:prstGeom>
                  </pic:spPr>
                </pic:pic>
              </a:graphicData>
            </a:graphic>
            <wp14:sizeRelH relativeFrom="page">
              <wp14:pctWidth>0</wp14:pctWidth>
            </wp14:sizeRelH>
            <wp14:sizeRelV relativeFrom="page">
              <wp14:pctHeight>0</wp14:pctHeight>
            </wp14:sizeRelV>
          </wp:anchor>
        </w:drawing>
      </w:r>
    </w:p>
    <w:p w14:paraId="589ECEAE" w14:textId="77777777" w:rsidR="00C02D8D" w:rsidRPr="001302C3" w:rsidRDefault="00C02D8D" w:rsidP="00C02D8D">
      <w:pPr>
        <w:pStyle w:val="Prrafodelista"/>
        <w:ind w:left="644"/>
        <w:rPr>
          <w:rFonts w:ascii="Gotham" w:eastAsia="Times New Roman" w:hAnsi="Gotham" w:cs="Arial"/>
          <w:noProof/>
          <w:color w:val="000000"/>
          <w:sz w:val="18"/>
          <w:szCs w:val="18"/>
          <w:lang w:eastAsia="es-MX"/>
        </w:rPr>
      </w:pPr>
    </w:p>
    <w:p w14:paraId="5F6BCD2A" w14:textId="77777777" w:rsidR="00C02D8D" w:rsidRPr="001302C3" w:rsidRDefault="00C02D8D" w:rsidP="00C02D8D">
      <w:pPr>
        <w:numPr>
          <w:ilvl w:val="0"/>
          <w:numId w:val="2"/>
        </w:numPr>
        <w:contextualSpacing/>
        <w:jc w:val="both"/>
        <w:textAlignment w:val="baseline"/>
        <w:rPr>
          <w:rFonts w:ascii="Gotham" w:eastAsia="Times New Roman" w:hAnsi="Gotham" w:cs="Arial"/>
          <w:noProof/>
          <w:color w:val="000000"/>
          <w:sz w:val="18"/>
          <w:szCs w:val="18"/>
          <w:lang w:val="es-MX" w:eastAsia="es-MX"/>
        </w:rPr>
      </w:pPr>
      <w:r w:rsidRPr="001302C3">
        <w:rPr>
          <w:rFonts w:ascii="Gotham" w:eastAsia="Times New Roman" w:hAnsi="Gotham" w:cs="Arial"/>
          <w:noProof/>
          <w:color w:val="000000"/>
          <w:sz w:val="18"/>
          <w:szCs w:val="18"/>
          <w:lang w:val="es-MX" w:eastAsia="es-MX"/>
        </w:rPr>
        <w:drawing>
          <wp:anchor distT="0" distB="0" distL="114300" distR="114300" simplePos="0" relativeHeight="251679744" behindDoc="0" locked="0" layoutInCell="1" allowOverlap="1" wp14:anchorId="4383844F" wp14:editId="53612C05">
            <wp:simplePos x="0" y="0"/>
            <wp:positionH relativeFrom="column">
              <wp:posOffset>80645</wp:posOffset>
            </wp:positionH>
            <wp:positionV relativeFrom="paragraph">
              <wp:posOffset>465455</wp:posOffset>
            </wp:positionV>
            <wp:extent cx="6332220" cy="1654810"/>
            <wp:effectExtent l="0" t="0" r="0" b="2540"/>
            <wp:wrapSquare wrapText="bothSides"/>
            <wp:docPr id="821318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318139" name=""/>
                    <pic:cNvPicPr/>
                  </pic:nvPicPr>
                  <pic:blipFill>
                    <a:blip r:embed="rId13">
                      <a:extLst>
                        <a:ext uri="{28A0092B-C50C-407E-A947-70E740481C1C}">
                          <a14:useLocalDpi xmlns:a14="http://schemas.microsoft.com/office/drawing/2010/main" val="0"/>
                        </a:ext>
                      </a:extLst>
                    </a:blip>
                    <a:stretch>
                      <a:fillRect/>
                    </a:stretch>
                  </pic:blipFill>
                  <pic:spPr>
                    <a:xfrm>
                      <a:off x="0" y="0"/>
                      <a:ext cx="6332220" cy="1654810"/>
                    </a:xfrm>
                    <a:prstGeom prst="rect">
                      <a:avLst/>
                    </a:prstGeom>
                  </pic:spPr>
                </pic:pic>
              </a:graphicData>
            </a:graphic>
            <wp14:sizeRelH relativeFrom="page">
              <wp14:pctWidth>0</wp14:pctWidth>
            </wp14:sizeRelH>
            <wp14:sizeRelV relativeFrom="page">
              <wp14:pctHeight>0</wp14:pctHeight>
            </wp14:sizeRelV>
          </wp:anchor>
        </w:drawing>
      </w:r>
      <w:r w:rsidRPr="001302C3">
        <w:rPr>
          <w:rFonts w:ascii="Gotham" w:hAnsi="Gotham" w:cs="Arial"/>
          <w:b/>
          <w:bCs/>
          <w:noProof/>
          <w:color w:val="000000"/>
          <w:sz w:val="18"/>
          <w:szCs w:val="18"/>
          <w:lang w:val="es-MX"/>
        </w:rPr>
        <w:t xml:space="preserve">Otras Cuentas por Pagar a Corto Plazo. </w:t>
      </w:r>
      <w:r w:rsidRPr="001302C3">
        <w:rPr>
          <w:rFonts w:ascii="Gotham" w:hAnsi="Gotham" w:cs="Arial"/>
          <w:noProof/>
          <w:color w:val="000000"/>
          <w:sz w:val="18"/>
          <w:szCs w:val="18"/>
          <w:lang w:val="es-MX"/>
        </w:rPr>
        <w:t xml:space="preserve">- El saldo de esta cuenta de </w:t>
      </w:r>
      <w:r w:rsidRPr="001302C3">
        <w:rPr>
          <w:rFonts w:ascii="Gotham" w:hAnsi="Gotham" w:cs="Arial"/>
          <w:noProof/>
          <w:sz w:val="18"/>
          <w:szCs w:val="18"/>
          <w:lang w:val="es-MX"/>
        </w:rPr>
        <w:t>1,769,091.94</w:t>
      </w:r>
      <w:r w:rsidRPr="001302C3">
        <w:rPr>
          <w:rFonts w:ascii="Gotham" w:hAnsi="Gotham" w:cs="Arial"/>
          <w:noProof/>
          <w:color w:val="000000"/>
          <w:sz w:val="18"/>
          <w:szCs w:val="18"/>
          <w:lang w:val="es-MX"/>
        </w:rPr>
        <w:t xml:space="preserve">, representa principalmente, </w:t>
      </w:r>
      <w:r w:rsidRPr="001302C3">
        <w:rPr>
          <w:rFonts w:ascii="Gotham" w:hAnsi="Gotham" w:cs="Arial"/>
          <w:noProof/>
          <w:sz w:val="18"/>
          <w:szCs w:val="18"/>
          <w:lang w:val="es-MX"/>
        </w:rPr>
        <w:t>ISERTP 3% Sobre Nóminas, Servicios Personales (Finiquitos), Aportaciones ISSEMYM, Prestaciones Sociales y Estímulos, Cheques en tránsito cancelados y devoluciones de ingresos indebidos.</w:t>
      </w:r>
    </w:p>
    <w:p w14:paraId="45AAA9EF" w14:textId="53753536" w:rsidR="00C02D8D" w:rsidRPr="001302C3" w:rsidRDefault="00C02D8D" w:rsidP="00C02D8D">
      <w:pPr>
        <w:ind w:left="644"/>
        <w:contextualSpacing/>
        <w:jc w:val="both"/>
        <w:textAlignment w:val="baseline"/>
        <w:rPr>
          <w:rFonts w:ascii="Gotham" w:eastAsia="Times New Roman" w:hAnsi="Gotham" w:cs="Arial"/>
          <w:noProof/>
          <w:color w:val="000000"/>
          <w:sz w:val="18"/>
          <w:szCs w:val="18"/>
          <w:lang w:val="es-MX" w:eastAsia="es-MX"/>
        </w:rPr>
      </w:pPr>
    </w:p>
    <w:p w14:paraId="528739F3" w14:textId="00F9D070" w:rsidR="001302C3" w:rsidRPr="001302C3" w:rsidRDefault="001302C3" w:rsidP="00C02D8D">
      <w:pPr>
        <w:ind w:left="644"/>
        <w:contextualSpacing/>
        <w:jc w:val="both"/>
        <w:textAlignment w:val="baseline"/>
        <w:rPr>
          <w:rFonts w:ascii="Gotham" w:eastAsia="Times New Roman" w:hAnsi="Gotham" w:cs="Arial"/>
          <w:noProof/>
          <w:color w:val="000000"/>
          <w:sz w:val="18"/>
          <w:szCs w:val="18"/>
          <w:lang w:val="es-MX" w:eastAsia="es-MX"/>
        </w:rPr>
      </w:pPr>
    </w:p>
    <w:p w14:paraId="0ABE1B74" w14:textId="77777777" w:rsidR="001302C3" w:rsidRPr="001302C3" w:rsidRDefault="001302C3" w:rsidP="00C02D8D">
      <w:pPr>
        <w:ind w:left="644"/>
        <w:contextualSpacing/>
        <w:jc w:val="both"/>
        <w:textAlignment w:val="baseline"/>
        <w:rPr>
          <w:rFonts w:ascii="Gotham" w:eastAsia="Times New Roman" w:hAnsi="Gotham" w:cs="Arial"/>
          <w:noProof/>
          <w:color w:val="000000"/>
          <w:sz w:val="18"/>
          <w:szCs w:val="18"/>
          <w:lang w:val="es-MX" w:eastAsia="es-MX"/>
        </w:rPr>
      </w:pPr>
    </w:p>
    <w:p w14:paraId="3F462252" w14:textId="77777777" w:rsidR="00C02D8D" w:rsidRPr="001302C3" w:rsidRDefault="00C02D8D" w:rsidP="00C02D8D">
      <w:pPr>
        <w:contextualSpacing/>
        <w:jc w:val="center"/>
        <w:textAlignment w:val="baseline"/>
        <w:rPr>
          <w:rFonts w:ascii="Gotham" w:eastAsia="Times New Roman" w:hAnsi="Gotham" w:cs="Arial"/>
          <w:noProof/>
          <w:color w:val="000000"/>
          <w:sz w:val="18"/>
          <w:szCs w:val="18"/>
          <w:lang w:val="es-MX" w:eastAsia="es-MX"/>
        </w:rPr>
      </w:pPr>
    </w:p>
    <w:p w14:paraId="009F7E3B" w14:textId="77777777" w:rsidR="00C02D8D" w:rsidRPr="001302C3" w:rsidRDefault="00C02D8D" w:rsidP="00C02D8D">
      <w:pPr>
        <w:contextualSpacing/>
        <w:jc w:val="center"/>
        <w:textAlignment w:val="baseline"/>
        <w:rPr>
          <w:rFonts w:ascii="Gotham" w:eastAsia="Times New Roman" w:hAnsi="Gotham" w:cs="Arial"/>
          <w:noProof/>
          <w:color w:val="000000"/>
          <w:sz w:val="18"/>
          <w:szCs w:val="18"/>
          <w:lang w:val="es-MX" w:eastAsia="es-MX"/>
        </w:rPr>
      </w:pPr>
    </w:p>
    <w:p w14:paraId="01BA5A21" w14:textId="77777777" w:rsidR="00C02D8D" w:rsidRPr="001302C3" w:rsidRDefault="00C02D8D" w:rsidP="00C02D8D">
      <w:pPr>
        <w:jc w:val="both"/>
        <w:rPr>
          <w:rFonts w:ascii="Gotham" w:eastAsia="Times New Roman" w:hAnsi="Gotham" w:cs="Arial"/>
          <w:b/>
          <w:bCs/>
          <w:noProof/>
          <w:sz w:val="18"/>
          <w:szCs w:val="18"/>
          <w:lang w:val="es-MX" w:eastAsia="es-MX"/>
        </w:rPr>
      </w:pPr>
      <w:r w:rsidRPr="001302C3">
        <w:rPr>
          <w:rFonts w:ascii="Gotham" w:eastAsia="Times New Roman" w:hAnsi="Gotham" w:cs="Arial"/>
          <w:b/>
          <w:bCs/>
          <w:noProof/>
          <w:sz w:val="18"/>
          <w:szCs w:val="18"/>
          <w:lang w:val="es-MX" w:eastAsia="es-MX"/>
        </w:rPr>
        <w:lastRenderedPageBreak/>
        <w:t>Pasivo No Circulante</w:t>
      </w:r>
    </w:p>
    <w:p w14:paraId="65205C69" w14:textId="77777777" w:rsidR="00C02D8D" w:rsidRPr="001302C3" w:rsidRDefault="00C02D8D" w:rsidP="00C02D8D">
      <w:pPr>
        <w:jc w:val="both"/>
        <w:rPr>
          <w:rFonts w:ascii="Gotham" w:eastAsia="Times New Roman" w:hAnsi="Gotham" w:cs="Times New Roman"/>
          <w:noProof/>
          <w:sz w:val="18"/>
          <w:szCs w:val="18"/>
          <w:lang w:val="es-MX" w:eastAsia="es-MX"/>
        </w:rPr>
      </w:pPr>
    </w:p>
    <w:p w14:paraId="258604DE" w14:textId="77777777" w:rsidR="00C02D8D" w:rsidRPr="001302C3" w:rsidRDefault="00C02D8D" w:rsidP="00C02D8D">
      <w:pPr>
        <w:jc w:val="both"/>
        <w:rPr>
          <w:rFonts w:ascii="Gotham" w:eastAsia="Times New Roman" w:hAnsi="Gotham" w:cs="Arial"/>
          <w:noProof/>
          <w:color w:val="000000"/>
          <w:sz w:val="18"/>
          <w:szCs w:val="18"/>
          <w:lang w:val="es-MX" w:eastAsia="es-MX"/>
        </w:rPr>
      </w:pPr>
      <w:r w:rsidRPr="001302C3">
        <w:rPr>
          <w:rFonts w:ascii="Gotham" w:eastAsia="Times New Roman" w:hAnsi="Gotham" w:cs="Arial"/>
          <w:b/>
          <w:bCs/>
          <w:noProof/>
          <w:color w:val="000000"/>
          <w:sz w:val="18"/>
          <w:szCs w:val="18"/>
          <w:lang w:val="es-MX" w:eastAsia="es-MX"/>
        </w:rPr>
        <w:t xml:space="preserve">Documentos por Pagar a Largo Plazo. – </w:t>
      </w:r>
      <w:r w:rsidRPr="001302C3">
        <w:rPr>
          <w:rFonts w:ascii="Gotham" w:eastAsia="Times New Roman" w:hAnsi="Gotham" w:cs="Arial"/>
          <w:bCs/>
          <w:noProof/>
          <w:color w:val="000000"/>
          <w:sz w:val="18"/>
          <w:szCs w:val="18"/>
          <w:lang w:val="es-MX" w:eastAsia="es-MX"/>
        </w:rPr>
        <w:t>Este rubro</w:t>
      </w:r>
      <w:r w:rsidRPr="001302C3">
        <w:rPr>
          <w:rFonts w:ascii="Gotham" w:eastAsia="Times New Roman" w:hAnsi="Gotham" w:cs="Arial"/>
          <w:b/>
          <w:bCs/>
          <w:noProof/>
          <w:color w:val="000000"/>
          <w:sz w:val="18"/>
          <w:szCs w:val="18"/>
          <w:lang w:val="es-MX" w:eastAsia="es-MX"/>
        </w:rPr>
        <w:t xml:space="preserve"> </w:t>
      </w:r>
      <w:r w:rsidRPr="001302C3">
        <w:rPr>
          <w:rFonts w:ascii="Gotham" w:eastAsia="Times New Roman" w:hAnsi="Gotham" w:cs="Arial"/>
          <w:noProof/>
          <w:sz w:val="18"/>
          <w:szCs w:val="18"/>
          <w:lang w:val="es-MX" w:eastAsia="es-MX"/>
        </w:rPr>
        <w:t xml:space="preserve">muestra un saldo de </w:t>
      </w:r>
      <w:r w:rsidRPr="001302C3">
        <w:rPr>
          <w:rFonts w:ascii="Gotham" w:eastAsia="Times New Roman" w:hAnsi="Gotham" w:cs="Arial"/>
          <w:b/>
          <w:noProof/>
          <w:sz w:val="18"/>
          <w:szCs w:val="18"/>
          <w:lang w:val="es-MX" w:eastAsia="es-MX"/>
        </w:rPr>
        <w:t>5,265,873,133.97</w:t>
      </w:r>
      <w:r w:rsidRPr="001302C3">
        <w:rPr>
          <w:rFonts w:ascii="Gotham" w:eastAsia="Times New Roman" w:hAnsi="Gotham" w:cs="Arial"/>
          <w:noProof/>
          <w:sz w:val="18"/>
          <w:szCs w:val="18"/>
          <w:lang w:val="es-MX" w:eastAsia="es-MX"/>
        </w:rPr>
        <w:t xml:space="preserve">, </w:t>
      </w:r>
      <w:r w:rsidRPr="001302C3">
        <w:rPr>
          <w:rFonts w:ascii="Gotham" w:eastAsia="Times New Roman" w:hAnsi="Gotham" w:cs="Arial"/>
          <w:noProof/>
          <w:color w:val="000000"/>
          <w:sz w:val="18"/>
          <w:szCs w:val="18"/>
          <w:lang w:val="es-MX" w:eastAsia="es-MX"/>
        </w:rPr>
        <w:t>se integra por la siguiente cuenta:</w:t>
      </w:r>
    </w:p>
    <w:p w14:paraId="21758647" w14:textId="77777777" w:rsidR="00C02D8D" w:rsidRPr="001302C3" w:rsidRDefault="00C02D8D" w:rsidP="00C02D8D">
      <w:pPr>
        <w:jc w:val="both"/>
        <w:rPr>
          <w:rFonts w:ascii="Gotham" w:eastAsia="Times New Roman" w:hAnsi="Gotham" w:cs="Arial"/>
          <w:noProof/>
          <w:color w:val="000000"/>
          <w:sz w:val="18"/>
          <w:szCs w:val="18"/>
          <w:lang w:val="es-MX" w:eastAsia="es-MX"/>
        </w:rPr>
      </w:pPr>
    </w:p>
    <w:p w14:paraId="34AD0C2A" w14:textId="23201282" w:rsidR="00C02D8D" w:rsidRPr="001302C3" w:rsidRDefault="00C02D8D" w:rsidP="00C02D8D">
      <w:pPr>
        <w:numPr>
          <w:ilvl w:val="0"/>
          <w:numId w:val="2"/>
        </w:numPr>
        <w:contextualSpacing/>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b/>
          <w:bCs/>
          <w:noProof/>
          <w:sz w:val="18"/>
          <w:szCs w:val="18"/>
          <w:lang w:val="es-MX" w:eastAsia="es-MX"/>
        </w:rPr>
        <w:t>Documentos Comerciales por Pagar a Largo Plazo</w:t>
      </w:r>
      <w:r w:rsidRPr="001302C3">
        <w:rPr>
          <w:rFonts w:ascii="Gotham" w:eastAsia="Times New Roman" w:hAnsi="Gotham" w:cs="Times New Roman"/>
          <w:b/>
          <w:bCs/>
          <w:noProof/>
          <w:sz w:val="18"/>
          <w:szCs w:val="18"/>
          <w:lang w:val="es-MX" w:eastAsia="es-MX"/>
        </w:rPr>
        <w:t xml:space="preserve">. - </w:t>
      </w:r>
      <w:r w:rsidRPr="001302C3">
        <w:rPr>
          <w:rFonts w:ascii="Gotham" w:eastAsia="Times New Roman" w:hAnsi="Gotham" w:cs="Times New Roman"/>
          <w:bCs/>
          <w:noProof/>
          <w:sz w:val="18"/>
          <w:szCs w:val="18"/>
          <w:lang w:val="es-MX" w:eastAsia="es-MX"/>
        </w:rPr>
        <w:t>Esta cuenta refleja el pasivo a Largo Plazo en los que se comprometen los ingresos presentes y futuros por concepto de Registro Público de la Propiedad (RPP) del IFREM, de acuerdo al Decreto de Autorización No. 79, publicado en la Gaceta del Gobierno de fecha 12 de mayo del 2010. Asimismo, l</w:t>
      </w:r>
      <w:r w:rsidRPr="001302C3">
        <w:rPr>
          <w:rFonts w:ascii="Gotham" w:eastAsia="Times New Roman" w:hAnsi="Gotham" w:cs="Arial"/>
          <w:noProof/>
          <w:sz w:val="18"/>
          <w:szCs w:val="18"/>
          <w:lang w:val="es-MX" w:eastAsia="es-MX"/>
        </w:rPr>
        <w:t>a operación del Fideicomiso de Cobranza se registra en esta cuenta, la cual se compone conforme a lo siguiente:</w:t>
      </w:r>
    </w:p>
    <w:p w14:paraId="2072C2BF" w14:textId="77777777" w:rsidR="0023046A" w:rsidRPr="001302C3" w:rsidRDefault="0023046A" w:rsidP="0023046A">
      <w:pPr>
        <w:ind w:left="644"/>
        <w:contextualSpacing/>
        <w:jc w:val="both"/>
        <w:textAlignment w:val="baseline"/>
        <w:rPr>
          <w:rFonts w:ascii="Gotham" w:eastAsia="Times New Roman" w:hAnsi="Gotham" w:cs="Arial"/>
          <w:noProof/>
          <w:sz w:val="18"/>
          <w:szCs w:val="18"/>
          <w:lang w:val="es-MX" w:eastAsia="es-MX"/>
        </w:rPr>
      </w:pPr>
    </w:p>
    <w:p w14:paraId="74E173D0" w14:textId="49FF499E" w:rsidR="00C60F3C" w:rsidRPr="001302C3" w:rsidRDefault="0023046A" w:rsidP="001302C3">
      <w:pPr>
        <w:ind w:left="644"/>
        <w:contextualSpacing/>
        <w:jc w:val="center"/>
        <w:textAlignment w:val="baseline"/>
        <w:rPr>
          <w:rFonts w:ascii="Gotham" w:eastAsia="Times New Roman" w:hAnsi="Gotham" w:cs="Arial"/>
          <w:noProof/>
          <w:sz w:val="18"/>
          <w:szCs w:val="18"/>
          <w:lang w:val="es-MX" w:eastAsia="es-MX"/>
        </w:rPr>
      </w:pPr>
      <w:r w:rsidRPr="001302C3">
        <w:rPr>
          <w:noProof/>
          <w:sz w:val="18"/>
          <w:szCs w:val="18"/>
          <w:lang w:val="es-MX" w:eastAsia="es-MX"/>
        </w:rPr>
        <w:drawing>
          <wp:inline distT="0" distB="0" distL="0" distR="0" wp14:anchorId="39AC04B6" wp14:editId="00F350C4">
            <wp:extent cx="5158127" cy="1138343"/>
            <wp:effectExtent l="0" t="0" r="4445"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2727" cy="1148186"/>
                    </a:xfrm>
                    <a:prstGeom prst="rect">
                      <a:avLst/>
                    </a:prstGeom>
                    <a:noFill/>
                    <a:ln>
                      <a:noFill/>
                    </a:ln>
                  </pic:spPr>
                </pic:pic>
              </a:graphicData>
            </a:graphic>
          </wp:inline>
        </w:drawing>
      </w:r>
    </w:p>
    <w:p w14:paraId="603D8FBC" w14:textId="77777777" w:rsidR="00C60F3C" w:rsidRPr="001302C3" w:rsidRDefault="00C60F3C" w:rsidP="00C60F3C">
      <w:pPr>
        <w:numPr>
          <w:ilvl w:val="0"/>
          <w:numId w:val="1"/>
        </w:numPr>
        <w:spacing w:before="240" w:after="240" w:line="276" w:lineRule="auto"/>
        <w:ind w:left="1068" w:right="-1"/>
        <w:contextualSpacing/>
        <w:outlineLvl w:val="0"/>
        <w:rPr>
          <w:rFonts w:ascii="Gotham" w:eastAsia="Times New Roman" w:hAnsi="Gotham" w:cs="Arial"/>
          <w:sz w:val="18"/>
          <w:szCs w:val="18"/>
          <w:lang w:val="es-MX"/>
        </w:rPr>
      </w:pPr>
      <w:r w:rsidRPr="001302C3">
        <w:rPr>
          <w:rFonts w:ascii="Gotham" w:eastAsia="Times New Roman" w:hAnsi="Gotham" w:cs="Arial"/>
          <w:b/>
          <w:bCs/>
          <w:color w:val="000000"/>
          <w:sz w:val="18"/>
          <w:szCs w:val="18"/>
          <w:lang w:val="es-MX"/>
        </w:rPr>
        <w:t>NOTAS AL ESTADO DE ACTIVIDADES</w:t>
      </w:r>
    </w:p>
    <w:p w14:paraId="34BFFB76" w14:textId="77777777" w:rsidR="00C60F3C" w:rsidRPr="001302C3" w:rsidRDefault="00C60F3C" w:rsidP="00C60F3C">
      <w:pPr>
        <w:spacing w:before="240" w:after="240" w:line="276" w:lineRule="auto"/>
        <w:ind w:left="1068" w:right="-1"/>
        <w:contextualSpacing/>
        <w:outlineLvl w:val="0"/>
        <w:rPr>
          <w:rFonts w:ascii="Gotham" w:eastAsia="Times New Roman" w:hAnsi="Gotham" w:cs="Arial"/>
          <w:sz w:val="18"/>
          <w:szCs w:val="18"/>
          <w:lang w:val="es-MX"/>
        </w:rPr>
      </w:pPr>
    </w:p>
    <w:p w14:paraId="441EA161" w14:textId="58260903" w:rsidR="00C60F3C" w:rsidRPr="001302C3" w:rsidRDefault="00C60F3C" w:rsidP="00C60F3C">
      <w:pPr>
        <w:spacing w:after="160" w:line="259" w:lineRule="auto"/>
        <w:rPr>
          <w:rFonts w:ascii="Gotham" w:eastAsia="Times New Roman" w:hAnsi="Gotham" w:cs="Arial"/>
          <w:b/>
          <w:sz w:val="18"/>
          <w:szCs w:val="18"/>
          <w:lang w:val="es-MX"/>
        </w:rPr>
      </w:pPr>
      <w:r w:rsidRPr="001302C3">
        <w:rPr>
          <w:rFonts w:ascii="Gotham" w:eastAsia="Times New Roman" w:hAnsi="Gotham" w:cs="Arial"/>
          <w:b/>
          <w:sz w:val="18"/>
          <w:szCs w:val="18"/>
          <w:lang w:val="es-MX"/>
        </w:rPr>
        <w:t>INGRESOS Y OTROS BENEFICIOS</w:t>
      </w:r>
    </w:p>
    <w:p w14:paraId="6621D2F6" w14:textId="4CF4490C" w:rsidR="00C60F3C" w:rsidRPr="001302C3" w:rsidRDefault="00C60F3C" w:rsidP="00C60F3C">
      <w:pPr>
        <w:numPr>
          <w:ilvl w:val="0"/>
          <w:numId w:val="2"/>
        </w:numPr>
        <w:spacing w:after="160" w:line="259" w:lineRule="auto"/>
        <w:contextualSpacing/>
        <w:jc w:val="both"/>
        <w:textAlignment w:val="baseline"/>
        <w:rPr>
          <w:rFonts w:ascii="Gotham" w:eastAsia="Times New Roman" w:hAnsi="Gotham" w:cs="Times New Roman"/>
          <w:sz w:val="18"/>
          <w:szCs w:val="18"/>
          <w:lang w:val="es-MX"/>
        </w:rPr>
      </w:pPr>
      <w:r w:rsidRPr="001302C3">
        <w:rPr>
          <w:rFonts w:ascii="Gotham" w:eastAsia="Times New Roman" w:hAnsi="Gotham" w:cs="Arial"/>
          <w:b/>
          <w:bCs/>
          <w:color w:val="000000"/>
          <w:sz w:val="18"/>
          <w:szCs w:val="18"/>
          <w:lang w:val="es-MX"/>
        </w:rPr>
        <w:t>Derechos.</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Times New Roman"/>
          <w:bCs/>
          <w:noProof/>
          <w:sz w:val="18"/>
          <w:szCs w:val="18"/>
          <w:lang w:val="es-MX" w:eastAsia="es-MX"/>
        </w:rPr>
        <w:t>- Los Ingresos de Gestión por los Derechos de los servicios prestados por el Instituto, en el mes fueron por la cantidad de 228,222,440.00 obteniendo una recaudación en los recursos del RPP por 225,285,211.00 y los recursos del RPC por 2,937,229.00. Al mes se lleva un total acumulado por 1,974,689,134.00</w:t>
      </w:r>
    </w:p>
    <w:p w14:paraId="3AA72792" w14:textId="77777777" w:rsidR="00C60F3C" w:rsidRPr="001302C3" w:rsidRDefault="00C60F3C" w:rsidP="00C60F3C">
      <w:pPr>
        <w:spacing w:after="160" w:line="259" w:lineRule="auto"/>
        <w:ind w:left="644"/>
        <w:contextualSpacing/>
        <w:jc w:val="both"/>
        <w:textAlignment w:val="baseline"/>
        <w:rPr>
          <w:rFonts w:ascii="Gotham" w:eastAsia="Times New Roman" w:hAnsi="Gotham" w:cs="Times New Roman"/>
          <w:sz w:val="18"/>
          <w:szCs w:val="18"/>
          <w:lang w:val="es-MX"/>
        </w:rPr>
      </w:pPr>
    </w:p>
    <w:p w14:paraId="39A5DDB6"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sz w:val="18"/>
          <w:szCs w:val="18"/>
          <w:lang w:val="es-MX"/>
        </w:rPr>
        <w:t>Productos.</w:t>
      </w:r>
      <w:r w:rsidRPr="001302C3">
        <w:rPr>
          <w:rFonts w:ascii="Gotham" w:eastAsia="Times New Roman" w:hAnsi="Gotham" w:cs="Times New Roman"/>
          <w:b/>
          <w:bCs/>
          <w:sz w:val="18"/>
          <w:szCs w:val="18"/>
          <w:lang w:val="es-MX"/>
        </w:rPr>
        <w:t xml:space="preserve"> – </w:t>
      </w:r>
      <w:r w:rsidRPr="001302C3">
        <w:rPr>
          <w:rFonts w:ascii="Gotham" w:eastAsia="Times New Roman" w:hAnsi="Gotham" w:cs="Arial"/>
          <w:sz w:val="18"/>
          <w:szCs w:val="18"/>
          <w:lang w:val="es-MX"/>
        </w:rPr>
        <w:t>Estos ingresos corresponden a los ingresos financieros del mes por la cantidad de</w:t>
      </w:r>
      <w:r w:rsidRPr="001302C3">
        <w:rPr>
          <w:rFonts w:ascii="Gotham" w:eastAsiaTheme="minorHAnsi" w:hAnsi="Gotham" w:cs="Times New Roman"/>
          <w:sz w:val="18"/>
          <w:szCs w:val="18"/>
          <w:lang w:val="es-MX"/>
        </w:rPr>
        <w:t xml:space="preserve"> </w:t>
      </w:r>
      <w:r w:rsidRPr="001302C3">
        <w:rPr>
          <w:rFonts w:ascii="Gotham" w:eastAsia="Times New Roman" w:hAnsi="Gotham" w:cs="Arial"/>
          <w:sz w:val="18"/>
          <w:szCs w:val="18"/>
          <w:lang w:val="es-MX"/>
        </w:rPr>
        <w:t>2,222,857.12, integrados por Productos Financieros de Tipo Corriente. Al mes se lleva total acumulado por 433,971,426.01, de los cuales</w:t>
      </w:r>
      <w:r w:rsidRPr="001302C3">
        <w:rPr>
          <w:rFonts w:ascii="Gotham" w:eastAsiaTheme="minorHAnsi" w:hAnsi="Gotham" w:cs="Times New Roman"/>
          <w:sz w:val="18"/>
          <w:szCs w:val="18"/>
          <w:lang w:val="es-MX"/>
        </w:rPr>
        <w:t xml:space="preserve"> </w:t>
      </w:r>
      <w:r w:rsidRPr="001302C3">
        <w:rPr>
          <w:rFonts w:ascii="Gotham" w:eastAsia="Times New Roman" w:hAnsi="Gotham" w:cs="Arial"/>
          <w:sz w:val="18"/>
          <w:szCs w:val="18"/>
          <w:lang w:val="es-MX"/>
        </w:rPr>
        <w:t>403,945,864.87, corresponden a los intereses de la deuda pública.</w:t>
      </w:r>
    </w:p>
    <w:p w14:paraId="2B376882" w14:textId="77777777" w:rsidR="00C60F3C" w:rsidRPr="001302C3" w:rsidRDefault="00C60F3C" w:rsidP="00C60F3C">
      <w:pPr>
        <w:numPr>
          <w:ilvl w:val="0"/>
          <w:numId w:val="2"/>
        </w:numPr>
        <w:spacing w:after="160" w:line="259" w:lineRule="auto"/>
        <w:contextualSpacing/>
        <w:jc w:val="both"/>
        <w:textAlignment w:val="baseline"/>
        <w:rPr>
          <w:rFonts w:ascii="Gotham" w:eastAsia="Times New Roman" w:hAnsi="Gotham" w:cs="Arial"/>
          <w:color w:val="000000"/>
          <w:sz w:val="18"/>
          <w:szCs w:val="18"/>
          <w:lang w:val="es-MX"/>
        </w:rPr>
      </w:pPr>
      <w:r w:rsidRPr="001302C3">
        <w:rPr>
          <w:rFonts w:ascii="Gotham" w:eastAsia="Times New Roman" w:hAnsi="Gotham" w:cs="Arial"/>
          <w:b/>
          <w:sz w:val="18"/>
          <w:szCs w:val="18"/>
          <w:lang w:val="es-MX"/>
        </w:rPr>
        <w:t xml:space="preserve">Participaciones, Aportaciones, Convenios, Incentivos Derivados de la Colaboración Fiscal, Fondos Distintos de Aportaciones, Transferencias, Asignaciones, Subsidios y Subvenciones, y Pensiones y Jubilaciones. - </w:t>
      </w:r>
      <w:r w:rsidRPr="001302C3">
        <w:rPr>
          <w:rFonts w:ascii="Gotham" w:eastAsia="Times New Roman" w:hAnsi="Gotham" w:cs="Arial"/>
          <w:sz w:val="18"/>
          <w:szCs w:val="18"/>
          <w:lang w:val="es-MX"/>
        </w:rPr>
        <w:t xml:space="preserve">En este mes se recibió del GEM, en el Rubro de “Transferencias, Asignaciones, Subsidios y Subvenciones, Pensiones y Jubilaciones”, la cantidad de 3,514,422.00. Al mes se tiene un acumulado de </w:t>
      </w:r>
      <w:r w:rsidRPr="001302C3">
        <w:rPr>
          <w:rFonts w:ascii="Gotham" w:eastAsia="Times New Roman" w:hAnsi="Gotham" w:cs="Arial"/>
          <w:color w:val="000000"/>
          <w:sz w:val="18"/>
          <w:szCs w:val="18"/>
          <w:lang w:val="es-MX"/>
        </w:rPr>
        <w:t>44,141,594.44.</w:t>
      </w:r>
    </w:p>
    <w:p w14:paraId="07B11175" w14:textId="77777777" w:rsidR="00C60F3C" w:rsidRPr="001302C3" w:rsidRDefault="00C60F3C" w:rsidP="00C60F3C">
      <w:pPr>
        <w:spacing w:after="160" w:line="259" w:lineRule="auto"/>
        <w:ind w:left="720"/>
        <w:contextualSpacing/>
        <w:rPr>
          <w:rFonts w:ascii="Gotham" w:eastAsia="Times New Roman" w:hAnsi="Gotham" w:cs="Arial"/>
          <w:color w:val="000000"/>
          <w:sz w:val="18"/>
          <w:szCs w:val="18"/>
          <w:lang w:val="es-MX"/>
        </w:rPr>
      </w:pPr>
    </w:p>
    <w:p w14:paraId="2EF75AE5"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Times New Roman"/>
          <w:sz w:val="18"/>
          <w:szCs w:val="18"/>
          <w:lang w:val="es-MX"/>
        </w:rPr>
      </w:pPr>
      <w:r w:rsidRPr="001302C3">
        <w:rPr>
          <w:rFonts w:ascii="Gotham" w:eastAsia="Times New Roman" w:hAnsi="Gotham" w:cs="Arial"/>
          <w:b/>
          <w:bCs/>
          <w:color w:val="000000"/>
          <w:sz w:val="18"/>
          <w:szCs w:val="18"/>
          <w:lang w:val="es-MX"/>
        </w:rPr>
        <w:t>Otros Ingresos y Beneficios Varios</w:t>
      </w:r>
      <w:r w:rsidRPr="001302C3">
        <w:rPr>
          <w:rFonts w:ascii="Gotham" w:eastAsia="Times New Roman" w:hAnsi="Gotham" w:cs="Arial"/>
          <w:color w:val="000000"/>
          <w:sz w:val="18"/>
          <w:szCs w:val="18"/>
          <w:lang w:val="es-MX"/>
        </w:rPr>
        <w:t>. - Se observa en el mes un saldo por la cantidad de 125,074.46, correspondiente a Otros Ingresos Diversos por 4.88, Cancelación de Cuentas por Pagar por 5,933.74, Aprovechamientos por sanción o incumplimiento por 31,679.25, Depósitos en Efectivo no Referenciado por 67,378.00, Rendimientos de la Remesa de los Ingresos por RPC por 20,078.59. Al mes se tiene un acumulado por 804,959.25.</w:t>
      </w:r>
    </w:p>
    <w:p w14:paraId="6266CF2B" w14:textId="77777777" w:rsidR="00C60F3C" w:rsidRPr="001302C3" w:rsidRDefault="00C60F3C" w:rsidP="00C60F3C">
      <w:pPr>
        <w:spacing w:after="160" w:line="259" w:lineRule="auto"/>
        <w:rPr>
          <w:rFonts w:ascii="Gotham" w:eastAsia="Times New Roman" w:hAnsi="Gotham" w:cs="Arial"/>
          <w:b/>
          <w:sz w:val="18"/>
          <w:szCs w:val="18"/>
          <w:lang w:val="es-MX"/>
        </w:rPr>
      </w:pPr>
      <w:r w:rsidRPr="001302C3">
        <w:rPr>
          <w:rFonts w:ascii="Gotham" w:eastAsia="Times New Roman" w:hAnsi="Gotham" w:cs="Arial"/>
          <w:b/>
          <w:sz w:val="18"/>
          <w:szCs w:val="18"/>
          <w:lang w:val="es-MX"/>
        </w:rPr>
        <w:t>GASTOS Y OTRAS PÉRDIDAS</w:t>
      </w:r>
    </w:p>
    <w:p w14:paraId="1D268581" w14:textId="77777777" w:rsidR="00C60F3C"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Gastos de Funcionamiento.</w:t>
      </w:r>
      <w:r w:rsidRPr="001302C3">
        <w:rPr>
          <w:rFonts w:ascii="Gotham" w:eastAsia="Times New Roman" w:hAnsi="Gotham" w:cs="Times New Roman"/>
          <w:color w:val="000000"/>
          <w:sz w:val="18"/>
          <w:szCs w:val="18"/>
          <w:lang w:val="es-MX"/>
        </w:rPr>
        <w:t xml:space="preserve"> - </w:t>
      </w:r>
      <w:r w:rsidRPr="001302C3">
        <w:rPr>
          <w:rFonts w:ascii="Gotham" w:eastAsia="Times New Roman" w:hAnsi="Gotham" w:cs="Arial"/>
          <w:color w:val="000000"/>
          <w:sz w:val="18"/>
          <w:szCs w:val="18"/>
          <w:lang w:val="es-MX"/>
        </w:rPr>
        <w:t>Para la operación del Instituto, se han erogado en este mes la cantidad de 43,840,215.80, integrados principalmente por: “Servicios Personales” (pagos de la nómina y sus colaterales) que representa el 58.90 por ciento, con un importe de 25,823,555.20, el Capítulo de “Servicios Generales”, representa el 39.55 por ciento con un importe de 17,337,837.50, el Capítulo de “Materiales y Suministros”, que representa el 1.55 por ciento por 678,823.10, se tiene un saldo acumulado al mes por 306,790,162.19.</w:t>
      </w:r>
    </w:p>
    <w:p w14:paraId="55005C87" w14:textId="77777777" w:rsidR="001357AB" w:rsidRDefault="001357AB" w:rsidP="001357AB">
      <w:pPr>
        <w:spacing w:after="160" w:line="259" w:lineRule="auto"/>
        <w:jc w:val="both"/>
        <w:textAlignment w:val="baseline"/>
        <w:rPr>
          <w:rFonts w:ascii="Gotham" w:eastAsia="Times New Roman" w:hAnsi="Gotham" w:cs="Arial"/>
          <w:color w:val="000000"/>
          <w:sz w:val="18"/>
          <w:szCs w:val="18"/>
          <w:lang w:val="es-MX"/>
        </w:rPr>
      </w:pPr>
    </w:p>
    <w:p w14:paraId="69DC7A61"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sz w:val="18"/>
          <w:szCs w:val="18"/>
          <w:lang w:val="es-MX"/>
        </w:rPr>
        <w:t>Transferencias, Asignaciones, Subsidios y Otras Ayudas</w:t>
      </w:r>
      <w:r w:rsidRPr="001302C3">
        <w:rPr>
          <w:rFonts w:ascii="Gotham" w:eastAsia="Times New Roman" w:hAnsi="Gotham" w:cs="Times New Roman"/>
          <w:b/>
          <w:bCs/>
          <w:sz w:val="18"/>
          <w:szCs w:val="18"/>
          <w:lang w:val="es-MX"/>
        </w:rPr>
        <w:t>. –</w:t>
      </w:r>
      <w:r w:rsidRPr="001302C3">
        <w:rPr>
          <w:rFonts w:ascii="Gotham" w:eastAsia="Times New Roman" w:hAnsi="Gotham" w:cs="Times New Roman"/>
          <w:sz w:val="18"/>
          <w:szCs w:val="18"/>
          <w:lang w:val="es-MX"/>
        </w:rPr>
        <w:t xml:space="preserve"> </w:t>
      </w:r>
      <w:r w:rsidRPr="001302C3">
        <w:rPr>
          <w:rFonts w:ascii="Gotham" w:eastAsia="Times New Roman" w:hAnsi="Gotham" w:cs="Arial"/>
          <w:color w:val="000000"/>
          <w:sz w:val="18"/>
          <w:szCs w:val="18"/>
          <w:lang w:val="es-MX"/>
        </w:rPr>
        <w:t xml:space="preserve">En este rubro contable muestra </w:t>
      </w:r>
      <w:r w:rsidRPr="001302C3">
        <w:rPr>
          <w:rFonts w:ascii="Gotham" w:eastAsia="Times New Roman" w:hAnsi="Gotham" w:cs="Times New Roman"/>
          <w:sz w:val="18"/>
          <w:szCs w:val="18"/>
          <w:lang w:val="es-MX"/>
        </w:rPr>
        <w:t>“</w:t>
      </w:r>
      <w:r w:rsidRPr="001302C3">
        <w:rPr>
          <w:rFonts w:ascii="Gotham" w:eastAsia="Times New Roman" w:hAnsi="Gotham" w:cstheme="minorBidi"/>
          <w:color w:val="000000"/>
          <w:sz w:val="18"/>
          <w:szCs w:val="18"/>
          <w:lang w:val="es-MX"/>
        </w:rPr>
        <w:t>Transferencias Internas y Asignaciones al Sector Público”, por una cantidad de      246,930,960.25, realizado en el mes de d</w:t>
      </w:r>
      <w:r w:rsidRPr="001302C3">
        <w:rPr>
          <w:rFonts w:ascii="Gotham" w:eastAsia="Times New Roman" w:hAnsi="Gotham" w:cstheme="minorBidi"/>
          <w:sz w:val="18"/>
          <w:szCs w:val="18"/>
          <w:lang w:val="es-MX"/>
        </w:rPr>
        <w:t xml:space="preserve">iciembre </w:t>
      </w:r>
      <w:r w:rsidRPr="001302C3">
        <w:rPr>
          <w:rFonts w:ascii="Gotham" w:eastAsia="Times New Roman" w:hAnsi="Gotham" w:cstheme="minorBidi"/>
          <w:color w:val="000000"/>
          <w:sz w:val="18"/>
          <w:szCs w:val="18"/>
          <w:lang w:val="es-MX"/>
        </w:rPr>
        <w:t>por 470,737,800.42 realizado en el mes de mayo y una cantidad de 102,538,486.10 realizado en el mes de febrero, s</w:t>
      </w:r>
      <w:r w:rsidRPr="001302C3">
        <w:rPr>
          <w:rFonts w:ascii="Gotham" w:eastAsia="Times New Roman" w:hAnsi="Gotham" w:cs="Arial"/>
          <w:sz w:val="18"/>
          <w:szCs w:val="18"/>
          <w:lang w:val="es-MX"/>
        </w:rPr>
        <w:t>e refleja un saldo acumulado al mes por 820,207,246.77</w:t>
      </w:r>
      <w:r w:rsidRPr="001302C3">
        <w:rPr>
          <w:rFonts w:ascii="Gotham" w:eastAsia="Times New Roman" w:hAnsi="Gotham" w:cstheme="minorBidi"/>
          <w:color w:val="000000"/>
          <w:sz w:val="18"/>
          <w:szCs w:val="18"/>
          <w:lang w:val="es-MX"/>
        </w:rPr>
        <w:t xml:space="preserve"> por concepto de los Remanentes del Fideicomiso de Cobranza, trasferidos al GEM. En </w:t>
      </w:r>
      <w:r w:rsidRPr="001302C3">
        <w:rPr>
          <w:rFonts w:ascii="Gotham" w:eastAsia="Times New Roman" w:hAnsi="Gotham" w:cs="Times New Roman"/>
          <w:sz w:val="18"/>
          <w:szCs w:val="18"/>
          <w:lang w:val="es-MX"/>
        </w:rPr>
        <w:t>“</w:t>
      </w:r>
      <w:r w:rsidRPr="001302C3">
        <w:rPr>
          <w:rFonts w:ascii="Gotham" w:eastAsia="Times New Roman" w:hAnsi="Gotham" w:cs="Arial"/>
          <w:sz w:val="18"/>
          <w:szCs w:val="18"/>
          <w:lang w:val="es-MX"/>
        </w:rPr>
        <w:t>Subsidios y Subvenciones”, por concepto de “Devoluciones de Ingresos Indebidos”, la cantidad de 305,807.16, y un acumulado al mes por 3,966,855.02. De tal forma que en “Transferencias, Asignaciones, Subsidios y Otras Ayudas se tiene un acumulado de 824,174,101.79.</w:t>
      </w:r>
    </w:p>
    <w:p w14:paraId="740156F6"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 xml:space="preserve">Intereses, Comisiones y otros Gastos de la Deuda Pública. - </w:t>
      </w:r>
      <w:r w:rsidRPr="001302C3">
        <w:rPr>
          <w:rFonts w:ascii="Gotham" w:eastAsia="Times New Roman" w:hAnsi="Gotham" w:cs="Arial"/>
          <w:color w:val="000000"/>
          <w:sz w:val="18"/>
          <w:szCs w:val="18"/>
          <w:lang w:val="es-MX"/>
        </w:rPr>
        <w:t>En este rubro contable muestra un monto acumulado por 535,954,085.98, monto integrado por los Intereses del primer periodo en este ejercicio fiscal 2023, de los CEBUR´S, Series A, 132,915,310.60, Serie B, 80,425,639.27 y Subordinada C, por un importe de 190,604,915.00, más 132,008,221.11 de actualización de la de la deuda pública.</w:t>
      </w:r>
    </w:p>
    <w:p w14:paraId="72721BB7" w14:textId="77777777" w:rsidR="00C60F3C" w:rsidRDefault="00C60F3C" w:rsidP="00C60F3C">
      <w:pPr>
        <w:numPr>
          <w:ilvl w:val="0"/>
          <w:numId w:val="2"/>
        </w:numPr>
        <w:spacing w:after="160" w:line="256"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Otros Gastos y Pérdidas Extraordinarias.</w:t>
      </w:r>
      <w:r w:rsidRPr="001302C3">
        <w:rPr>
          <w:rFonts w:ascii="Gotham" w:eastAsia="Times New Roman" w:hAnsi="Gotham" w:cs="Times New Roman"/>
          <w:color w:val="000000"/>
          <w:sz w:val="18"/>
          <w:szCs w:val="18"/>
          <w:lang w:val="es-MX"/>
        </w:rPr>
        <w:t xml:space="preserve"> - </w:t>
      </w:r>
      <w:r w:rsidRPr="001302C3">
        <w:rPr>
          <w:rFonts w:ascii="Gotham" w:eastAsia="Times New Roman" w:hAnsi="Gotham" w:cs="Arial"/>
          <w:color w:val="000000"/>
          <w:sz w:val="18"/>
          <w:szCs w:val="18"/>
          <w:lang w:val="es-MX"/>
        </w:rPr>
        <w:t>En este rubro contable muestra en el mes la cantidad de 1,450,464.59, monto que corresponde a la depreciación de bienes muebles e inmuebles. Presenta un saldo acumulado al mes por 16,459,915.30. Así mismo, en el rubro de Otros Gastos, el importe de 1,769,546.63, correspondiente a gastos contables no presupuestarios por la devolución al Gobierno del Estado de México, de los remanentes e intereses del Programa para Regularización de Tenencia de la Tierra del Programa de Acciones para el Desarrollo del ejercicio 2022.</w:t>
      </w:r>
    </w:p>
    <w:p w14:paraId="7CFA4F2E" w14:textId="77777777" w:rsidR="001357AB" w:rsidRPr="001302C3" w:rsidRDefault="001357AB" w:rsidP="001357AB">
      <w:pPr>
        <w:spacing w:after="160" w:line="256" w:lineRule="auto"/>
        <w:ind w:left="644"/>
        <w:jc w:val="both"/>
        <w:textAlignment w:val="baseline"/>
        <w:rPr>
          <w:rFonts w:ascii="Gotham" w:eastAsia="Times New Roman" w:hAnsi="Gotham" w:cs="Arial"/>
          <w:color w:val="000000"/>
          <w:sz w:val="18"/>
          <w:szCs w:val="18"/>
          <w:lang w:val="es-MX"/>
        </w:rPr>
      </w:pPr>
    </w:p>
    <w:p w14:paraId="1E9E4188" w14:textId="77777777" w:rsidR="00C60F3C" w:rsidRPr="001302C3" w:rsidRDefault="00C60F3C" w:rsidP="00C60F3C">
      <w:pPr>
        <w:numPr>
          <w:ilvl w:val="0"/>
          <w:numId w:val="1"/>
        </w:numPr>
        <w:spacing w:before="240" w:after="160" w:line="259" w:lineRule="auto"/>
        <w:ind w:left="1068" w:right="-1"/>
        <w:contextualSpacing/>
        <w:outlineLvl w:val="0"/>
        <w:rPr>
          <w:rFonts w:ascii="Gotham" w:eastAsia="Times New Roman" w:hAnsi="Gotham" w:cs="Arial"/>
          <w:b/>
          <w:bCs/>
          <w:color w:val="000000"/>
          <w:sz w:val="18"/>
          <w:szCs w:val="18"/>
          <w:lang w:val="es-MX"/>
        </w:rPr>
      </w:pPr>
      <w:r w:rsidRPr="001302C3">
        <w:rPr>
          <w:rFonts w:ascii="Gotham" w:eastAsia="Times New Roman" w:hAnsi="Gotham" w:cs="Arial"/>
          <w:b/>
          <w:bCs/>
          <w:sz w:val="18"/>
          <w:szCs w:val="18"/>
          <w:lang w:val="es-MX"/>
        </w:rPr>
        <w:t xml:space="preserve">NOTAS AL ESTADO </w:t>
      </w:r>
      <w:r w:rsidRPr="001302C3">
        <w:rPr>
          <w:rFonts w:ascii="Gotham" w:eastAsia="Times New Roman" w:hAnsi="Gotham" w:cs="Arial"/>
          <w:b/>
          <w:bCs/>
          <w:color w:val="000000"/>
          <w:sz w:val="18"/>
          <w:szCs w:val="18"/>
          <w:lang w:val="es-MX"/>
        </w:rPr>
        <w:t>DE VARIACIONES EN LA HACIENDA PÚBLICA/PATRIMONIO</w:t>
      </w:r>
    </w:p>
    <w:p w14:paraId="3844B03C" w14:textId="77777777" w:rsidR="00C60F3C" w:rsidRPr="001302C3" w:rsidRDefault="00C60F3C" w:rsidP="00C60F3C">
      <w:pPr>
        <w:spacing w:before="240" w:after="160" w:line="259" w:lineRule="auto"/>
        <w:ind w:left="1068" w:right="-1"/>
        <w:contextualSpacing/>
        <w:outlineLvl w:val="0"/>
        <w:rPr>
          <w:rFonts w:ascii="Gotham" w:eastAsia="Times New Roman" w:hAnsi="Gotham" w:cs="Arial"/>
          <w:b/>
          <w:bCs/>
          <w:color w:val="000000"/>
          <w:sz w:val="18"/>
          <w:szCs w:val="18"/>
          <w:lang w:val="es-MX"/>
        </w:rPr>
      </w:pPr>
    </w:p>
    <w:p w14:paraId="3E29BF9E"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Hacienda Pública/Patrimonio Contribuido.</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Times New Roman"/>
          <w:color w:val="000000"/>
          <w:sz w:val="18"/>
          <w:szCs w:val="18"/>
          <w:lang w:val="es-MX"/>
        </w:rPr>
        <w:t xml:space="preserve"> </w:t>
      </w:r>
      <w:r w:rsidRPr="001302C3">
        <w:rPr>
          <w:rFonts w:ascii="Gotham" w:eastAsia="Times New Roman" w:hAnsi="Gotham" w:cs="Arial"/>
          <w:color w:val="000000"/>
          <w:sz w:val="18"/>
          <w:szCs w:val="18"/>
          <w:lang w:val="es-MX"/>
        </w:rPr>
        <w:t>En el Estado de Variaciones en la Hacienda Pública, el patrimonio contribuido neto final del Instituto por la cantidad de 5,203,459.11 se conserva por las aportaciones del Gobierno del Estado de México, así como la incorporación de cuatro terrenos de donación.</w:t>
      </w:r>
    </w:p>
    <w:p w14:paraId="62A8F7B9" w14:textId="77777777" w:rsidR="00C60F3C" w:rsidRPr="001302C3" w:rsidRDefault="00C60F3C" w:rsidP="00C60F3C">
      <w:pPr>
        <w:numPr>
          <w:ilvl w:val="0"/>
          <w:numId w:val="2"/>
        </w:numPr>
        <w:spacing w:after="160" w:line="259" w:lineRule="auto"/>
        <w:jc w:val="both"/>
        <w:textAlignment w:val="baseline"/>
        <w:rPr>
          <w:rFonts w:ascii="Gotham" w:eastAsia="Times New Roman" w:hAnsi="Gotham" w:cs="Arial"/>
          <w:color w:val="000000"/>
          <w:sz w:val="18"/>
          <w:szCs w:val="18"/>
          <w:lang w:val="es-MX"/>
        </w:rPr>
      </w:pPr>
      <w:r w:rsidRPr="001302C3">
        <w:rPr>
          <w:rFonts w:ascii="Gotham" w:eastAsia="Times New Roman" w:hAnsi="Gotham" w:cs="Arial"/>
          <w:b/>
          <w:bCs/>
          <w:color w:val="000000"/>
          <w:sz w:val="18"/>
          <w:szCs w:val="18"/>
          <w:lang w:val="es-MX"/>
        </w:rPr>
        <w:t>Hacienda Pública / Patrimonio Generado de Ejercicios Anteriores.</w:t>
      </w:r>
      <w:r w:rsidRPr="001302C3">
        <w:rPr>
          <w:rFonts w:ascii="Gotham" w:eastAsia="Times New Roman" w:hAnsi="Gotham" w:cs="Times New Roman"/>
          <w:b/>
          <w:bCs/>
          <w:color w:val="000000"/>
          <w:sz w:val="18"/>
          <w:szCs w:val="18"/>
          <w:lang w:val="es-MX"/>
        </w:rPr>
        <w:t xml:space="preserve"> - </w:t>
      </w:r>
      <w:r w:rsidRPr="001302C3">
        <w:rPr>
          <w:rFonts w:ascii="Gotham" w:eastAsia="Times New Roman" w:hAnsi="Gotham" w:cs="Arial"/>
          <w:color w:val="000000"/>
          <w:sz w:val="18"/>
          <w:szCs w:val="18"/>
          <w:lang w:val="es-MX"/>
        </w:rPr>
        <w:t>En este mes se detecta que el Patrimonio Neto Final es de 1,302,096,129.46, por los Resultados de Ejercicios Anteriores.</w:t>
      </w:r>
    </w:p>
    <w:p w14:paraId="5D6FF46E" w14:textId="4029B123" w:rsidR="00651294" w:rsidRDefault="00C60F3C" w:rsidP="0023046A">
      <w:pPr>
        <w:numPr>
          <w:ilvl w:val="0"/>
          <w:numId w:val="2"/>
        </w:numPr>
        <w:spacing w:after="160" w:line="259" w:lineRule="auto"/>
        <w:jc w:val="both"/>
        <w:textAlignment w:val="baseline"/>
        <w:rPr>
          <w:rFonts w:ascii="Gotham" w:eastAsia="Times New Roman" w:hAnsi="Gotham" w:cs="Arial"/>
          <w:sz w:val="18"/>
          <w:szCs w:val="18"/>
          <w:lang w:val="es-MX"/>
        </w:rPr>
      </w:pPr>
      <w:r w:rsidRPr="001302C3">
        <w:rPr>
          <w:rFonts w:ascii="Gotham" w:eastAsia="Times New Roman" w:hAnsi="Gotham" w:cs="Arial"/>
          <w:b/>
          <w:bCs/>
          <w:color w:val="000000"/>
          <w:sz w:val="18"/>
          <w:szCs w:val="18"/>
          <w:lang w:val="es-MX"/>
        </w:rPr>
        <w:t>Resultado del Ejercicio: (Ahorro/Desahorro).</w:t>
      </w:r>
      <w:r w:rsidRPr="001302C3">
        <w:rPr>
          <w:rFonts w:ascii="Gotham" w:eastAsia="Times New Roman" w:hAnsi="Gotham" w:cs="Times New Roman"/>
          <w:b/>
          <w:bCs/>
          <w:color w:val="000000"/>
          <w:sz w:val="18"/>
          <w:szCs w:val="18"/>
          <w:lang w:val="es-MX"/>
        </w:rPr>
        <w:t xml:space="preserve"> </w:t>
      </w:r>
      <w:r w:rsidRPr="001302C3">
        <w:rPr>
          <w:rFonts w:ascii="Gotham" w:eastAsia="Times New Roman" w:hAnsi="Gotham" w:cs="Arial"/>
          <w:b/>
          <w:color w:val="000000"/>
          <w:sz w:val="18"/>
          <w:szCs w:val="18"/>
          <w:lang w:val="es-MX"/>
        </w:rPr>
        <w:t>-</w:t>
      </w:r>
      <w:r w:rsidRPr="001302C3">
        <w:rPr>
          <w:rFonts w:ascii="Gotham" w:eastAsia="Times New Roman" w:hAnsi="Gotham" w:cs="Arial"/>
          <w:color w:val="000000"/>
          <w:sz w:val="18"/>
          <w:szCs w:val="18"/>
          <w:lang w:val="es-MX"/>
        </w:rPr>
        <w:t xml:space="preserve"> Se observa en la Hacienda Pública/Patrimonio Generado del Ejercicio, un ahorro por 768,459,301.81, debido principalmente a que los egresos generados son menores que los ingresos de acuerdo con el estado de actividades.</w:t>
      </w:r>
      <w:r w:rsidRPr="001302C3">
        <w:rPr>
          <w:rFonts w:ascii="Gotham" w:eastAsia="Times New Roman" w:hAnsi="Gotham" w:cs="Arial"/>
          <w:sz w:val="18"/>
          <w:szCs w:val="18"/>
          <w:lang w:val="es-MX"/>
        </w:rPr>
        <w:t xml:space="preserve"> </w:t>
      </w:r>
    </w:p>
    <w:p w14:paraId="54DD6D54" w14:textId="77777777" w:rsidR="001357AB" w:rsidRDefault="001357AB" w:rsidP="001357AB">
      <w:pPr>
        <w:spacing w:after="160" w:line="259" w:lineRule="auto"/>
        <w:ind w:left="644"/>
        <w:jc w:val="both"/>
        <w:textAlignment w:val="baseline"/>
        <w:rPr>
          <w:rFonts w:ascii="Gotham" w:eastAsia="Times New Roman" w:hAnsi="Gotham" w:cs="Arial"/>
          <w:sz w:val="18"/>
          <w:szCs w:val="18"/>
          <w:lang w:val="es-MX"/>
        </w:rPr>
      </w:pPr>
    </w:p>
    <w:p w14:paraId="4AE874B8" w14:textId="77777777" w:rsidR="00DD1F3E" w:rsidRPr="001302C3" w:rsidRDefault="00DD1F3E" w:rsidP="00DD1F3E">
      <w:pPr>
        <w:numPr>
          <w:ilvl w:val="0"/>
          <w:numId w:val="1"/>
        </w:numPr>
        <w:spacing w:before="240" w:after="240" w:line="276" w:lineRule="auto"/>
        <w:ind w:left="1068" w:right="-1"/>
        <w:contextualSpacing/>
        <w:outlineLvl w:val="0"/>
        <w:rPr>
          <w:rFonts w:ascii="Gotham" w:eastAsia="Times New Roman" w:hAnsi="Gotham" w:cs="Arial"/>
          <w:noProof/>
          <w:sz w:val="18"/>
          <w:szCs w:val="18"/>
          <w:lang w:val="es-MX" w:eastAsia="es-MX"/>
        </w:rPr>
      </w:pPr>
      <w:r w:rsidRPr="001302C3">
        <w:rPr>
          <w:rFonts w:ascii="Gotham" w:eastAsia="Times New Roman" w:hAnsi="Gotham" w:cs="Arial"/>
          <w:b/>
          <w:noProof/>
          <w:sz w:val="18"/>
          <w:szCs w:val="18"/>
          <w:lang w:val="es-MX" w:eastAsia="es-MX"/>
        </w:rPr>
        <w:t>NOTAS</w:t>
      </w:r>
      <w:r w:rsidRPr="001302C3">
        <w:rPr>
          <w:rFonts w:ascii="Gotham" w:eastAsia="Times New Roman" w:hAnsi="Gotham" w:cs="Arial"/>
          <w:b/>
          <w:bCs/>
          <w:noProof/>
          <w:sz w:val="18"/>
          <w:szCs w:val="18"/>
          <w:lang w:val="es-MX" w:eastAsia="es-MX"/>
        </w:rPr>
        <w:t xml:space="preserve"> AL ESTADO DE FLUJOS DE EFECTIVO</w:t>
      </w:r>
    </w:p>
    <w:p w14:paraId="52D2A177" w14:textId="77777777" w:rsidR="00DD1F3E" w:rsidRPr="001302C3" w:rsidRDefault="00DD1F3E" w:rsidP="00DD1F3E">
      <w:pPr>
        <w:spacing w:before="240" w:after="240" w:line="276" w:lineRule="auto"/>
        <w:ind w:right="-1"/>
        <w:contextualSpacing/>
        <w:outlineLvl w:val="0"/>
        <w:rPr>
          <w:rFonts w:ascii="Gotham" w:eastAsia="Times New Roman" w:hAnsi="Gotham" w:cs="Arial"/>
          <w:noProof/>
          <w:sz w:val="18"/>
          <w:szCs w:val="18"/>
          <w:lang w:val="es-MX" w:eastAsia="es-MX"/>
        </w:rPr>
      </w:pPr>
    </w:p>
    <w:p w14:paraId="75893E46" w14:textId="77777777" w:rsidR="00DD1F3E" w:rsidRPr="001302C3" w:rsidRDefault="00DD1F3E" w:rsidP="00DD1F3E">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En este rubro, se observa el análisis de los saldos iniciales y finales que se reflejan en la última parte del Estado de Flujo de Efectivo en la cuenta de efectivo y equivalentes es como sigue:</w:t>
      </w:r>
    </w:p>
    <w:p w14:paraId="2D2700C9" w14:textId="5FBCE5B4" w:rsidR="00DD1F3E" w:rsidRPr="001302C3" w:rsidRDefault="00C53C75" w:rsidP="00DD1F3E">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drawing>
          <wp:anchor distT="0" distB="0" distL="114300" distR="114300" simplePos="0" relativeHeight="251684864" behindDoc="0" locked="0" layoutInCell="1" allowOverlap="1" wp14:anchorId="07EA260A" wp14:editId="016D5BAC">
            <wp:simplePos x="0" y="0"/>
            <wp:positionH relativeFrom="margin">
              <wp:posOffset>668655</wp:posOffset>
            </wp:positionH>
            <wp:positionV relativeFrom="paragraph">
              <wp:posOffset>123825</wp:posOffset>
            </wp:positionV>
            <wp:extent cx="4994910" cy="828675"/>
            <wp:effectExtent l="0" t="0" r="0" b="9525"/>
            <wp:wrapSquare wrapText="bothSides"/>
            <wp:docPr id="2011004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0462" name=""/>
                    <pic:cNvPicPr/>
                  </pic:nvPicPr>
                  <pic:blipFill>
                    <a:blip r:embed="rId15">
                      <a:extLst>
                        <a:ext uri="{28A0092B-C50C-407E-A947-70E740481C1C}">
                          <a14:useLocalDpi xmlns:a14="http://schemas.microsoft.com/office/drawing/2010/main" val="0"/>
                        </a:ext>
                      </a:extLst>
                    </a:blip>
                    <a:stretch>
                      <a:fillRect/>
                    </a:stretch>
                  </pic:blipFill>
                  <pic:spPr>
                    <a:xfrm>
                      <a:off x="0" y="0"/>
                      <a:ext cx="4994910" cy="828675"/>
                    </a:xfrm>
                    <a:prstGeom prst="rect">
                      <a:avLst/>
                    </a:prstGeom>
                  </pic:spPr>
                </pic:pic>
              </a:graphicData>
            </a:graphic>
            <wp14:sizeRelH relativeFrom="page">
              <wp14:pctWidth>0</wp14:pctWidth>
            </wp14:sizeRelH>
            <wp14:sizeRelV relativeFrom="page">
              <wp14:pctHeight>0</wp14:pctHeight>
            </wp14:sizeRelV>
          </wp:anchor>
        </w:drawing>
      </w:r>
    </w:p>
    <w:p w14:paraId="4C55F483" w14:textId="5A53E674"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18922919"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3A3F5FF3"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2C50CC23"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32B432E8"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4611C01A" w14:textId="77777777" w:rsidR="00DD1F3E" w:rsidRPr="001302C3" w:rsidRDefault="00DD1F3E" w:rsidP="00DD1F3E">
      <w:pPr>
        <w:jc w:val="both"/>
        <w:textAlignment w:val="baseline"/>
        <w:rPr>
          <w:rFonts w:ascii="Gotham" w:eastAsia="Times New Roman" w:hAnsi="Gotham" w:cs="Arial"/>
          <w:noProof/>
          <w:sz w:val="18"/>
          <w:szCs w:val="18"/>
          <w:highlight w:val="yellow"/>
          <w:lang w:val="es-MX" w:eastAsia="es-MX"/>
        </w:rPr>
      </w:pPr>
    </w:p>
    <w:p w14:paraId="32038CC6" w14:textId="31B52935" w:rsidR="00DD1F3E" w:rsidRPr="001302C3" w:rsidRDefault="00DD1F3E" w:rsidP="00DD1F3E">
      <w:pPr>
        <w:jc w:val="both"/>
        <w:textAlignment w:val="baseline"/>
        <w:rPr>
          <w:rFonts w:ascii="Gotham" w:eastAsia="Times New Roman" w:hAnsi="Gotham" w:cs="Arial"/>
          <w:noProof/>
          <w:sz w:val="18"/>
          <w:szCs w:val="18"/>
          <w:lang w:val="es-MX" w:eastAsia="es-MX"/>
        </w:rPr>
      </w:pPr>
    </w:p>
    <w:p w14:paraId="54293B77" w14:textId="77777777" w:rsidR="00C53C75" w:rsidRDefault="00C53C75" w:rsidP="00DD1F3E">
      <w:pPr>
        <w:jc w:val="both"/>
        <w:textAlignment w:val="baseline"/>
        <w:rPr>
          <w:rFonts w:ascii="Gotham" w:eastAsia="Times New Roman" w:hAnsi="Gotham" w:cs="Arial"/>
          <w:noProof/>
          <w:sz w:val="18"/>
          <w:szCs w:val="18"/>
          <w:lang w:val="es-MX" w:eastAsia="es-MX"/>
        </w:rPr>
      </w:pPr>
    </w:p>
    <w:p w14:paraId="27182792" w14:textId="77777777" w:rsidR="001357AB" w:rsidRPr="001302C3" w:rsidRDefault="001357AB" w:rsidP="00DD1F3E">
      <w:pPr>
        <w:jc w:val="both"/>
        <w:textAlignment w:val="baseline"/>
        <w:rPr>
          <w:rFonts w:ascii="Gotham" w:eastAsia="Times New Roman" w:hAnsi="Gotham" w:cs="Arial"/>
          <w:noProof/>
          <w:sz w:val="18"/>
          <w:szCs w:val="18"/>
          <w:lang w:val="es-MX" w:eastAsia="es-MX"/>
        </w:rPr>
      </w:pPr>
    </w:p>
    <w:p w14:paraId="4D3C4DEA" w14:textId="77777777" w:rsidR="00DD1F3E" w:rsidRDefault="00DD1F3E" w:rsidP="00DD1F3E">
      <w:pPr>
        <w:jc w:val="both"/>
        <w:textAlignment w:val="baseline"/>
        <w:rPr>
          <w:rFonts w:ascii="Gotham" w:eastAsia="Times New Roman" w:hAnsi="Gotham" w:cs="Arial"/>
          <w:noProof/>
          <w:sz w:val="18"/>
          <w:szCs w:val="18"/>
          <w:lang w:val="es-MX" w:eastAsia="es-MX"/>
        </w:rPr>
      </w:pPr>
      <w:r w:rsidRPr="001302C3">
        <w:rPr>
          <w:rFonts w:ascii="Gotham" w:eastAsia="Times New Roman" w:hAnsi="Gotham" w:cs="Arial"/>
          <w:noProof/>
          <w:sz w:val="18"/>
          <w:szCs w:val="18"/>
          <w:lang w:val="es-MX" w:eastAsia="es-MX"/>
        </w:rPr>
        <w:t xml:space="preserve">La </w:t>
      </w:r>
      <w:r w:rsidRPr="00A32820">
        <w:rPr>
          <w:rFonts w:ascii="Gotham" w:eastAsia="Times New Roman" w:hAnsi="Gotham" w:cs="Arial"/>
          <w:noProof/>
          <w:sz w:val="18"/>
          <w:szCs w:val="18"/>
          <w:lang w:val="es-MX" w:eastAsia="es-MX"/>
        </w:rPr>
        <w:t xml:space="preserve">Conciliación de los Flujos de Efectivo Netos de las Actividades de Operación y la cuenta de Ahorro/Desahorro antes de Rubros Extraordinarios, queda como sigue: </w:t>
      </w:r>
    </w:p>
    <w:p w14:paraId="3B2FFCAF" w14:textId="77777777" w:rsidR="001357AB" w:rsidRPr="00A32820" w:rsidRDefault="001357AB" w:rsidP="00DD1F3E">
      <w:pPr>
        <w:jc w:val="both"/>
        <w:textAlignment w:val="baseline"/>
        <w:rPr>
          <w:rFonts w:ascii="Gotham" w:eastAsia="Times New Roman" w:hAnsi="Gotham" w:cs="Arial"/>
          <w:noProof/>
          <w:sz w:val="18"/>
          <w:szCs w:val="18"/>
          <w:lang w:val="es-MX" w:eastAsia="es-MX"/>
        </w:rPr>
      </w:pPr>
    </w:p>
    <w:p w14:paraId="21FECF62" w14:textId="1C3DDE48" w:rsidR="00C53C75" w:rsidRPr="00A32820" w:rsidRDefault="00C53C75" w:rsidP="00DD1F3E">
      <w:pPr>
        <w:spacing w:after="160"/>
        <w:jc w:val="both"/>
        <w:textAlignment w:val="baseline"/>
        <w:rPr>
          <w:rFonts w:ascii="Gotham" w:eastAsia="Montserrat SemiBold" w:hAnsi="Gotham" w:cs="Montserrat SemiBold"/>
          <w:b/>
          <w:noProof/>
          <w:color w:val="595959"/>
          <w:sz w:val="18"/>
          <w:szCs w:val="18"/>
          <w:lang w:val="es-MX" w:eastAsia="es-MX"/>
        </w:rPr>
      </w:pPr>
      <w:r w:rsidRPr="00A32820">
        <w:rPr>
          <w:rFonts w:ascii="Gotham" w:eastAsia="Times New Roman" w:hAnsi="Gotham" w:cs="Arial"/>
          <w:noProof/>
          <w:sz w:val="18"/>
          <w:szCs w:val="18"/>
          <w:lang w:val="es-MX" w:eastAsia="es-MX"/>
        </w:rPr>
        <w:drawing>
          <wp:anchor distT="0" distB="0" distL="114300" distR="114300" simplePos="0" relativeHeight="251686912" behindDoc="0" locked="0" layoutInCell="1" allowOverlap="1" wp14:anchorId="312DA6D1" wp14:editId="1E1D0F62">
            <wp:simplePos x="0" y="0"/>
            <wp:positionH relativeFrom="margin">
              <wp:align>center</wp:align>
            </wp:positionH>
            <wp:positionV relativeFrom="paragraph">
              <wp:posOffset>4947</wp:posOffset>
            </wp:positionV>
            <wp:extent cx="4850130" cy="2176145"/>
            <wp:effectExtent l="0" t="0" r="7620" b="0"/>
            <wp:wrapSquare wrapText="bothSides"/>
            <wp:docPr id="15178888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888851" name=""/>
                    <pic:cNvPicPr/>
                  </pic:nvPicPr>
                  <pic:blipFill>
                    <a:blip r:embed="rId16">
                      <a:extLst>
                        <a:ext uri="{28A0092B-C50C-407E-A947-70E740481C1C}">
                          <a14:useLocalDpi xmlns:a14="http://schemas.microsoft.com/office/drawing/2010/main" val="0"/>
                        </a:ext>
                      </a:extLst>
                    </a:blip>
                    <a:stretch>
                      <a:fillRect/>
                    </a:stretch>
                  </pic:blipFill>
                  <pic:spPr>
                    <a:xfrm>
                      <a:off x="0" y="0"/>
                      <a:ext cx="4850130" cy="2176145"/>
                    </a:xfrm>
                    <a:prstGeom prst="rect">
                      <a:avLst/>
                    </a:prstGeom>
                  </pic:spPr>
                </pic:pic>
              </a:graphicData>
            </a:graphic>
            <wp14:sizeRelH relativeFrom="page">
              <wp14:pctWidth>0</wp14:pctWidth>
            </wp14:sizeRelH>
            <wp14:sizeRelV relativeFrom="page">
              <wp14:pctHeight>0</wp14:pctHeight>
            </wp14:sizeRelV>
          </wp:anchor>
        </w:drawing>
      </w:r>
    </w:p>
    <w:p w14:paraId="1D85D683" w14:textId="6A2EB0B4"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2832486" w14:textId="63EFB2D0"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6C1D06B6" w14:textId="77777777"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09772BF" w14:textId="77777777" w:rsidR="00DD1F3E" w:rsidRPr="00A32820" w:rsidRDefault="00DD1F3E" w:rsidP="00DD1F3E">
      <w:pPr>
        <w:spacing w:after="160"/>
        <w:jc w:val="both"/>
        <w:textAlignment w:val="baseline"/>
        <w:rPr>
          <w:rFonts w:ascii="Gotham" w:eastAsia="Times New Roman" w:hAnsi="Gotham" w:cs="Arial"/>
          <w:noProof/>
          <w:sz w:val="18"/>
          <w:szCs w:val="18"/>
          <w:lang w:val="es-MX" w:eastAsia="es-MX"/>
        </w:rPr>
      </w:pPr>
    </w:p>
    <w:p w14:paraId="3D19E254" w14:textId="77777777" w:rsidR="00DD1F3E" w:rsidRPr="00A32820" w:rsidRDefault="00DD1F3E" w:rsidP="00DD1F3E">
      <w:pPr>
        <w:rPr>
          <w:rFonts w:ascii="Gotham" w:eastAsia="Montserrat SemiBold" w:hAnsi="Gotham" w:cs="Montserrat SemiBold"/>
          <w:b/>
          <w:noProof/>
          <w:color w:val="595959"/>
          <w:sz w:val="18"/>
          <w:szCs w:val="18"/>
          <w:lang w:val="es-MX"/>
        </w:rPr>
      </w:pPr>
    </w:p>
    <w:p w14:paraId="250C7B4C" w14:textId="77777777" w:rsidR="00DD1F3E" w:rsidRPr="00A32820" w:rsidRDefault="00DD1F3E" w:rsidP="00DD1F3E">
      <w:pPr>
        <w:rPr>
          <w:rFonts w:ascii="Gotham" w:eastAsia="Montserrat SemiBold" w:hAnsi="Gotham" w:cs="Montserrat SemiBold"/>
          <w:b/>
          <w:noProof/>
          <w:color w:val="595959"/>
          <w:sz w:val="18"/>
          <w:szCs w:val="18"/>
          <w:lang w:val="es-MX"/>
        </w:rPr>
      </w:pPr>
    </w:p>
    <w:p w14:paraId="6AE2D0B9" w14:textId="77777777" w:rsidR="00DD1F3E" w:rsidRPr="00A32820" w:rsidRDefault="00DD1F3E" w:rsidP="00DD1F3E">
      <w:pPr>
        <w:rPr>
          <w:rFonts w:ascii="Gotham" w:eastAsia="Montserrat SemiBold" w:hAnsi="Gotham" w:cs="Montserrat SemiBold"/>
          <w:b/>
          <w:noProof/>
          <w:color w:val="595959"/>
          <w:sz w:val="18"/>
          <w:szCs w:val="18"/>
          <w:lang w:val="es-MX"/>
        </w:rPr>
      </w:pPr>
    </w:p>
    <w:p w14:paraId="1A6E394D" w14:textId="77777777" w:rsidR="00DD1F3E" w:rsidRPr="00A32820" w:rsidRDefault="00DD1F3E" w:rsidP="00DD1F3E">
      <w:pPr>
        <w:spacing w:before="240" w:after="240" w:line="276" w:lineRule="auto"/>
        <w:ind w:right="-1"/>
        <w:contextualSpacing/>
        <w:outlineLvl w:val="0"/>
        <w:rPr>
          <w:rFonts w:ascii="Gotham" w:hAnsi="Gotham" w:cs="Arial"/>
          <w:b/>
          <w:noProof/>
          <w:sz w:val="18"/>
          <w:szCs w:val="18"/>
          <w:lang w:val="es-MX" w:eastAsia="es-MX"/>
        </w:rPr>
      </w:pPr>
    </w:p>
    <w:p w14:paraId="11990EA0" w14:textId="77777777" w:rsidR="00DD1F3E" w:rsidRPr="00A32820"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37D2C6D3" w14:textId="77777777" w:rsidR="00DD1F3E" w:rsidRPr="00A32820"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2C22570F" w14:textId="77777777" w:rsidR="00DD1F3E"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2BB77B43" w14:textId="77777777" w:rsidR="001357AB" w:rsidRPr="00A32820" w:rsidRDefault="001357AB" w:rsidP="00DD1F3E">
      <w:pPr>
        <w:spacing w:before="240" w:after="240" w:line="276" w:lineRule="auto"/>
        <w:ind w:left="1068" w:right="-1"/>
        <w:contextualSpacing/>
        <w:outlineLvl w:val="0"/>
        <w:rPr>
          <w:rFonts w:ascii="Gotham" w:hAnsi="Gotham" w:cs="Arial"/>
          <w:b/>
          <w:noProof/>
          <w:sz w:val="18"/>
          <w:szCs w:val="18"/>
          <w:lang w:val="es-MX" w:eastAsia="es-MX"/>
        </w:rPr>
      </w:pPr>
    </w:p>
    <w:p w14:paraId="3C729C16" w14:textId="77777777" w:rsidR="00DD1F3E" w:rsidRPr="00A32820" w:rsidRDefault="00DD1F3E" w:rsidP="00DD1F3E">
      <w:pPr>
        <w:spacing w:before="240" w:after="240" w:line="276" w:lineRule="auto"/>
        <w:ind w:left="1068" w:right="-1"/>
        <w:contextualSpacing/>
        <w:outlineLvl w:val="0"/>
        <w:rPr>
          <w:rFonts w:ascii="Gotham" w:hAnsi="Gotham" w:cs="Arial"/>
          <w:b/>
          <w:noProof/>
          <w:sz w:val="18"/>
          <w:szCs w:val="18"/>
          <w:lang w:val="es-MX" w:eastAsia="es-MX"/>
        </w:rPr>
      </w:pPr>
    </w:p>
    <w:p w14:paraId="736E8E2D" w14:textId="3406EAB1" w:rsidR="001302C3" w:rsidRDefault="00DD1F3E" w:rsidP="001302C3">
      <w:pPr>
        <w:numPr>
          <w:ilvl w:val="0"/>
          <w:numId w:val="2"/>
        </w:numPr>
        <w:spacing w:after="160"/>
        <w:jc w:val="both"/>
        <w:textAlignment w:val="baseline"/>
        <w:rPr>
          <w:rFonts w:ascii="Gotham" w:eastAsia="Times New Roman" w:hAnsi="Gotham" w:cs="Arial"/>
          <w:noProof/>
          <w:sz w:val="18"/>
          <w:szCs w:val="18"/>
          <w:lang w:val="es-MX" w:eastAsia="es-MX"/>
        </w:rPr>
      </w:pPr>
      <w:r w:rsidRPr="00A32820">
        <w:rPr>
          <w:rFonts w:ascii="Gotham" w:eastAsia="Times New Roman" w:hAnsi="Gotham" w:cs="Arial"/>
          <w:noProof/>
          <w:sz w:val="18"/>
          <w:szCs w:val="18"/>
          <w:lang w:val="es-MX" w:eastAsia="es-MX"/>
        </w:rPr>
        <w:t xml:space="preserve">El efectivo y equivalentes en el mes que se reporta, para que el Instituto de la Función Registral del Estado de México cubra sus obligaciones de pago, fue de </w:t>
      </w:r>
      <w:r w:rsidR="00C53C75" w:rsidRPr="00A32820">
        <w:rPr>
          <w:rFonts w:ascii="Gotham" w:eastAsia="Times New Roman" w:hAnsi="Gotham" w:cs="Arial"/>
          <w:noProof/>
          <w:sz w:val="18"/>
          <w:szCs w:val="18"/>
          <w:lang w:val="es-MX" w:eastAsia="es-MX"/>
        </w:rPr>
        <w:t>220</w:t>
      </w:r>
      <w:r w:rsidRPr="00A32820">
        <w:rPr>
          <w:rFonts w:ascii="Gotham" w:eastAsia="Times New Roman" w:hAnsi="Gotham" w:cs="Arial"/>
          <w:noProof/>
          <w:sz w:val="18"/>
          <w:szCs w:val="18"/>
          <w:lang w:val="es-MX" w:eastAsia="es-MX"/>
        </w:rPr>
        <w:t>,</w:t>
      </w:r>
      <w:r w:rsidR="00C53C75" w:rsidRPr="00A32820">
        <w:rPr>
          <w:rFonts w:ascii="Gotham" w:eastAsia="Times New Roman" w:hAnsi="Gotham" w:cs="Arial"/>
          <w:noProof/>
          <w:sz w:val="18"/>
          <w:szCs w:val="18"/>
          <w:lang w:val="es-MX" w:eastAsia="es-MX"/>
        </w:rPr>
        <w:t>804</w:t>
      </w:r>
      <w:r w:rsidRPr="00A32820">
        <w:rPr>
          <w:rFonts w:ascii="Gotham" w:eastAsia="Times New Roman" w:hAnsi="Gotham" w:cs="Arial"/>
          <w:noProof/>
          <w:sz w:val="18"/>
          <w:szCs w:val="18"/>
          <w:lang w:val="es-MX" w:eastAsia="es-MX"/>
        </w:rPr>
        <w:t>,</w:t>
      </w:r>
      <w:r w:rsidR="00C53C75" w:rsidRPr="00A32820">
        <w:rPr>
          <w:rFonts w:ascii="Gotham" w:eastAsia="Times New Roman" w:hAnsi="Gotham" w:cs="Arial"/>
          <w:noProof/>
          <w:sz w:val="18"/>
          <w:szCs w:val="18"/>
          <w:lang w:val="es-MX" w:eastAsia="es-MX"/>
        </w:rPr>
        <w:t>025</w:t>
      </w:r>
      <w:r w:rsidRPr="00A32820">
        <w:rPr>
          <w:rFonts w:ascii="Gotham" w:eastAsia="Times New Roman" w:hAnsi="Gotham" w:cs="Arial"/>
          <w:noProof/>
          <w:sz w:val="18"/>
          <w:szCs w:val="18"/>
          <w:lang w:val="es-MX" w:eastAsia="es-MX"/>
        </w:rPr>
        <w:t>.</w:t>
      </w:r>
      <w:r w:rsidR="00C53C75" w:rsidRPr="00A32820">
        <w:rPr>
          <w:rFonts w:ascii="Gotham" w:eastAsia="Times New Roman" w:hAnsi="Gotham" w:cs="Arial"/>
          <w:noProof/>
          <w:sz w:val="18"/>
          <w:szCs w:val="18"/>
          <w:lang w:val="es-MX" w:eastAsia="es-MX"/>
        </w:rPr>
        <w:t>82.</w:t>
      </w:r>
    </w:p>
    <w:p w14:paraId="37493ED0" w14:textId="77777777" w:rsidR="00DD1F3E" w:rsidRPr="00A32820" w:rsidRDefault="00DD1F3E" w:rsidP="00DD1F3E">
      <w:pPr>
        <w:numPr>
          <w:ilvl w:val="0"/>
          <w:numId w:val="1"/>
        </w:numPr>
        <w:spacing w:before="240" w:after="240" w:line="276" w:lineRule="auto"/>
        <w:ind w:right="-1"/>
        <w:contextualSpacing/>
        <w:outlineLvl w:val="0"/>
        <w:rPr>
          <w:rFonts w:ascii="Gotham" w:hAnsi="Gotham" w:cs="Arial"/>
          <w:b/>
          <w:noProof/>
          <w:sz w:val="18"/>
          <w:szCs w:val="18"/>
          <w:lang w:val="es-MX" w:eastAsia="es-MX"/>
        </w:rPr>
      </w:pPr>
      <w:r w:rsidRPr="00A32820">
        <w:rPr>
          <w:rFonts w:ascii="Gotham" w:eastAsia="Times New Roman" w:hAnsi="Gotham" w:cs="Arial"/>
          <w:b/>
          <w:noProof/>
          <w:sz w:val="18"/>
          <w:szCs w:val="18"/>
          <w:lang w:val="es-MX" w:eastAsia="es-MX"/>
        </w:rPr>
        <w:t>CONCILIACIÓN ENTRE LOS INGRESOS PRESUPUESTARIOS Y CONTABLES, ASÍ COMO ENTRE LOS EGRESOS PRESUPUESTARIOS Y LOS GASTOS CONTABLES</w:t>
      </w:r>
    </w:p>
    <w:p w14:paraId="3813AC59" w14:textId="77777777" w:rsidR="00042DCF" w:rsidRPr="00A32820" w:rsidRDefault="00042DCF" w:rsidP="00DD1F3E">
      <w:pPr>
        <w:spacing w:line="276" w:lineRule="auto"/>
        <w:ind w:right="-1"/>
        <w:jc w:val="center"/>
        <w:rPr>
          <w:rFonts w:ascii="Gotham" w:hAnsi="Gotham"/>
          <w:noProof/>
          <w:sz w:val="18"/>
          <w:szCs w:val="18"/>
          <w:lang w:val="es-MX"/>
        </w:rPr>
      </w:pPr>
    </w:p>
    <w:p w14:paraId="3E343634" w14:textId="7D1C0C60" w:rsidR="00DD1F3E" w:rsidRPr="00A32820" w:rsidRDefault="0085201B" w:rsidP="00DD1F3E">
      <w:pPr>
        <w:spacing w:line="276" w:lineRule="auto"/>
        <w:ind w:right="-1"/>
        <w:jc w:val="center"/>
        <w:rPr>
          <w:rFonts w:ascii="Gotham" w:hAnsi="Gotham"/>
          <w:noProof/>
          <w:sz w:val="18"/>
          <w:szCs w:val="18"/>
          <w:lang w:val="es-MX"/>
        </w:rPr>
      </w:pPr>
      <w:r w:rsidRPr="00A32820">
        <w:rPr>
          <w:noProof/>
          <w:lang w:val="es-MX" w:eastAsia="es-MX"/>
        </w:rPr>
        <w:drawing>
          <wp:inline distT="0" distB="0" distL="0" distR="0" wp14:anchorId="40D50624" wp14:editId="7D8D8F35">
            <wp:extent cx="4753995" cy="2327564"/>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0168" cy="2355066"/>
                    </a:xfrm>
                    <a:prstGeom prst="rect">
                      <a:avLst/>
                    </a:prstGeom>
                    <a:noFill/>
                    <a:ln>
                      <a:noFill/>
                    </a:ln>
                  </pic:spPr>
                </pic:pic>
              </a:graphicData>
            </a:graphic>
          </wp:inline>
        </w:drawing>
      </w:r>
    </w:p>
    <w:p w14:paraId="74105070" w14:textId="77777777" w:rsidR="00DD1F3E" w:rsidRPr="00A32820" w:rsidRDefault="00DD1F3E" w:rsidP="00DD1F3E">
      <w:pPr>
        <w:spacing w:line="276" w:lineRule="auto"/>
        <w:ind w:right="-1"/>
        <w:jc w:val="center"/>
        <w:rPr>
          <w:rFonts w:ascii="Gotham" w:hAnsi="Gotham"/>
          <w:noProof/>
          <w:sz w:val="18"/>
          <w:szCs w:val="18"/>
          <w:lang w:val="es-MX"/>
        </w:rPr>
      </w:pPr>
    </w:p>
    <w:p w14:paraId="5FF61712" w14:textId="21E13681" w:rsidR="00DD1F3E" w:rsidRDefault="00A84A88" w:rsidP="00A84A88">
      <w:pPr>
        <w:jc w:val="both"/>
        <w:rPr>
          <w:rFonts w:ascii="Gotham" w:hAnsi="Gotham" w:cs="Arial"/>
          <w:noProof/>
          <w:sz w:val="18"/>
          <w:szCs w:val="18"/>
          <w:lang w:val="es-MX"/>
        </w:rPr>
      </w:pPr>
      <w:r w:rsidRPr="00A32820">
        <w:rPr>
          <w:rFonts w:ascii="Gotham" w:hAnsi="Gotham" w:cs="Arial"/>
          <w:b/>
          <w:noProof/>
          <w:sz w:val="18"/>
          <w:szCs w:val="18"/>
          <w:lang w:val="es-MX"/>
        </w:rPr>
        <w:t>Conciliación entre los Ingresos Presupuestarios y Contables.-</w:t>
      </w:r>
      <w:r w:rsidRPr="00A32820">
        <w:rPr>
          <w:rFonts w:ascii="Gotham" w:hAnsi="Gotham" w:cs="Arial"/>
          <w:noProof/>
          <w:sz w:val="18"/>
          <w:szCs w:val="18"/>
          <w:lang w:val="es-MX"/>
        </w:rPr>
        <w:t xml:space="preserve"> El importe de 1,003,241,850.29  se integra por un monto de 638,871,780.73, para “Otros Ingresos para Pago (Bonos) Amortización de Capital” de las Series “A” , “B” y actulización de la Serie Subordinada “C” de los Certificados Bursátiles del Fideicomiso de Cobranza;  (A.IV.3), más 349,469,446.35 por concepto de "Remanentes e intereses del Fideicomiso de Cobranza", que originaron de la Adecuación Presupuestaria de los remanentes enviados al GEM, así como 12,879,609.61, para los </w:t>
      </w:r>
      <w:r w:rsidRPr="00A32820">
        <w:rPr>
          <w:rFonts w:ascii="Gotham" w:hAnsi="Gotham" w:cs="Arial"/>
          <w:noProof/>
          <w:sz w:val="18"/>
          <w:szCs w:val="18"/>
          <w:lang w:val="es-MX"/>
        </w:rPr>
        <w:lastRenderedPageBreak/>
        <w:t>Ingresos por disponibilidades presupuestarias Entidades Públicas, asi mismo la cantidad de 2,021,013.60 para los pasivos pendientes de liquidar al cierre del ejercicio.</w:t>
      </w:r>
    </w:p>
    <w:p w14:paraId="39E0A24E" w14:textId="77777777" w:rsidR="00456013" w:rsidRDefault="00456013" w:rsidP="00A84A88">
      <w:pPr>
        <w:jc w:val="both"/>
        <w:rPr>
          <w:rFonts w:ascii="Gotham" w:hAnsi="Gotham" w:cs="Arial"/>
          <w:noProof/>
          <w:sz w:val="18"/>
          <w:szCs w:val="18"/>
          <w:lang w:val="es-MX"/>
        </w:rPr>
      </w:pPr>
    </w:p>
    <w:p w14:paraId="294697FD" w14:textId="77777777" w:rsidR="001302C3" w:rsidRPr="001302C3" w:rsidRDefault="001302C3" w:rsidP="001302C3">
      <w:pPr>
        <w:jc w:val="center"/>
        <w:rPr>
          <w:rFonts w:ascii="Gotham" w:eastAsia="Montserrat SemiBold" w:hAnsi="Gotham" w:cs="Montserrat SemiBold"/>
          <w:b/>
          <w:color w:val="595959"/>
          <w:sz w:val="20"/>
          <w:szCs w:val="20"/>
          <w:lang w:val="es-MX"/>
        </w:rPr>
      </w:pPr>
      <w:r w:rsidRPr="001302C3">
        <w:rPr>
          <w:noProof/>
          <w:lang w:val="es-MX" w:eastAsia="es-MX"/>
        </w:rPr>
        <w:drawing>
          <wp:inline distT="0" distB="0" distL="0" distR="0" wp14:anchorId="319415B4" wp14:editId="19116180">
            <wp:extent cx="5588619" cy="5097645"/>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0934" cy="5099757"/>
                    </a:xfrm>
                    <a:prstGeom prst="rect">
                      <a:avLst/>
                    </a:prstGeom>
                    <a:noFill/>
                    <a:ln>
                      <a:noFill/>
                    </a:ln>
                  </pic:spPr>
                </pic:pic>
              </a:graphicData>
            </a:graphic>
          </wp:inline>
        </w:drawing>
      </w:r>
    </w:p>
    <w:p w14:paraId="14419D54" w14:textId="77777777" w:rsidR="001302C3" w:rsidRPr="001302C3" w:rsidRDefault="001302C3" w:rsidP="001302C3">
      <w:pPr>
        <w:jc w:val="center"/>
        <w:rPr>
          <w:rFonts w:ascii="Gotham" w:eastAsia="Montserrat SemiBold" w:hAnsi="Gotham" w:cs="Montserrat SemiBold"/>
          <w:b/>
          <w:color w:val="595959"/>
          <w:sz w:val="20"/>
          <w:szCs w:val="20"/>
          <w:lang w:val="es-MX"/>
        </w:rPr>
      </w:pPr>
    </w:p>
    <w:p w14:paraId="343D5FE1" w14:textId="77777777" w:rsidR="001302C3" w:rsidRPr="001302C3" w:rsidRDefault="001302C3" w:rsidP="001302C3">
      <w:pPr>
        <w:tabs>
          <w:tab w:val="left" w:pos="1215"/>
        </w:tabs>
        <w:jc w:val="both"/>
        <w:rPr>
          <w:rFonts w:ascii="Gotham" w:eastAsia="Montserrat SemiBold" w:hAnsi="Gotham" w:cs="Montserrat SemiBold"/>
          <w:b/>
          <w:color w:val="595959"/>
          <w:sz w:val="20"/>
          <w:szCs w:val="20"/>
          <w:lang w:val="es-MX"/>
        </w:rPr>
      </w:pPr>
      <w:r w:rsidRPr="001302C3">
        <w:rPr>
          <w:rFonts w:ascii="Gotham" w:hAnsi="Gotham" w:cs="Arial"/>
          <w:b/>
          <w:sz w:val="20"/>
          <w:szCs w:val="20"/>
          <w:lang w:val="es-MX"/>
        </w:rPr>
        <w:t>Conciliación entre los Egresos Presupuestarios y los Gastos Contables</w:t>
      </w:r>
      <w:r w:rsidRPr="001302C3">
        <w:rPr>
          <w:rFonts w:ascii="Gotham" w:hAnsi="Gotham" w:cs="Arial"/>
          <w:sz w:val="20"/>
          <w:szCs w:val="20"/>
          <w:lang w:val="es-MX"/>
        </w:rPr>
        <w:t>. - El renglón de Otros Egresos Presupuestales No Contables por 962,432,343.31, se integran de las Transferencias al Fideicomiso de Cobranza de acuerdo al Avance Presupuestal al mes que se analiza. En el rubro de Otros Gastos Contables No Presupuestales, el importe de 1,769,546.63 por la transferencia al GEM, de los remanentes del Programa de Regularización de Tenencia de la Tierra 2022, que incluye los intereses generados.</w:t>
      </w:r>
    </w:p>
    <w:p w14:paraId="0B7A8920" w14:textId="77777777" w:rsidR="00DD1F3E" w:rsidRPr="001302C3" w:rsidRDefault="00DD1F3E" w:rsidP="00DD1F3E">
      <w:pPr>
        <w:rPr>
          <w:rFonts w:ascii="Gotham" w:hAnsi="Gotham"/>
          <w:noProof/>
          <w:sz w:val="18"/>
          <w:szCs w:val="18"/>
          <w:highlight w:val="yellow"/>
          <w:lang w:val="es-MX"/>
        </w:rPr>
      </w:pPr>
    </w:p>
    <w:p w14:paraId="76EB4D04" w14:textId="77777777" w:rsidR="00DD1F3E" w:rsidRPr="001302C3" w:rsidRDefault="00DD1F3E" w:rsidP="00DD1F3E">
      <w:pPr>
        <w:rPr>
          <w:rFonts w:ascii="Gotham" w:hAnsi="Gotham"/>
          <w:noProof/>
          <w:sz w:val="18"/>
          <w:szCs w:val="18"/>
          <w:highlight w:val="yellow"/>
          <w:lang w:val="es-MX"/>
        </w:rPr>
      </w:pPr>
    </w:p>
    <w:p w14:paraId="3BF6873B" w14:textId="77777777" w:rsidR="00DD1F3E" w:rsidRPr="001302C3" w:rsidRDefault="00DD1F3E" w:rsidP="00DD1F3E">
      <w:pPr>
        <w:rPr>
          <w:rFonts w:ascii="Gotham" w:hAnsi="Gotham"/>
          <w:noProof/>
          <w:sz w:val="18"/>
          <w:szCs w:val="18"/>
          <w:highlight w:val="yellow"/>
          <w:lang w:val="es-MX"/>
        </w:rPr>
      </w:pPr>
    </w:p>
    <w:bookmarkEnd w:id="0"/>
    <w:bookmarkEnd w:id="1"/>
    <w:p w14:paraId="0EBBFAB0" w14:textId="77777777" w:rsidR="001807D3" w:rsidRPr="001302C3" w:rsidRDefault="001807D3" w:rsidP="001807D3">
      <w:pPr>
        <w:tabs>
          <w:tab w:val="left" w:pos="1215"/>
        </w:tabs>
        <w:jc w:val="both"/>
        <w:rPr>
          <w:rFonts w:ascii="Gotham" w:hAnsi="Gotham" w:cs="Arial"/>
          <w:b/>
          <w:sz w:val="20"/>
          <w:szCs w:val="20"/>
          <w:lang w:val="es-MX"/>
        </w:rPr>
      </w:pPr>
      <w:r w:rsidRPr="001302C3">
        <w:rPr>
          <w:rFonts w:ascii="Gotham" w:hAnsi="Gotham" w:cs="Arial"/>
          <w:b/>
          <w:sz w:val="20"/>
          <w:szCs w:val="20"/>
          <w:lang w:val="es-MX"/>
        </w:rPr>
        <w:lastRenderedPageBreak/>
        <w:t>b) NOTAS DE MEMORIA (CUENTAS DE ORDEN)</w:t>
      </w:r>
    </w:p>
    <w:p w14:paraId="5C8CF273" w14:textId="77777777" w:rsidR="001807D3" w:rsidRPr="001302C3" w:rsidRDefault="001807D3" w:rsidP="001807D3">
      <w:pPr>
        <w:tabs>
          <w:tab w:val="left" w:pos="1215"/>
        </w:tabs>
        <w:jc w:val="both"/>
        <w:rPr>
          <w:rFonts w:ascii="Gotham" w:hAnsi="Gotham" w:cs="Arial"/>
          <w:sz w:val="20"/>
          <w:szCs w:val="20"/>
          <w:lang w:val="es-MX"/>
        </w:rPr>
      </w:pPr>
      <w:r w:rsidRPr="001302C3">
        <w:rPr>
          <w:rFonts w:ascii="Gotham" w:hAnsi="Gotham" w:cs="Arial"/>
          <w:sz w:val="20"/>
          <w:szCs w:val="20"/>
          <w:lang w:val="es-MX"/>
        </w:rPr>
        <w:t>Las Cuentas de Orden Contables y Presupuestarias se integran de la siguiente forma:</w:t>
      </w:r>
    </w:p>
    <w:p w14:paraId="263E0EAE" w14:textId="77777777" w:rsidR="001807D3" w:rsidRPr="001302C3" w:rsidRDefault="001807D3" w:rsidP="001807D3">
      <w:pPr>
        <w:tabs>
          <w:tab w:val="left" w:pos="1215"/>
        </w:tabs>
        <w:jc w:val="both"/>
        <w:rPr>
          <w:rFonts w:ascii="Gotham" w:hAnsi="Gotham" w:cs="Arial"/>
          <w:sz w:val="20"/>
          <w:szCs w:val="20"/>
          <w:lang w:val="es-MX"/>
        </w:rPr>
      </w:pPr>
      <w:r w:rsidRPr="001302C3">
        <w:rPr>
          <w:noProof/>
          <w:lang w:val="es-MX" w:eastAsia="es-MX"/>
        </w:rPr>
        <w:drawing>
          <wp:anchor distT="0" distB="0" distL="114300" distR="114300" simplePos="0" relativeHeight="251692032" behindDoc="0" locked="0" layoutInCell="1" allowOverlap="1" wp14:anchorId="31596232" wp14:editId="5D8814B3">
            <wp:simplePos x="0" y="0"/>
            <wp:positionH relativeFrom="margin">
              <wp:posOffset>938112</wp:posOffset>
            </wp:positionH>
            <wp:positionV relativeFrom="paragraph">
              <wp:posOffset>111845</wp:posOffset>
            </wp:positionV>
            <wp:extent cx="4868213" cy="1794116"/>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4827" cy="18002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5E814" w14:textId="77777777" w:rsidR="001807D3" w:rsidRPr="001302C3" w:rsidRDefault="001807D3" w:rsidP="001807D3">
      <w:pPr>
        <w:tabs>
          <w:tab w:val="left" w:pos="1215"/>
        </w:tabs>
        <w:jc w:val="both"/>
        <w:rPr>
          <w:rFonts w:ascii="Gotham" w:hAnsi="Gotham" w:cs="Arial"/>
          <w:sz w:val="20"/>
          <w:szCs w:val="20"/>
          <w:lang w:val="es-MX"/>
        </w:rPr>
      </w:pPr>
    </w:p>
    <w:p w14:paraId="046509F5" w14:textId="77777777" w:rsidR="001807D3" w:rsidRPr="001302C3" w:rsidRDefault="001807D3" w:rsidP="001807D3">
      <w:pPr>
        <w:rPr>
          <w:rFonts w:ascii="Gotham" w:hAnsi="Gotham"/>
          <w:sz w:val="20"/>
          <w:szCs w:val="20"/>
          <w:lang w:val="es-MX"/>
        </w:rPr>
      </w:pPr>
    </w:p>
    <w:p w14:paraId="333BA271" w14:textId="77777777" w:rsidR="001807D3" w:rsidRPr="001302C3" w:rsidRDefault="001807D3" w:rsidP="001807D3">
      <w:pPr>
        <w:rPr>
          <w:rFonts w:ascii="Gotham" w:hAnsi="Gotham"/>
          <w:sz w:val="20"/>
          <w:szCs w:val="20"/>
          <w:lang w:val="es-MX"/>
        </w:rPr>
      </w:pPr>
    </w:p>
    <w:p w14:paraId="11D3A9DC" w14:textId="77777777" w:rsidR="001807D3" w:rsidRPr="001302C3" w:rsidRDefault="001807D3" w:rsidP="001807D3">
      <w:pPr>
        <w:tabs>
          <w:tab w:val="left" w:pos="2535"/>
        </w:tabs>
        <w:rPr>
          <w:rFonts w:ascii="Gotham" w:hAnsi="Gotham"/>
          <w:sz w:val="20"/>
          <w:szCs w:val="20"/>
          <w:lang w:val="es-MX"/>
        </w:rPr>
      </w:pPr>
      <w:r w:rsidRPr="001302C3">
        <w:rPr>
          <w:rFonts w:ascii="Gotham" w:hAnsi="Gotham"/>
          <w:sz w:val="20"/>
          <w:szCs w:val="20"/>
          <w:lang w:val="es-MX"/>
        </w:rPr>
        <w:tab/>
      </w:r>
    </w:p>
    <w:p w14:paraId="00282A7A" w14:textId="77777777" w:rsidR="001807D3" w:rsidRPr="001302C3" w:rsidRDefault="001807D3" w:rsidP="001807D3">
      <w:pPr>
        <w:rPr>
          <w:rFonts w:ascii="Gotham" w:hAnsi="Gotham"/>
          <w:sz w:val="20"/>
          <w:szCs w:val="20"/>
          <w:lang w:val="es-MX"/>
        </w:rPr>
      </w:pPr>
    </w:p>
    <w:p w14:paraId="1FF23DB9" w14:textId="77777777" w:rsidR="001807D3" w:rsidRPr="001302C3" w:rsidRDefault="001807D3" w:rsidP="001807D3">
      <w:pPr>
        <w:rPr>
          <w:rFonts w:ascii="Gotham" w:hAnsi="Gotham"/>
          <w:sz w:val="20"/>
          <w:szCs w:val="20"/>
          <w:lang w:val="es-MX"/>
        </w:rPr>
      </w:pPr>
    </w:p>
    <w:p w14:paraId="2B36ACEA" w14:textId="77777777" w:rsidR="001807D3" w:rsidRPr="001302C3" w:rsidRDefault="001807D3" w:rsidP="001807D3">
      <w:pPr>
        <w:rPr>
          <w:rFonts w:ascii="Gotham" w:hAnsi="Gotham"/>
          <w:sz w:val="20"/>
          <w:szCs w:val="20"/>
          <w:lang w:val="es-MX"/>
        </w:rPr>
      </w:pPr>
    </w:p>
    <w:p w14:paraId="6B94528A" w14:textId="77777777" w:rsidR="001807D3" w:rsidRPr="001302C3" w:rsidRDefault="001807D3" w:rsidP="001807D3">
      <w:pPr>
        <w:rPr>
          <w:rFonts w:ascii="Gotham" w:hAnsi="Gotham"/>
          <w:sz w:val="20"/>
          <w:szCs w:val="20"/>
          <w:lang w:val="es-MX"/>
        </w:rPr>
      </w:pPr>
    </w:p>
    <w:p w14:paraId="342F678D" w14:textId="77777777" w:rsidR="001807D3" w:rsidRPr="001302C3" w:rsidRDefault="001807D3" w:rsidP="001807D3">
      <w:pPr>
        <w:rPr>
          <w:rFonts w:ascii="Gotham" w:hAnsi="Gotham"/>
          <w:sz w:val="20"/>
          <w:szCs w:val="20"/>
          <w:lang w:val="es-MX"/>
        </w:rPr>
      </w:pPr>
    </w:p>
    <w:p w14:paraId="19A469F6" w14:textId="77777777" w:rsidR="001807D3" w:rsidRPr="001302C3" w:rsidRDefault="001807D3" w:rsidP="001807D3">
      <w:pPr>
        <w:rPr>
          <w:rFonts w:ascii="Gotham" w:hAnsi="Gotham"/>
          <w:sz w:val="20"/>
          <w:szCs w:val="20"/>
          <w:lang w:val="es-MX"/>
        </w:rPr>
      </w:pPr>
    </w:p>
    <w:p w14:paraId="5381BEC2" w14:textId="77777777" w:rsidR="001807D3" w:rsidRPr="001302C3" w:rsidRDefault="001807D3" w:rsidP="001807D3">
      <w:pPr>
        <w:rPr>
          <w:rFonts w:ascii="Gotham" w:hAnsi="Gotham"/>
          <w:sz w:val="20"/>
          <w:szCs w:val="20"/>
          <w:lang w:val="es-MX"/>
        </w:rPr>
      </w:pPr>
    </w:p>
    <w:p w14:paraId="338001C0" w14:textId="77777777" w:rsidR="001807D3" w:rsidRPr="001302C3" w:rsidRDefault="001807D3" w:rsidP="001807D3">
      <w:pPr>
        <w:rPr>
          <w:rFonts w:ascii="Gotham" w:hAnsi="Gotham"/>
          <w:sz w:val="20"/>
          <w:szCs w:val="20"/>
          <w:lang w:val="es-MX"/>
        </w:rPr>
      </w:pPr>
    </w:p>
    <w:p w14:paraId="50D00475" w14:textId="77777777" w:rsidR="001807D3" w:rsidRPr="001302C3" w:rsidRDefault="001807D3" w:rsidP="001807D3">
      <w:pPr>
        <w:rPr>
          <w:rFonts w:ascii="Gotham" w:hAnsi="Gotham"/>
          <w:sz w:val="20"/>
          <w:szCs w:val="20"/>
          <w:lang w:val="es-MX"/>
        </w:rPr>
      </w:pPr>
    </w:p>
    <w:p w14:paraId="7927C8F3" w14:textId="77777777" w:rsidR="001807D3" w:rsidRPr="001302C3" w:rsidRDefault="001807D3" w:rsidP="001807D3">
      <w:pPr>
        <w:rPr>
          <w:rFonts w:ascii="Gotham" w:hAnsi="Gotham"/>
          <w:sz w:val="20"/>
          <w:szCs w:val="20"/>
          <w:lang w:val="es-MX"/>
        </w:rPr>
      </w:pPr>
    </w:p>
    <w:p w14:paraId="065507D8" w14:textId="77777777" w:rsidR="001807D3" w:rsidRPr="001302C3" w:rsidRDefault="001807D3" w:rsidP="001807D3">
      <w:pPr>
        <w:rPr>
          <w:rFonts w:ascii="Gotham" w:hAnsi="Gotham"/>
          <w:sz w:val="20"/>
          <w:szCs w:val="20"/>
          <w:lang w:val="es-MX"/>
        </w:rPr>
      </w:pPr>
      <w:r w:rsidRPr="001302C3">
        <w:rPr>
          <w:noProof/>
          <w:lang w:val="es-MX" w:eastAsia="es-MX"/>
        </w:rPr>
        <w:drawing>
          <wp:anchor distT="0" distB="0" distL="114300" distR="114300" simplePos="0" relativeHeight="251693056" behindDoc="0" locked="0" layoutInCell="1" allowOverlap="1" wp14:anchorId="50FA82AE" wp14:editId="2B3B01C4">
            <wp:simplePos x="0" y="0"/>
            <wp:positionH relativeFrom="margin">
              <wp:posOffset>876523</wp:posOffset>
            </wp:positionH>
            <wp:positionV relativeFrom="paragraph">
              <wp:posOffset>77470</wp:posOffset>
            </wp:positionV>
            <wp:extent cx="4967254" cy="3766782"/>
            <wp:effectExtent l="0" t="0" r="508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7254" cy="37667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A9CCC" w14:textId="77777777" w:rsidR="001807D3" w:rsidRPr="001302C3" w:rsidRDefault="001807D3" w:rsidP="001807D3">
      <w:pPr>
        <w:tabs>
          <w:tab w:val="left" w:pos="2130"/>
        </w:tabs>
        <w:rPr>
          <w:rFonts w:ascii="Gotham" w:hAnsi="Gotham"/>
          <w:sz w:val="20"/>
          <w:szCs w:val="20"/>
          <w:lang w:val="es-MX"/>
        </w:rPr>
      </w:pPr>
      <w:r w:rsidRPr="001302C3">
        <w:rPr>
          <w:rFonts w:ascii="Gotham" w:hAnsi="Gotham"/>
          <w:sz w:val="20"/>
          <w:szCs w:val="20"/>
          <w:lang w:val="es-MX"/>
        </w:rPr>
        <w:tab/>
      </w:r>
    </w:p>
    <w:p w14:paraId="22FE01D9" w14:textId="77777777" w:rsidR="001807D3" w:rsidRPr="001302C3" w:rsidRDefault="001807D3" w:rsidP="001807D3">
      <w:pPr>
        <w:rPr>
          <w:rFonts w:ascii="Gotham" w:hAnsi="Gotham"/>
          <w:sz w:val="20"/>
          <w:szCs w:val="20"/>
          <w:lang w:val="es-MX"/>
        </w:rPr>
      </w:pPr>
    </w:p>
    <w:p w14:paraId="05999D1B" w14:textId="77777777" w:rsidR="001807D3" w:rsidRPr="001302C3" w:rsidRDefault="001807D3" w:rsidP="001807D3">
      <w:pPr>
        <w:rPr>
          <w:rFonts w:ascii="Gotham" w:hAnsi="Gotham"/>
          <w:sz w:val="20"/>
          <w:szCs w:val="20"/>
          <w:lang w:val="es-MX"/>
        </w:rPr>
      </w:pPr>
    </w:p>
    <w:p w14:paraId="712CBBEB" w14:textId="77777777" w:rsidR="001807D3" w:rsidRPr="001302C3" w:rsidRDefault="001807D3" w:rsidP="001807D3">
      <w:pPr>
        <w:rPr>
          <w:rFonts w:ascii="Gotham" w:hAnsi="Gotham"/>
          <w:sz w:val="20"/>
          <w:szCs w:val="20"/>
          <w:lang w:val="es-MX"/>
        </w:rPr>
      </w:pPr>
    </w:p>
    <w:p w14:paraId="5C321F87" w14:textId="77777777" w:rsidR="001807D3" w:rsidRPr="001302C3" w:rsidRDefault="001807D3" w:rsidP="001807D3">
      <w:pPr>
        <w:jc w:val="center"/>
        <w:rPr>
          <w:rFonts w:ascii="Gotham" w:hAnsi="Gotham"/>
          <w:sz w:val="20"/>
          <w:szCs w:val="20"/>
          <w:lang w:val="es-MX"/>
        </w:rPr>
      </w:pPr>
    </w:p>
    <w:p w14:paraId="09F0734F" w14:textId="77777777" w:rsidR="001807D3" w:rsidRPr="001302C3" w:rsidRDefault="001807D3" w:rsidP="001807D3">
      <w:pPr>
        <w:rPr>
          <w:rFonts w:ascii="Gotham" w:hAnsi="Gotham"/>
          <w:sz w:val="20"/>
          <w:szCs w:val="20"/>
          <w:lang w:val="es-MX"/>
        </w:rPr>
      </w:pPr>
    </w:p>
    <w:p w14:paraId="68845B70" w14:textId="77777777" w:rsidR="001807D3" w:rsidRPr="001302C3" w:rsidRDefault="001807D3" w:rsidP="001807D3">
      <w:pPr>
        <w:rPr>
          <w:rFonts w:ascii="Gotham" w:hAnsi="Gotham"/>
          <w:sz w:val="20"/>
          <w:szCs w:val="20"/>
          <w:lang w:val="es-MX"/>
        </w:rPr>
      </w:pPr>
    </w:p>
    <w:p w14:paraId="38B4CB4D" w14:textId="77777777" w:rsidR="001807D3" w:rsidRPr="001302C3" w:rsidRDefault="001807D3" w:rsidP="001807D3">
      <w:pPr>
        <w:rPr>
          <w:rFonts w:ascii="Gotham" w:hAnsi="Gotham"/>
          <w:sz w:val="20"/>
          <w:szCs w:val="20"/>
          <w:lang w:val="es-MX"/>
        </w:rPr>
      </w:pPr>
    </w:p>
    <w:p w14:paraId="0AE82D3B" w14:textId="77777777" w:rsidR="001807D3" w:rsidRPr="001302C3" w:rsidRDefault="001807D3" w:rsidP="001807D3">
      <w:pPr>
        <w:rPr>
          <w:rFonts w:ascii="Gotham" w:hAnsi="Gotham"/>
          <w:sz w:val="20"/>
          <w:szCs w:val="20"/>
          <w:lang w:val="es-MX"/>
        </w:rPr>
      </w:pPr>
    </w:p>
    <w:p w14:paraId="081BE543" w14:textId="77777777" w:rsidR="001807D3" w:rsidRPr="001302C3" w:rsidRDefault="001807D3" w:rsidP="001807D3">
      <w:pPr>
        <w:rPr>
          <w:rFonts w:ascii="Gotham" w:hAnsi="Gotham"/>
          <w:sz w:val="20"/>
          <w:szCs w:val="20"/>
          <w:lang w:val="es-MX"/>
        </w:rPr>
      </w:pPr>
    </w:p>
    <w:p w14:paraId="3136F0FD" w14:textId="77777777" w:rsidR="001807D3" w:rsidRPr="001302C3" w:rsidRDefault="001807D3" w:rsidP="001807D3">
      <w:pPr>
        <w:rPr>
          <w:rFonts w:ascii="Gotham" w:hAnsi="Gotham"/>
          <w:sz w:val="20"/>
          <w:szCs w:val="20"/>
          <w:lang w:val="es-MX"/>
        </w:rPr>
      </w:pPr>
    </w:p>
    <w:p w14:paraId="23C7F5D9" w14:textId="77777777" w:rsidR="001807D3" w:rsidRPr="001302C3" w:rsidRDefault="001807D3" w:rsidP="001807D3">
      <w:pPr>
        <w:rPr>
          <w:rFonts w:ascii="Gotham" w:hAnsi="Gotham"/>
          <w:sz w:val="20"/>
          <w:szCs w:val="20"/>
          <w:lang w:val="es-MX"/>
        </w:rPr>
      </w:pPr>
    </w:p>
    <w:p w14:paraId="492F5ACD" w14:textId="77777777" w:rsidR="001807D3" w:rsidRPr="001302C3" w:rsidRDefault="001807D3" w:rsidP="001807D3">
      <w:pPr>
        <w:rPr>
          <w:rFonts w:ascii="Gotham" w:hAnsi="Gotham"/>
          <w:sz w:val="20"/>
          <w:szCs w:val="20"/>
          <w:lang w:val="es-MX"/>
        </w:rPr>
      </w:pPr>
    </w:p>
    <w:p w14:paraId="38BB4390" w14:textId="77777777" w:rsidR="001807D3" w:rsidRPr="001302C3" w:rsidRDefault="001807D3" w:rsidP="001807D3">
      <w:pPr>
        <w:rPr>
          <w:rFonts w:ascii="Gotham" w:hAnsi="Gotham"/>
          <w:sz w:val="20"/>
          <w:szCs w:val="20"/>
          <w:lang w:val="es-MX"/>
        </w:rPr>
      </w:pPr>
    </w:p>
    <w:p w14:paraId="031BC408" w14:textId="77777777" w:rsidR="001807D3" w:rsidRPr="001302C3" w:rsidRDefault="001807D3" w:rsidP="001807D3">
      <w:pPr>
        <w:rPr>
          <w:rFonts w:ascii="Gotham" w:hAnsi="Gotham"/>
          <w:sz w:val="20"/>
          <w:szCs w:val="20"/>
          <w:lang w:val="es-MX"/>
        </w:rPr>
      </w:pPr>
    </w:p>
    <w:p w14:paraId="5B3C1CC7" w14:textId="77777777" w:rsidR="001807D3" w:rsidRPr="001302C3" w:rsidRDefault="001807D3" w:rsidP="001807D3">
      <w:pPr>
        <w:rPr>
          <w:rFonts w:ascii="Gotham" w:hAnsi="Gotham"/>
          <w:sz w:val="20"/>
          <w:szCs w:val="20"/>
          <w:lang w:val="es-MX"/>
        </w:rPr>
      </w:pPr>
    </w:p>
    <w:p w14:paraId="2C28EF24" w14:textId="77777777" w:rsidR="001807D3" w:rsidRPr="001302C3" w:rsidRDefault="001807D3" w:rsidP="001807D3">
      <w:pPr>
        <w:rPr>
          <w:rFonts w:ascii="Gotham" w:hAnsi="Gotham"/>
          <w:sz w:val="20"/>
          <w:szCs w:val="20"/>
          <w:lang w:val="es-MX"/>
        </w:rPr>
      </w:pPr>
    </w:p>
    <w:p w14:paraId="396AF153" w14:textId="77777777" w:rsidR="001807D3" w:rsidRPr="001302C3" w:rsidRDefault="001807D3" w:rsidP="001807D3">
      <w:pPr>
        <w:rPr>
          <w:rFonts w:ascii="Gotham" w:hAnsi="Gotham"/>
          <w:sz w:val="20"/>
          <w:szCs w:val="20"/>
          <w:lang w:val="es-MX"/>
        </w:rPr>
      </w:pPr>
    </w:p>
    <w:p w14:paraId="56B8CE4C" w14:textId="77777777" w:rsidR="001807D3" w:rsidRPr="001302C3" w:rsidRDefault="001807D3" w:rsidP="001807D3">
      <w:pPr>
        <w:rPr>
          <w:rFonts w:ascii="Gotham" w:hAnsi="Gotham"/>
          <w:sz w:val="20"/>
          <w:szCs w:val="20"/>
          <w:lang w:val="es-MX"/>
        </w:rPr>
      </w:pPr>
    </w:p>
    <w:p w14:paraId="0ACF2EF3" w14:textId="77777777" w:rsidR="001807D3" w:rsidRPr="001302C3" w:rsidRDefault="001807D3" w:rsidP="001807D3">
      <w:pPr>
        <w:rPr>
          <w:rFonts w:ascii="Gotham" w:hAnsi="Gotham"/>
          <w:sz w:val="20"/>
          <w:szCs w:val="20"/>
          <w:lang w:val="es-MX"/>
        </w:rPr>
      </w:pPr>
    </w:p>
    <w:p w14:paraId="4948E4FD" w14:textId="77777777" w:rsidR="001807D3" w:rsidRPr="001302C3" w:rsidRDefault="001807D3" w:rsidP="001807D3">
      <w:pPr>
        <w:rPr>
          <w:rFonts w:ascii="Gotham" w:hAnsi="Gotham"/>
          <w:sz w:val="20"/>
          <w:szCs w:val="20"/>
          <w:lang w:val="es-MX"/>
        </w:rPr>
      </w:pPr>
    </w:p>
    <w:p w14:paraId="0C85870B" w14:textId="77777777" w:rsidR="001807D3" w:rsidRPr="001302C3" w:rsidRDefault="001807D3" w:rsidP="001807D3">
      <w:pPr>
        <w:jc w:val="right"/>
        <w:rPr>
          <w:rFonts w:ascii="Gotham" w:hAnsi="Gotham"/>
          <w:sz w:val="20"/>
          <w:szCs w:val="20"/>
          <w:lang w:val="es-MX"/>
        </w:rPr>
      </w:pPr>
    </w:p>
    <w:p w14:paraId="799A6F42" w14:textId="77777777" w:rsidR="001807D3" w:rsidRPr="001302C3" w:rsidRDefault="001807D3" w:rsidP="001807D3">
      <w:pPr>
        <w:jc w:val="right"/>
        <w:rPr>
          <w:rFonts w:ascii="Gotham" w:hAnsi="Gotham"/>
          <w:sz w:val="20"/>
          <w:szCs w:val="20"/>
          <w:lang w:val="es-MX"/>
        </w:rPr>
      </w:pPr>
    </w:p>
    <w:p w14:paraId="34AB3502" w14:textId="77777777" w:rsidR="001807D3" w:rsidRPr="001302C3" w:rsidRDefault="001807D3" w:rsidP="001807D3">
      <w:pPr>
        <w:jc w:val="right"/>
        <w:rPr>
          <w:rFonts w:ascii="Gotham" w:hAnsi="Gotham"/>
          <w:sz w:val="20"/>
          <w:szCs w:val="20"/>
          <w:lang w:val="es-MX"/>
        </w:rPr>
      </w:pPr>
    </w:p>
    <w:p w14:paraId="271D5549" w14:textId="77777777" w:rsidR="001807D3" w:rsidRPr="001302C3" w:rsidRDefault="001807D3" w:rsidP="001807D3">
      <w:pPr>
        <w:jc w:val="right"/>
        <w:rPr>
          <w:rFonts w:ascii="Gotham" w:hAnsi="Gotham"/>
          <w:sz w:val="20"/>
          <w:szCs w:val="20"/>
          <w:lang w:val="es-MX"/>
        </w:rPr>
      </w:pPr>
    </w:p>
    <w:p w14:paraId="2B5D96E8" w14:textId="77777777" w:rsidR="001807D3" w:rsidRPr="001302C3" w:rsidRDefault="001807D3" w:rsidP="001807D3">
      <w:pPr>
        <w:jc w:val="right"/>
        <w:rPr>
          <w:rFonts w:ascii="Gotham" w:hAnsi="Gotham"/>
          <w:sz w:val="20"/>
          <w:szCs w:val="20"/>
          <w:lang w:val="es-MX"/>
        </w:rPr>
      </w:pPr>
    </w:p>
    <w:p w14:paraId="4072FD66" w14:textId="77777777" w:rsidR="001807D3" w:rsidRPr="001302C3" w:rsidRDefault="001807D3" w:rsidP="001807D3">
      <w:pPr>
        <w:jc w:val="right"/>
        <w:rPr>
          <w:rFonts w:ascii="Gotham" w:hAnsi="Gotham"/>
          <w:sz w:val="20"/>
          <w:szCs w:val="20"/>
          <w:lang w:val="es-MX"/>
        </w:rPr>
      </w:pPr>
    </w:p>
    <w:p w14:paraId="167017F6" w14:textId="77777777" w:rsidR="001807D3" w:rsidRPr="001302C3" w:rsidRDefault="001807D3" w:rsidP="001807D3">
      <w:pPr>
        <w:jc w:val="right"/>
        <w:rPr>
          <w:rFonts w:ascii="Gotham" w:hAnsi="Gotham"/>
          <w:sz w:val="20"/>
          <w:szCs w:val="20"/>
          <w:lang w:val="es-MX"/>
        </w:rPr>
      </w:pPr>
    </w:p>
    <w:p w14:paraId="6553ED0A" w14:textId="77777777" w:rsidR="001807D3" w:rsidRPr="001302C3" w:rsidRDefault="001807D3" w:rsidP="001807D3">
      <w:pPr>
        <w:jc w:val="right"/>
        <w:rPr>
          <w:rFonts w:ascii="Gotham" w:hAnsi="Gotham"/>
          <w:sz w:val="20"/>
          <w:szCs w:val="20"/>
          <w:lang w:val="es-MX"/>
        </w:rPr>
      </w:pPr>
    </w:p>
    <w:p w14:paraId="12A74771" w14:textId="77777777" w:rsidR="001302C3" w:rsidRPr="001302C3" w:rsidRDefault="001302C3" w:rsidP="001807D3">
      <w:pPr>
        <w:spacing w:line="259" w:lineRule="auto"/>
        <w:jc w:val="both"/>
        <w:rPr>
          <w:rFonts w:ascii="Gotham" w:hAnsi="Gotham" w:cs="Arial"/>
          <w:sz w:val="20"/>
          <w:szCs w:val="20"/>
          <w:lang w:val="es-MX"/>
        </w:rPr>
      </w:pPr>
    </w:p>
    <w:p w14:paraId="644DA7CE" w14:textId="77777777" w:rsidR="001302C3" w:rsidRPr="001302C3" w:rsidRDefault="001302C3" w:rsidP="001807D3">
      <w:pPr>
        <w:spacing w:line="259" w:lineRule="auto"/>
        <w:jc w:val="both"/>
        <w:rPr>
          <w:rFonts w:ascii="Gotham" w:hAnsi="Gotham" w:cs="Arial"/>
          <w:sz w:val="20"/>
          <w:szCs w:val="20"/>
          <w:lang w:val="es-MX"/>
        </w:rPr>
      </w:pPr>
    </w:p>
    <w:p w14:paraId="2EC937F2" w14:textId="21D64DDE" w:rsidR="001807D3" w:rsidRPr="001302C3" w:rsidRDefault="001807D3" w:rsidP="001807D3">
      <w:pPr>
        <w:spacing w:line="259" w:lineRule="auto"/>
        <w:jc w:val="both"/>
        <w:rPr>
          <w:rFonts w:ascii="Gotham" w:hAnsi="Gotham" w:cs="Arial"/>
          <w:sz w:val="20"/>
          <w:szCs w:val="20"/>
          <w:lang w:val="es-MX"/>
        </w:rPr>
      </w:pPr>
      <w:r w:rsidRPr="001302C3">
        <w:rPr>
          <w:rFonts w:ascii="Gotham" w:hAnsi="Gotham" w:cs="Arial"/>
          <w:sz w:val="20"/>
          <w:szCs w:val="20"/>
          <w:lang w:val="es-MX"/>
        </w:rPr>
        <w:lastRenderedPageBreak/>
        <w:t xml:space="preserve">La comunicación de la asignación del Presupuesto Autorizado para el Ejercicio Fiscal 2023, se realizó mediante oficio No. 20704001L/0002/2023, de fecha 02 de enero de 2023, emitido por la Secretaría de Finanzas, con el cual se aprueba la asignación presupuestal autorizada por la LXI Legislatura local al Instituto de la Función Registral del Estado de México, que asciende a la cantidad de </w:t>
      </w:r>
      <w:r w:rsidRPr="001302C3">
        <w:rPr>
          <w:rFonts w:ascii="Gotham" w:hAnsi="Gotham" w:cs="Arial"/>
          <w:b/>
          <w:sz w:val="20"/>
          <w:szCs w:val="20"/>
          <w:lang w:val="es-MX"/>
        </w:rPr>
        <w:t>3,118,386,257.00</w:t>
      </w:r>
      <w:r w:rsidRPr="001302C3">
        <w:rPr>
          <w:rFonts w:ascii="Gotham" w:hAnsi="Gotham" w:cs="Arial"/>
          <w:sz w:val="20"/>
          <w:szCs w:val="20"/>
          <w:lang w:val="es-MX"/>
        </w:rPr>
        <w:t>, distribuido de la siguiente manera:</w:t>
      </w:r>
    </w:p>
    <w:p w14:paraId="5EC89DAB" w14:textId="77777777" w:rsidR="001807D3" w:rsidRPr="001302C3" w:rsidRDefault="001807D3" w:rsidP="001807D3">
      <w:pPr>
        <w:spacing w:line="259" w:lineRule="auto"/>
        <w:jc w:val="both"/>
        <w:rPr>
          <w:rFonts w:ascii="Gotham" w:hAnsi="Gotham" w:cs="Arial"/>
          <w:sz w:val="20"/>
          <w:szCs w:val="20"/>
          <w:lang w:val="es-MX"/>
        </w:rPr>
      </w:pPr>
    </w:p>
    <w:p w14:paraId="78741A79" w14:textId="577E5DC8" w:rsidR="001807D3" w:rsidRPr="001302C3" w:rsidRDefault="001807D3" w:rsidP="001807D3">
      <w:pPr>
        <w:jc w:val="both"/>
        <w:rPr>
          <w:rFonts w:ascii="Gotham" w:hAnsi="Gotham"/>
          <w:sz w:val="20"/>
          <w:szCs w:val="20"/>
          <w:lang w:val="es-MX"/>
        </w:rPr>
      </w:pPr>
      <w:r w:rsidRPr="001302C3">
        <w:rPr>
          <w:rFonts w:ascii="Gotham" w:hAnsi="Gotham"/>
          <w:noProof/>
          <w:sz w:val="20"/>
          <w:szCs w:val="20"/>
          <w:lang w:val="es-MX" w:eastAsia="es-MX"/>
        </w:rPr>
        <w:drawing>
          <wp:anchor distT="0" distB="0" distL="114300" distR="114300" simplePos="0" relativeHeight="251689984" behindDoc="0" locked="0" layoutInCell="1" allowOverlap="1" wp14:anchorId="47102C9B" wp14:editId="3715CDA7">
            <wp:simplePos x="0" y="0"/>
            <wp:positionH relativeFrom="margin">
              <wp:posOffset>584835</wp:posOffset>
            </wp:positionH>
            <wp:positionV relativeFrom="paragraph">
              <wp:posOffset>12700</wp:posOffset>
            </wp:positionV>
            <wp:extent cx="5175885" cy="1554480"/>
            <wp:effectExtent l="0" t="0" r="5715"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5885" cy="1554480"/>
                    </a:xfrm>
                    <a:prstGeom prst="rect">
                      <a:avLst/>
                    </a:prstGeom>
                    <a:noFill/>
                  </pic:spPr>
                </pic:pic>
              </a:graphicData>
            </a:graphic>
            <wp14:sizeRelH relativeFrom="page">
              <wp14:pctWidth>0</wp14:pctWidth>
            </wp14:sizeRelH>
            <wp14:sizeRelV relativeFrom="page">
              <wp14:pctHeight>0</wp14:pctHeight>
            </wp14:sizeRelV>
          </wp:anchor>
        </w:drawing>
      </w:r>
    </w:p>
    <w:p w14:paraId="192892D0" w14:textId="77777777" w:rsidR="001807D3" w:rsidRPr="001302C3" w:rsidRDefault="001807D3" w:rsidP="001807D3">
      <w:pPr>
        <w:rPr>
          <w:rFonts w:ascii="Gotham" w:hAnsi="Gotham"/>
          <w:sz w:val="20"/>
          <w:szCs w:val="20"/>
          <w:lang w:val="es-MX"/>
        </w:rPr>
      </w:pPr>
    </w:p>
    <w:p w14:paraId="4494FCF8" w14:textId="77777777" w:rsidR="001807D3" w:rsidRPr="001302C3" w:rsidRDefault="001807D3" w:rsidP="001807D3">
      <w:pPr>
        <w:rPr>
          <w:rFonts w:ascii="Gotham" w:hAnsi="Gotham"/>
          <w:sz w:val="20"/>
          <w:szCs w:val="20"/>
          <w:lang w:val="es-MX"/>
        </w:rPr>
      </w:pPr>
    </w:p>
    <w:p w14:paraId="22B993E8" w14:textId="77777777" w:rsidR="001807D3" w:rsidRPr="001302C3" w:rsidRDefault="001807D3" w:rsidP="001807D3">
      <w:pPr>
        <w:rPr>
          <w:rFonts w:ascii="Gotham" w:hAnsi="Gotham"/>
          <w:sz w:val="20"/>
          <w:szCs w:val="20"/>
          <w:lang w:val="es-MX"/>
        </w:rPr>
      </w:pPr>
    </w:p>
    <w:p w14:paraId="446BEEA4" w14:textId="77777777" w:rsidR="001807D3" w:rsidRPr="001302C3" w:rsidRDefault="001807D3" w:rsidP="001807D3">
      <w:pPr>
        <w:rPr>
          <w:rFonts w:ascii="Gotham" w:hAnsi="Gotham"/>
          <w:sz w:val="20"/>
          <w:szCs w:val="20"/>
          <w:lang w:val="es-MX"/>
        </w:rPr>
      </w:pPr>
    </w:p>
    <w:p w14:paraId="7BAEEEBA" w14:textId="511A0815" w:rsidR="001807D3" w:rsidRPr="001302C3" w:rsidRDefault="001807D3" w:rsidP="001807D3">
      <w:pPr>
        <w:rPr>
          <w:rFonts w:ascii="Gotham" w:hAnsi="Gotham"/>
          <w:sz w:val="20"/>
          <w:szCs w:val="20"/>
          <w:lang w:val="es-MX"/>
        </w:rPr>
      </w:pPr>
    </w:p>
    <w:p w14:paraId="01095E05" w14:textId="77777777" w:rsidR="001807D3" w:rsidRPr="001302C3" w:rsidRDefault="001807D3" w:rsidP="001807D3">
      <w:pPr>
        <w:rPr>
          <w:rFonts w:ascii="Gotham" w:hAnsi="Gotham"/>
          <w:sz w:val="20"/>
          <w:szCs w:val="20"/>
          <w:lang w:val="es-MX"/>
        </w:rPr>
      </w:pPr>
    </w:p>
    <w:p w14:paraId="5F689073" w14:textId="3CC03191" w:rsidR="001807D3" w:rsidRPr="001302C3" w:rsidRDefault="001807D3" w:rsidP="001807D3">
      <w:pPr>
        <w:rPr>
          <w:rFonts w:ascii="Gotham" w:hAnsi="Gotham"/>
          <w:sz w:val="20"/>
          <w:szCs w:val="20"/>
          <w:lang w:val="es-MX"/>
        </w:rPr>
      </w:pPr>
    </w:p>
    <w:p w14:paraId="497A732E" w14:textId="77777777" w:rsidR="001807D3" w:rsidRPr="001302C3" w:rsidRDefault="001807D3" w:rsidP="001807D3">
      <w:pPr>
        <w:jc w:val="center"/>
        <w:rPr>
          <w:rFonts w:ascii="Gotham" w:hAnsi="Gotham"/>
          <w:sz w:val="20"/>
          <w:szCs w:val="20"/>
          <w:lang w:val="es-MX"/>
        </w:rPr>
      </w:pPr>
    </w:p>
    <w:p w14:paraId="79A18420" w14:textId="3ABFF214" w:rsidR="001807D3" w:rsidRPr="001302C3" w:rsidRDefault="001807D3" w:rsidP="001807D3">
      <w:pPr>
        <w:jc w:val="center"/>
        <w:rPr>
          <w:rFonts w:ascii="Gotham" w:hAnsi="Gotham"/>
          <w:sz w:val="20"/>
          <w:szCs w:val="20"/>
          <w:lang w:val="es-MX"/>
        </w:rPr>
      </w:pPr>
    </w:p>
    <w:p w14:paraId="4456A65A" w14:textId="77777777" w:rsidR="001807D3" w:rsidRPr="001302C3" w:rsidRDefault="001807D3" w:rsidP="001807D3">
      <w:pPr>
        <w:jc w:val="center"/>
        <w:rPr>
          <w:rFonts w:ascii="Gotham" w:hAnsi="Gotham"/>
          <w:sz w:val="20"/>
          <w:szCs w:val="20"/>
          <w:lang w:val="es-MX"/>
        </w:rPr>
      </w:pPr>
    </w:p>
    <w:p w14:paraId="4B38A5BC" w14:textId="72A9839C" w:rsidR="001807D3" w:rsidRPr="001302C3" w:rsidRDefault="001807D3" w:rsidP="001807D3">
      <w:pPr>
        <w:jc w:val="center"/>
        <w:rPr>
          <w:rFonts w:ascii="Gotham" w:hAnsi="Gotham"/>
          <w:sz w:val="20"/>
          <w:szCs w:val="20"/>
          <w:lang w:val="es-MX"/>
        </w:rPr>
      </w:pPr>
    </w:p>
    <w:p w14:paraId="5E7E92D0" w14:textId="77777777" w:rsidR="00456013" w:rsidRDefault="00456013" w:rsidP="001807D3">
      <w:pPr>
        <w:jc w:val="both"/>
        <w:rPr>
          <w:rFonts w:ascii="Gotham" w:hAnsi="Gotham" w:cs="Arial"/>
          <w:sz w:val="20"/>
          <w:szCs w:val="20"/>
          <w:lang w:val="es-MX"/>
        </w:rPr>
      </w:pPr>
    </w:p>
    <w:p w14:paraId="573AEB5F" w14:textId="68635747" w:rsidR="001807D3" w:rsidRDefault="001807D3" w:rsidP="001807D3">
      <w:pPr>
        <w:jc w:val="both"/>
        <w:rPr>
          <w:rFonts w:ascii="Gotham" w:hAnsi="Gotham" w:cs="Arial"/>
          <w:sz w:val="20"/>
          <w:szCs w:val="20"/>
          <w:lang w:val="es-MX"/>
        </w:rPr>
      </w:pPr>
      <w:r w:rsidRPr="001302C3">
        <w:rPr>
          <w:rFonts w:ascii="Gotham" w:hAnsi="Gotham" w:cs="Arial"/>
          <w:sz w:val="20"/>
          <w:szCs w:val="20"/>
          <w:lang w:val="es-MX"/>
        </w:rPr>
        <w:t>El presupuesto se ha modificado para el presente ejercicio dando un total de 3,520,766,751.17, de acuerdo con las siguientes adecuaciones:</w:t>
      </w:r>
    </w:p>
    <w:p w14:paraId="323D22CC" w14:textId="1256958A" w:rsidR="00B90498" w:rsidRDefault="00B90498" w:rsidP="001807D3">
      <w:pPr>
        <w:jc w:val="both"/>
        <w:rPr>
          <w:rFonts w:ascii="Gotham" w:hAnsi="Gotham"/>
          <w:sz w:val="20"/>
          <w:szCs w:val="20"/>
          <w:lang w:val="es-MX"/>
        </w:rPr>
      </w:pPr>
    </w:p>
    <w:p w14:paraId="3A8085C4" w14:textId="46181E54" w:rsidR="00453397" w:rsidRDefault="00B90498" w:rsidP="001807D3">
      <w:pPr>
        <w:jc w:val="both"/>
        <w:rPr>
          <w:rFonts w:ascii="Gotham" w:hAnsi="Gotham" w:cs="Arial"/>
          <w:sz w:val="20"/>
          <w:szCs w:val="20"/>
          <w:lang w:val="es-MX"/>
        </w:rPr>
      </w:pPr>
      <w:r w:rsidRPr="00B90498">
        <w:rPr>
          <w:rFonts w:ascii="Gotham" w:hAnsi="Gotham"/>
          <w:noProof/>
          <w:sz w:val="20"/>
          <w:szCs w:val="20"/>
          <w:lang w:val="es-MX"/>
        </w:rPr>
        <w:drawing>
          <wp:anchor distT="0" distB="0" distL="114300" distR="114300" simplePos="0" relativeHeight="251698176" behindDoc="0" locked="0" layoutInCell="1" allowOverlap="1" wp14:anchorId="6E8B99CD" wp14:editId="319B6379">
            <wp:simplePos x="0" y="0"/>
            <wp:positionH relativeFrom="column">
              <wp:posOffset>490855</wp:posOffset>
            </wp:positionH>
            <wp:positionV relativeFrom="paragraph">
              <wp:posOffset>12700</wp:posOffset>
            </wp:positionV>
            <wp:extent cx="5379085" cy="3737610"/>
            <wp:effectExtent l="0" t="0" r="0" b="0"/>
            <wp:wrapSquare wrapText="bothSides"/>
            <wp:docPr id="13182075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07584" name=""/>
                    <pic:cNvPicPr/>
                  </pic:nvPicPr>
                  <pic:blipFill>
                    <a:blip r:embed="rId22">
                      <a:extLst>
                        <a:ext uri="{28A0092B-C50C-407E-A947-70E740481C1C}">
                          <a14:useLocalDpi xmlns:a14="http://schemas.microsoft.com/office/drawing/2010/main" val="0"/>
                        </a:ext>
                      </a:extLst>
                    </a:blip>
                    <a:stretch>
                      <a:fillRect/>
                    </a:stretch>
                  </pic:blipFill>
                  <pic:spPr>
                    <a:xfrm>
                      <a:off x="0" y="0"/>
                      <a:ext cx="5379085" cy="3737610"/>
                    </a:xfrm>
                    <a:prstGeom prst="rect">
                      <a:avLst/>
                    </a:prstGeom>
                  </pic:spPr>
                </pic:pic>
              </a:graphicData>
            </a:graphic>
            <wp14:sizeRelH relativeFrom="page">
              <wp14:pctWidth>0</wp14:pctWidth>
            </wp14:sizeRelH>
            <wp14:sizeRelV relativeFrom="page">
              <wp14:pctHeight>0</wp14:pctHeight>
            </wp14:sizeRelV>
          </wp:anchor>
        </w:drawing>
      </w:r>
    </w:p>
    <w:p w14:paraId="0717B8E7" w14:textId="77777777" w:rsidR="00B90498" w:rsidRDefault="00B90498" w:rsidP="001807D3">
      <w:pPr>
        <w:jc w:val="both"/>
        <w:rPr>
          <w:rFonts w:ascii="Gotham" w:hAnsi="Gotham" w:cs="Arial"/>
          <w:sz w:val="20"/>
          <w:szCs w:val="20"/>
          <w:lang w:val="es-MX"/>
        </w:rPr>
      </w:pPr>
    </w:p>
    <w:p w14:paraId="5D6DDD80" w14:textId="77777777" w:rsidR="00B90498" w:rsidRDefault="00B90498" w:rsidP="001807D3">
      <w:pPr>
        <w:jc w:val="both"/>
        <w:rPr>
          <w:rFonts w:ascii="Gotham" w:hAnsi="Gotham" w:cs="Arial"/>
          <w:sz w:val="20"/>
          <w:szCs w:val="20"/>
          <w:lang w:val="es-MX"/>
        </w:rPr>
      </w:pPr>
    </w:p>
    <w:p w14:paraId="13CAEC16" w14:textId="77777777" w:rsidR="00B90498" w:rsidRDefault="00B90498" w:rsidP="001807D3">
      <w:pPr>
        <w:jc w:val="both"/>
        <w:rPr>
          <w:rFonts w:ascii="Gotham" w:hAnsi="Gotham" w:cs="Arial"/>
          <w:sz w:val="20"/>
          <w:szCs w:val="20"/>
          <w:lang w:val="es-MX"/>
        </w:rPr>
      </w:pPr>
    </w:p>
    <w:p w14:paraId="419F1681" w14:textId="77777777" w:rsidR="00B90498" w:rsidRDefault="00B90498" w:rsidP="001807D3">
      <w:pPr>
        <w:jc w:val="both"/>
        <w:rPr>
          <w:rFonts w:ascii="Gotham" w:hAnsi="Gotham" w:cs="Arial"/>
          <w:sz w:val="20"/>
          <w:szCs w:val="20"/>
          <w:lang w:val="es-MX"/>
        </w:rPr>
      </w:pPr>
    </w:p>
    <w:p w14:paraId="1DAADFE5" w14:textId="77777777" w:rsidR="00B90498" w:rsidRDefault="00B90498" w:rsidP="001807D3">
      <w:pPr>
        <w:jc w:val="both"/>
        <w:rPr>
          <w:rFonts w:ascii="Gotham" w:hAnsi="Gotham" w:cs="Arial"/>
          <w:sz w:val="20"/>
          <w:szCs w:val="20"/>
          <w:lang w:val="es-MX"/>
        </w:rPr>
      </w:pPr>
    </w:p>
    <w:p w14:paraId="4C25942F" w14:textId="77777777" w:rsidR="00B90498" w:rsidRDefault="00B90498" w:rsidP="001807D3">
      <w:pPr>
        <w:jc w:val="both"/>
        <w:rPr>
          <w:rFonts w:ascii="Gotham" w:hAnsi="Gotham" w:cs="Arial"/>
          <w:sz w:val="20"/>
          <w:szCs w:val="20"/>
          <w:lang w:val="es-MX"/>
        </w:rPr>
      </w:pPr>
    </w:p>
    <w:p w14:paraId="5A82599B" w14:textId="77777777" w:rsidR="00B90498" w:rsidRDefault="00B90498" w:rsidP="001807D3">
      <w:pPr>
        <w:jc w:val="both"/>
        <w:rPr>
          <w:rFonts w:ascii="Gotham" w:hAnsi="Gotham" w:cs="Arial"/>
          <w:sz w:val="20"/>
          <w:szCs w:val="20"/>
          <w:lang w:val="es-MX"/>
        </w:rPr>
      </w:pPr>
    </w:p>
    <w:p w14:paraId="09D8B2F0" w14:textId="77777777" w:rsidR="00B90498" w:rsidRDefault="00B90498" w:rsidP="001807D3">
      <w:pPr>
        <w:jc w:val="both"/>
        <w:rPr>
          <w:rFonts w:ascii="Gotham" w:hAnsi="Gotham" w:cs="Arial"/>
          <w:sz w:val="20"/>
          <w:szCs w:val="20"/>
          <w:lang w:val="es-MX"/>
        </w:rPr>
      </w:pPr>
    </w:p>
    <w:p w14:paraId="3C94AD4A" w14:textId="1DDBA5BC" w:rsidR="00B90498" w:rsidRDefault="00B90498" w:rsidP="001807D3">
      <w:pPr>
        <w:jc w:val="both"/>
        <w:rPr>
          <w:rFonts w:ascii="Gotham" w:hAnsi="Gotham" w:cs="Arial"/>
          <w:sz w:val="20"/>
          <w:szCs w:val="20"/>
          <w:lang w:val="es-MX"/>
        </w:rPr>
      </w:pPr>
    </w:p>
    <w:p w14:paraId="65CD6873" w14:textId="77777777" w:rsidR="00B90498" w:rsidRDefault="00B90498" w:rsidP="001807D3">
      <w:pPr>
        <w:jc w:val="both"/>
        <w:rPr>
          <w:rFonts w:ascii="Gotham" w:hAnsi="Gotham" w:cs="Arial"/>
          <w:sz w:val="20"/>
          <w:szCs w:val="20"/>
          <w:lang w:val="es-MX"/>
        </w:rPr>
      </w:pPr>
    </w:p>
    <w:p w14:paraId="1A892DB1" w14:textId="351681DE" w:rsidR="00B90498" w:rsidRDefault="00B90498" w:rsidP="001807D3">
      <w:pPr>
        <w:jc w:val="both"/>
        <w:rPr>
          <w:rFonts w:ascii="Gotham" w:hAnsi="Gotham" w:cs="Arial"/>
          <w:sz w:val="20"/>
          <w:szCs w:val="20"/>
          <w:lang w:val="es-MX"/>
        </w:rPr>
      </w:pPr>
    </w:p>
    <w:p w14:paraId="7A3AE90C" w14:textId="24FB04EE" w:rsidR="00B90498" w:rsidRPr="001302C3" w:rsidRDefault="00B90498" w:rsidP="001807D3">
      <w:pPr>
        <w:jc w:val="both"/>
        <w:rPr>
          <w:rFonts w:ascii="Gotham" w:hAnsi="Gotham" w:cs="Arial"/>
          <w:sz w:val="20"/>
          <w:szCs w:val="20"/>
          <w:lang w:val="es-MX"/>
        </w:rPr>
      </w:pPr>
    </w:p>
    <w:p w14:paraId="66DC8227" w14:textId="00F69120" w:rsidR="001807D3" w:rsidRDefault="001807D3" w:rsidP="001807D3">
      <w:pPr>
        <w:rPr>
          <w:rFonts w:ascii="Gotham" w:hAnsi="Gotham"/>
          <w:sz w:val="20"/>
          <w:szCs w:val="20"/>
          <w:lang w:val="es-MX"/>
        </w:rPr>
      </w:pPr>
    </w:p>
    <w:p w14:paraId="2191296B" w14:textId="5984D8E7" w:rsidR="00B90498" w:rsidRDefault="00B90498" w:rsidP="001807D3">
      <w:pPr>
        <w:rPr>
          <w:rFonts w:ascii="Gotham" w:hAnsi="Gotham"/>
          <w:sz w:val="20"/>
          <w:szCs w:val="20"/>
          <w:lang w:val="es-MX"/>
        </w:rPr>
      </w:pPr>
    </w:p>
    <w:p w14:paraId="0DE5BF7C" w14:textId="77777777" w:rsidR="00B90498" w:rsidRDefault="00B90498" w:rsidP="001807D3">
      <w:pPr>
        <w:rPr>
          <w:rFonts w:ascii="Gotham" w:hAnsi="Gotham"/>
          <w:sz w:val="20"/>
          <w:szCs w:val="20"/>
          <w:lang w:val="es-MX"/>
        </w:rPr>
      </w:pPr>
    </w:p>
    <w:p w14:paraId="6B314221" w14:textId="77777777" w:rsidR="00B90498" w:rsidRDefault="00B90498" w:rsidP="001807D3">
      <w:pPr>
        <w:rPr>
          <w:rFonts w:ascii="Gotham" w:hAnsi="Gotham"/>
          <w:sz w:val="20"/>
          <w:szCs w:val="20"/>
          <w:lang w:val="es-MX"/>
        </w:rPr>
      </w:pPr>
    </w:p>
    <w:p w14:paraId="5CD3AE05" w14:textId="77777777" w:rsidR="00B90498" w:rsidRDefault="00B90498" w:rsidP="001807D3">
      <w:pPr>
        <w:rPr>
          <w:rFonts w:ascii="Gotham" w:hAnsi="Gotham"/>
          <w:sz w:val="20"/>
          <w:szCs w:val="20"/>
          <w:lang w:val="es-MX"/>
        </w:rPr>
      </w:pPr>
    </w:p>
    <w:p w14:paraId="722AF288" w14:textId="77777777" w:rsidR="00B90498" w:rsidRDefault="00B90498" w:rsidP="001807D3">
      <w:pPr>
        <w:rPr>
          <w:rFonts w:ascii="Gotham" w:hAnsi="Gotham"/>
          <w:sz w:val="20"/>
          <w:szCs w:val="20"/>
          <w:lang w:val="es-MX"/>
        </w:rPr>
      </w:pPr>
    </w:p>
    <w:p w14:paraId="519F0AE6" w14:textId="77777777" w:rsidR="00B90498" w:rsidRDefault="00B90498" w:rsidP="001807D3">
      <w:pPr>
        <w:rPr>
          <w:rFonts w:ascii="Gotham" w:hAnsi="Gotham"/>
          <w:sz w:val="20"/>
          <w:szCs w:val="20"/>
          <w:lang w:val="es-MX"/>
        </w:rPr>
      </w:pPr>
    </w:p>
    <w:p w14:paraId="76DB43A3" w14:textId="77777777" w:rsidR="00B90498" w:rsidRDefault="00B90498" w:rsidP="001807D3">
      <w:pPr>
        <w:rPr>
          <w:rFonts w:ascii="Gotham" w:hAnsi="Gotham"/>
          <w:sz w:val="20"/>
          <w:szCs w:val="20"/>
          <w:lang w:val="es-MX"/>
        </w:rPr>
      </w:pPr>
    </w:p>
    <w:p w14:paraId="34B8D7AC" w14:textId="77777777" w:rsidR="00B90498" w:rsidRDefault="00B90498" w:rsidP="001807D3">
      <w:pPr>
        <w:rPr>
          <w:rFonts w:ascii="Gotham" w:hAnsi="Gotham"/>
          <w:sz w:val="20"/>
          <w:szCs w:val="20"/>
          <w:lang w:val="es-MX"/>
        </w:rPr>
      </w:pPr>
    </w:p>
    <w:p w14:paraId="76F42562" w14:textId="77777777" w:rsidR="00B90498" w:rsidRDefault="00B90498" w:rsidP="001807D3">
      <w:pPr>
        <w:rPr>
          <w:rFonts w:ascii="Gotham" w:hAnsi="Gotham"/>
          <w:sz w:val="20"/>
          <w:szCs w:val="20"/>
          <w:lang w:val="es-MX"/>
        </w:rPr>
      </w:pPr>
    </w:p>
    <w:p w14:paraId="509AEC21" w14:textId="77777777" w:rsidR="00B90498" w:rsidRDefault="00B90498" w:rsidP="001807D3">
      <w:pPr>
        <w:rPr>
          <w:rFonts w:ascii="Gotham" w:hAnsi="Gotham"/>
          <w:sz w:val="20"/>
          <w:szCs w:val="20"/>
          <w:lang w:val="es-MX"/>
        </w:rPr>
      </w:pPr>
    </w:p>
    <w:p w14:paraId="560B9A80" w14:textId="77777777" w:rsidR="00B90498" w:rsidRDefault="00B90498" w:rsidP="001807D3">
      <w:pPr>
        <w:rPr>
          <w:rFonts w:ascii="Gotham" w:hAnsi="Gotham"/>
          <w:sz w:val="20"/>
          <w:szCs w:val="20"/>
          <w:lang w:val="es-MX"/>
        </w:rPr>
      </w:pPr>
    </w:p>
    <w:p w14:paraId="3F41702E" w14:textId="77777777" w:rsidR="00B90498" w:rsidRPr="001302C3" w:rsidRDefault="00B90498" w:rsidP="001807D3">
      <w:pPr>
        <w:rPr>
          <w:rFonts w:ascii="Gotham" w:hAnsi="Gotham"/>
          <w:sz w:val="20"/>
          <w:szCs w:val="20"/>
          <w:lang w:val="es-MX"/>
        </w:rPr>
      </w:pPr>
    </w:p>
    <w:p w14:paraId="347A0722" w14:textId="38420E52" w:rsidR="001807D3" w:rsidRPr="001302C3" w:rsidRDefault="001807D3" w:rsidP="001807D3">
      <w:pPr>
        <w:rPr>
          <w:rFonts w:ascii="Gotham" w:hAnsi="Gotham"/>
          <w:sz w:val="20"/>
          <w:szCs w:val="20"/>
          <w:lang w:val="es-MX"/>
        </w:rPr>
      </w:pPr>
    </w:p>
    <w:p w14:paraId="34380050" w14:textId="79BF54F6" w:rsidR="001807D3" w:rsidRPr="001302C3" w:rsidRDefault="001807D3" w:rsidP="001807D3">
      <w:pPr>
        <w:spacing w:line="259" w:lineRule="auto"/>
        <w:rPr>
          <w:rFonts w:ascii="Gotham" w:hAnsi="Gotham" w:cs="Arial"/>
          <w:b/>
          <w:sz w:val="20"/>
          <w:szCs w:val="20"/>
          <w:lang w:val="es-MX"/>
        </w:rPr>
      </w:pPr>
      <w:r w:rsidRPr="001302C3">
        <w:rPr>
          <w:rFonts w:ascii="Gotham" w:hAnsi="Gotham" w:cs="Arial"/>
          <w:b/>
          <w:sz w:val="20"/>
          <w:szCs w:val="20"/>
          <w:lang w:val="es-MX"/>
        </w:rPr>
        <w:lastRenderedPageBreak/>
        <w:t xml:space="preserve">Estado Comparativo del Ejercicio del Presupuesto de Egresos: </w:t>
      </w:r>
    </w:p>
    <w:p w14:paraId="6370CD9C" w14:textId="77777777" w:rsidR="001807D3" w:rsidRPr="001302C3" w:rsidRDefault="001807D3" w:rsidP="001807D3">
      <w:pPr>
        <w:jc w:val="center"/>
        <w:rPr>
          <w:rFonts w:ascii="Gotham" w:hAnsi="Gotham"/>
          <w:sz w:val="20"/>
          <w:szCs w:val="20"/>
          <w:lang w:val="es-MX"/>
        </w:rPr>
      </w:pPr>
    </w:p>
    <w:p w14:paraId="275388CE" w14:textId="77777777" w:rsidR="001807D3" w:rsidRPr="001302C3" w:rsidRDefault="001807D3" w:rsidP="001807D3">
      <w:pPr>
        <w:rPr>
          <w:rFonts w:ascii="Gotham" w:hAnsi="Gotham"/>
          <w:sz w:val="20"/>
          <w:szCs w:val="20"/>
          <w:lang w:val="es-MX"/>
        </w:rPr>
      </w:pPr>
      <w:r w:rsidRPr="001302C3">
        <w:rPr>
          <w:noProof/>
          <w:lang w:val="es-MX" w:eastAsia="es-MX"/>
        </w:rPr>
        <w:drawing>
          <wp:anchor distT="0" distB="0" distL="114300" distR="114300" simplePos="0" relativeHeight="251695104" behindDoc="0" locked="0" layoutInCell="1" allowOverlap="1" wp14:anchorId="0F7D18CA" wp14:editId="4D2CC337">
            <wp:simplePos x="0" y="0"/>
            <wp:positionH relativeFrom="margin">
              <wp:align>center</wp:align>
            </wp:positionH>
            <wp:positionV relativeFrom="paragraph">
              <wp:posOffset>11430</wp:posOffset>
            </wp:positionV>
            <wp:extent cx="5800725" cy="2472892"/>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2472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0D0B" w14:textId="77777777" w:rsidR="001807D3" w:rsidRPr="001302C3" w:rsidRDefault="001807D3" w:rsidP="001807D3">
      <w:pPr>
        <w:tabs>
          <w:tab w:val="left" w:pos="3420"/>
        </w:tabs>
        <w:rPr>
          <w:rFonts w:ascii="Gotham" w:hAnsi="Gotham"/>
          <w:sz w:val="20"/>
          <w:szCs w:val="20"/>
          <w:lang w:val="es-MX"/>
        </w:rPr>
      </w:pPr>
      <w:r w:rsidRPr="001302C3">
        <w:rPr>
          <w:rFonts w:ascii="Gotham" w:hAnsi="Gotham"/>
          <w:sz w:val="20"/>
          <w:szCs w:val="20"/>
          <w:lang w:val="es-MX"/>
        </w:rPr>
        <w:tab/>
      </w:r>
    </w:p>
    <w:p w14:paraId="78654066" w14:textId="3FEC73A8" w:rsidR="001807D3" w:rsidRPr="001302C3" w:rsidRDefault="001807D3" w:rsidP="001807D3">
      <w:pPr>
        <w:rPr>
          <w:rFonts w:ascii="Gotham" w:hAnsi="Gotham"/>
          <w:sz w:val="20"/>
          <w:szCs w:val="20"/>
          <w:lang w:val="es-MX"/>
        </w:rPr>
      </w:pPr>
    </w:p>
    <w:p w14:paraId="5F648E5A" w14:textId="77777777" w:rsidR="001807D3" w:rsidRPr="001302C3" w:rsidRDefault="001807D3" w:rsidP="001807D3">
      <w:pPr>
        <w:tabs>
          <w:tab w:val="left" w:pos="3510"/>
        </w:tabs>
        <w:rPr>
          <w:rFonts w:ascii="Gotham" w:hAnsi="Gotham"/>
          <w:sz w:val="20"/>
          <w:szCs w:val="20"/>
          <w:lang w:val="es-MX"/>
        </w:rPr>
      </w:pPr>
      <w:r w:rsidRPr="001302C3">
        <w:rPr>
          <w:rFonts w:ascii="Gotham" w:hAnsi="Gotham"/>
          <w:sz w:val="20"/>
          <w:szCs w:val="20"/>
          <w:lang w:val="es-MX"/>
        </w:rPr>
        <w:tab/>
      </w:r>
    </w:p>
    <w:p w14:paraId="2FB5F1EE" w14:textId="77777777" w:rsidR="001807D3" w:rsidRPr="001302C3" w:rsidRDefault="001807D3" w:rsidP="001807D3">
      <w:pPr>
        <w:rPr>
          <w:rFonts w:ascii="Gotham" w:hAnsi="Gotham"/>
          <w:sz w:val="20"/>
          <w:szCs w:val="20"/>
          <w:lang w:val="es-MX"/>
        </w:rPr>
      </w:pPr>
    </w:p>
    <w:p w14:paraId="720F0C21" w14:textId="77777777" w:rsidR="001807D3" w:rsidRPr="001302C3" w:rsidRDefault="001807D3" w:rsidP="001807D3">
      <w:pPr>
        <w:rPr>
          <w:rFonts w:ascii="Gotham" w:hAnsi="Gotham"/>
          <w:sz w:val="20"/>
          <w:szCs w:val="20"/>
          <w:lang w:val="es-MX"/>
        </w:rPr>
      </w:pPr>
    </w:p>
    <w:p w14:paraId="46513191" w14:textId="77777777" w:rsidR="001807D3" w:rsidRPr="001302C3" w:rsidRDefault="001807D3" w:rsidP="001807D3">
      <w:pPr>
        <w:rPr>
          <w:rFonts w:ascii="Gotham" w:hAnsi="Gotham"/>
          <w:sz w:val="20"/>
          <w:szCs w:val="20"/>
          <w:lang w:val="es-MX"/>
        </w:rPr>
      </w:pPr>
    </w:p>
    <w:p w14:paraId="33E770F3" w14:textId="77777777" w:rsidR="001807D3" w:rsidRPr="001302C3" w:rsidRDefault="001807D3" w:rsidP="001807D3">
      <w:pPr>
        <w:rPr>
          <w:rFonts w:ascii="Gotham" w:hAnsi="Gotham"/>
          <w:sz w:val="20"/>
          <w:szCs w:val="20"/>
          <w:lang w:val="es-MX"/>
        </w:rPr>
      </w:pPr>
    </w:p>
    <w:p w14:paraId="50E4FBFC" w14:textId="77777777" w:rsidR="001807D3" w:rsidRPr="001302C3" w:rsidRDefault="001807D3" w:rsidP="001807D3">
      <w:pPr>
        <w:rPr>
          <w:rFonts w:ascii="Gotham" w:hAnsi="Gotham"/>
          <w:sz w:val="20"/>
          <w:szCs w:val="20"/>
          <w:lang w:val="es-MX"/>
        </w:rPr>
      </w:pPr>
    </w:p>
    <w:p w14:paraId="7BA3C6FD" w14:textId="77777777" w:rsidR="001807D3" w:rsidRPr="001302C3" w:rsidRDefault="001807D3" w:rsidP="001807D3">
      <w:pPr>
        <w:rPr>
          <w:rFonts w:ascii="Gotham" w:hAnsi="Gotham"/>
          <w:sz w:val="20"/>
          <w:szCs w:val="20"/>
          <w:lang w:val="es-MX"/>
        </w:rPr>
      </w:pPr>
    </w:p>
    <w:p w14:paraId="5515CCF2" w14:textId="77777777" w:rsidR="001807D3" w:rsidRPr="001302C3" w:rsidRDefault="001807D3" w:rsidP="001807D3">
      <w:pPr>
        <w:rPr>
          <w:rFonts w:ascii="Gotham" w:hAnsi="Gotham"/>
          <w:sz w:val="20"/>
          <w:szCs w:val="20"/>
          <w:lang w:val="es-MX"/>
        </w:rPr>
      </w:pPr>
    </w:p>
    <w:p w14:paraId="406455A0" w14:textId="77777777" w:rsidR="001807D3" w:rsidRPr="001302C3" w:rsidRDefault="001807D3" w:rsidP="001807D3">
      <w:pPr>
        <w:rPr>
          <w:rFonts w:ascii="Gotham" w:hAnsi="Gotham"/>
          <w:sz w:val="20"/>
          <w:szCs w:val="20"/>
          <w:lang w:val="es-MX"/>
        </w:rPr>
      </w:pPr>
    </w:p>
    <w:p w14:paraId="6435C2AD" w14:textId="77777777" w:rsidR="001807D3" w:rsidRPr="001302C3" w:rsidRDefault="001807D3" w:rsidP="001807D3">
      <w:pPr>
        <w:rPr>
          <w:rFonts w:ascii="Gotham" w:hAnsi="Gotham"/>
          <w:sz w:val="20"/>
          <w:szCs w:val="20"/>
          <w:lang w:val="es-MX"/>
        </w:rPr>
      </w:pPr>
    </w:p>
    <w:p w14:paraId="7D7A41BB" w14:textId="77777777" w:rsidR="001807D3" w:rsidRPr="001302C3" w:rsidRDefault="001807D3" w:rsidP="001807D3">
      <w:pPr>
        <w:rPr>
          <w:rFonts w:ascii="Gotham" w:hAnsi="Gotham"/>
          <w:sz w:val="20"/>
          <w:szCs w:val="20"/>
          <w:lang w:val="es-MX"/>
        </w:rPr>
      </w:pPr>
    </w:p>
    <w:p w14:paraId="5638AFCC" w14:textId="77777777" w:rsidR="001807D3" w:rsidRPr="001302C3" w:rsidRDefault="001807D3" w:rsidP="001807D3">
      <w:pPr>
        <w:rPr>
          <w:rFonts w:ascii="Gotham" w:hAnsi="Gotham"/>
          <w:sz w:val="20"/>
          <w:szCs w:val="20"/>
          <w:lang w:val="es-MX"/>
        </w:rPr>
      </w:pPr>
    </w:p>
    <w:p w14:paraId="57BD1188"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0B5661E1"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0BF5B58E"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43854059" w14:textId="77777777"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p>
    <w:p w14:paraId="6C42C0A1" w14:textId="13E4D8F3" w:rsidR="001807D3" w:rsidRPr="001302C3" w:rsidRDefault="001807D3" w:rsidP="001807D3">
      <w:pPr>
        <w:tabs>
          <w:tab w:val="left" w:pos="488"/>
        </w:tabs>
        <w:spacing w:line="276" w:lineRule="auto"/>
        <w:ind w:right="-1"/>
        <w:jc w:val="both"/>
        <w:outlineLvl w:val="0"/>
        <w:rPr>
          <w:rFonts w:ascii="Gotham" w:hAnsi="Gotham" w:cs="Arial"/>
          <w:sz w:val="20"/>
          <w:szCs w:val="20"/>
          <w:lang w:val="es-MX"/>
        </w:rPr>
      </w:pPr>
      <w:r w:rsidRPr="001302C3">
        <w:rPr>
          <w:rFonts w:ascii="Gotham" w:hAnsi="Gotham" w:cs="Arial"/>
          <w:sz w:val="20"/>
          <w:szCs w:val="20"/>
          <w:lang w:val="es-MX"/>
        </w:rPr>
        <w:t>El presupuesto de egresos autorizado asignado anual fue de 3,118,386,257.00; se hicieron adecuaciones al presupuesto, dando como resultado un presupuesto acumulado al mes modificado de 3,520,766,751.17 y un presupuesto acumulado al mes ejercido de 3,199,626,007.48, por lo tanto, se observa una variación absoluta de 321,140,743.69 que representa el 9.1 por ciento, principalmente por lo siguiente:</w:t>
      </w:r>
    </w:p>
    <w:p w14:paraId="2AEB89C8" w14:textId="77777777" w:rsidR="001807D3" w:rsidRPr="001302C3" w:rsidRDefault="001807D3" w:rsidP="001807D3">
      <w:pPr>
        <w:spacing w:line="276" w:lineRule="auto"/>
        <w:ind w:right="-1"/>
        <w:jc w:val="both"/>
        <w:rPr>
          <w:rFonts w:ascii="Gotham" w:hAnsi="Gotham" w:cs="Arial"/>
          <w:b/>
          <w:sz w:val="20"/>
          <w:szCs w:val="20"/>
          <w:lang w:val="es-MX"/>
        </w:rPr>
      </w:pPr>
    </w:p>
    <w:p w14:paraId="3FCA2851" w14:textId="14004D4E"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1000 “Servicios Personales”</w:t>
      </w:r>
      <w:r w:rsidRPr="001302C3">
        <w:rPr>
          <w:rFonts w:ascii="Gotham" w:hAnsi="Gotham" w:cs="Arial"/>
          <w:sz w:val="20"/>
          <w:szCs w:val="20"/>
          <w:lang w:val="es-MX"/>
        </w:rPr>
        <w:t xml:space="preserve">. – </w:t>
      </w:r>
      <w:r w:rsidRPr="001302C3">
        <w:rPr>
          <w:lang w:val="es-MX"/>
        </w:rPr>
        <w:t xml:space="preserve"> </w:t>
      </w:r>
      <w:r w:rsidRPr="001302C3">
        <w:rPr>
          <w:rFonts w:ascii="Gotham" w:hAnsi="Gotham" w:cs="Arial"/>
          <w:sz w:val="20"/>
          <w:szCs w:val="20"/>
          <w:lang w:val="es-MX"/>
        </w:rPr>
        <w:t>La variación relativa del 4.0 por ciento obedece a que el presupuesto autorizado por la Secretaría de Finanzas fue superior al Costo de la Plantilla de este Instituto.</w:t>
      </w:r>
    </w:p>
    <w:p w14:paraId="49797EE5" w14:textId="77777777" w:rsidR="001807D3" w:rsidRPr="001302C3" w:rsidRDefault="001807D3" w:rsidP="001807D3">
      <w:pPr>
        <w:spacing w:line="276" w:lineRule="auto"/>
        <w:ind w:right="-1"/>
        <w:jc w:val="both"/>
        <w:rPr>
          <w:rFonts w:ascii="Gotham" w:hAnsi="Gotham" w:cs="Arial"/>
          <w:sz w:val="20"/>
          <w:szCs w:val="20"/>
          <w:lang w:val="es-MX"/>
        </w:rPr>
      </w:pPr>
    </w:p>
    <w:p w14:paraId="5505FE5E" w14:textId="4B918C8E"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2000 “Materiales y Suministros”</w:t>
      </w:r>
      <w:r w:rsidRPr="001302C3">
        <w:rPr>
          <w:rFonts w:ascii="Gotham" w:hAnsi="Gotham" w:cs="Arial"/>
          <w:sz w:val="20"/>
          <w:szCs w:val="20"/>
          <w:lang w:val="es-MX"/>
        </w:rPr>
        <w:t>. – La variación relativa del 9</w:t>
      </w:r>
      <w:r w:rsidR="006952CA" w:rsidRPr="001302C3">
        <w:rPr>
          <w:rFonts w:ascii="Gotham" w:hAnsi="Gotham" w:cs="Arial"/>
          <w:sz w:val="20"/>
          <w:szCs w:val="20"/>
          <w:lang w:val="es-MX"/>
        </w:rPr>
        <w:t>.4</w:t>
      </w:r>
      <w:r w:rsidRPr="001302C3">
        <w:rPr>
          <w:rFonts w:ascii="Gotham" w:hAnsi="Gotham" w:cs="Arial"/>
          <w:sz w:val="20"/>
          <w:szCs w:val="20"/>
          <w:lang w:val="es-MX"/>
        </w:rPr>
        <w:t xml:space="preserve"> por ciento, obedece </w:t>
      </w:r>
      <w:r w:rsidR="006952CA" w:rsidRPr="001302C3">
        <w:rPr>
          <w:rFonts w:ascii="Gotham" w:hAnsi="Gotham" w:cs="Arial"/>
          <w:sz w:val="20"/>
          <w:szCs w:val="20"/>
          <w:lang w:val="es-MX"/>
        </w:rPr>
        <w:t>a que el</w:t>
      </w:r>
      <w:r w:rsidRPr="001302C3">
        <w:rPr>
          <w:rFonts w:ascii="Gotham" w:hAnsi="Gotham" w:cs="Arial"/>
          <w:sz w:val="20"/>
          <w:szCs w:val="20"/>
          <w:lang w:val="es-MX"/>
        </w:rPr>
        <w:t xml:space="preserve"> presupuesto </w:t>
      </w:r>
      <w:r w:rsidR="006952CA" w:rsidRPr="001302C3">
        <w:rPr>
          <w:rFonts w:ascii="Gotham" w:hAnsi="Gotham" w:cs="Arial"/>
          <w:sz w:val="20"/>
          <w:szCs w:val="20"/>
          <w:lang w:val="es-MX"/>
        </w:rPr>
        <w:t>ejercido genero una</w:t>
      </w:r>
      <w:r w:rsidRPr="001302C3">
        <w:rPr>
          <w:rFonts w:ascii="Gotham" w:hAnsi="Gotham" w:cs="Arial"/>
          <w:sz w:val="20"/>
          <w:szCs w:val="20"/>
          <w:lang w:val="es-MX"/>
        </w:rPr>
        <w:t xml:space="preserve"> economía por el cumplimiento a lo dispuesto</w:t>
      </w:r>
      <w:r w:rsidR="006952CA" w:rsidRPr="001302C3">
        <w:rPr>
          <w:rFonts w:ascii="Gotham" w:hAnsi="Gotham" w:cs="Arial"/>
          <w:sz w:val="20"/>
          <w:szCs w:val="20"/>
          <w:lang w:val="es-MX"/>
        </w:rPr>
        <w:t xml:space="preserve"> en el plan de </w:t>
      </w:r>
      <w:r w:rsidRPr="001302C3">
        <w:rPr>
          <w:rFonts w:ascii="Gotham" w:hAnsi="Gotham" w:cs="Arial"/>
          <w:sz w:val="20"/>
          <w:szCs w:val="20"/>
          <w:lang w:val="es-MX"/>
        </w:rPr>
        <w:t xml:space="preserve">las </w:t>
      </w:r>
      <w:r w:rsidR="006952CA" w:rsidRPr="001302C3">
        <w:rPr>
          <w:rFonts w:ascii="Gotham" w:hAnsi="Gotham" w:cs="Arial"/>
          <w:sz w:val="20"/>
          <w:szCs w:val="20"/>
          <w:lang w:val="es-MX"/>
        </w:rPr>
        <w:t>“</w:t>
      </w:r>
      <w:r w:rsidRPr="001302C3">
        <w:rPr>
          <w:rFonts w:ascii="Gotham" w:hAnsi="Gotham" w:cs="Arial"/>
          <w:sz w:val="20"/>
          <w:szCs w:val="20"/>
          <w:lang w:val="es-MX"/>
        </w:rPr>
        <w:t>Medidas de Austeridad y Contención al Gasto Público del Poder Ejecutivo del Gobierno del Estado de México</w:t>
      </w:r>
      <w:r w:rsidR="006952CA" w:rsidRPr="001302C3">
        <w:rPr>
          <w:rFonts w:ascii="Gotham" w:hAnsi="Gotham" w:cs="Arial"/>
          <w:sz w:val="20"/>
          <w:szCs w:val="20"/>
          <w:lang w:val="es-MX"/>
        </w:rPr>
        <w:t>”</w:t>
      </w:r>
      <w:r w:rsidRPr="001302C3">
        <w:rPr>
          <w:rFonts w:ascii="Gotham" w:hAnsi="Gotham" w:cs="Arial"/>
          <w:sz w:val="20"/>
          <w:szCs w:val="20"/>
          <w:lang w:val="es-MX"/>
        </w:rPr>
        <w:t xml:space="preserve">, publicadas en el </w:t>
      </w:r>
      <w:r w:rsidR="006952CA" w:rsidRPr="001302C3">
        <w:rPr>
          <w:rFonts w:ascii="Gotham" w:hAnsi="Gotham" w:cs="Arial"/>
          <w:sz w:val="20"/>
          <w:szCs w:val="20"/>
          <w:lang w:val="es-MX"/>
        </w:rPr>
        <w:t>Periódico</w:t>
      </w:r>
      <w:r w:rsidRPr="001302C3">
        <w:rPr>
          <w:rFonts w:ascii="Gotham" w:hAnsi="Gotham" w:cs="Arial"/>
          <w:sz w:val="20"/>
          <w:szCs w:val="20"/>
          <w:lang w:val="es-MX"/>
        </w:rPr>
        <w:t xml:space="preserve"> Oficial del Estado Libre y Soberano de México</w:t>
      </w:r>
      <w:r w:rsidR="006952CA" w:rsidRPr="001302C3">
        <w:rPr>
          <w:rFonts w:ascii="Gotham" w:hAnsi="Gotham" w:cs="Arial"/>
          <w:sz w:val="20"/>
          <w:szCs w:val="20"/>
          <w:lang w:val="es-MX"/>
        </w:rPr>
        <w:t>, denominado</w:t>
      </w:r>
      <w:r w:rsidRPr="001302C3">
        <w:rPr>
          <w:rFonts w:ascii="Gotham" w:hAnsi="Gotham" w:cs="Arial"/>
          <w:sz w:val="20"/>
          <w:szCs w:val="20"/>
          <w:lang w:val="es-MX"/>
        </w:rPr>
        <w:t xml:space="preserve"> "Gaceta del Gobierno"</w:t>
      </w:r>
      <w:r w:rsidR="006952CA" w:rsidRPr="001302C3">
        <w:rPr>
          <w:rFonts w:ascii="Gotham" w:hAnsi="Gotham" w:cs="Arial"/>
          <w:sz w:val="20"/>
          <w:szCs w:val="20"/>
          <w:lang w:val="es-MX"/>
        </w:rPr>
        <w:t>, de fecha 14 de mayo de 2021</w:t>
      </w:r>
      <w:r w:rsidRPr="001302C3">
        <w:rPr>
          <w:rFonts w:ascii="Gotham" w:hAnsi="Gotham" w:cs="Arial"/>
          <w:sz w:val="20"/>
          <w:szCs w:val="20"/>
          <w:lang w:val="es-MX"/>
        </w:rPr>
        <w:t>.</w:t>
      </w:r>
    </w:p>
    <w:p w14:paraId="61FC3A8E" w14:textId="77777777" w:rsidR="001807D3" w:rsidRPr="001302C3" w:rsidRDefault="001807D3" w:rsidP="001807D3">
      <w:pPr>
        <w:spacing w:line="276" w:lineRule="auto"/>
        <w:ind w:right="-1"/>
        <w:jc w:val="both"/>
        <w:rPr>
          <w:rFonts w:ascii="Gotham" w:hAnsi="Gotham" w:cs="Arial"/>
          <w:sz w:val="20"/>
          <w:szCs w:val="20"/>
          <w:lang w:val="es-MX"/>
        </w:rPr>
      </w:pPr>
    </w:p>
    <w:p w14:paraId="245F54B2" w14:textId="196D7705"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sz w:val="20"/>
          <w:szCs w:val="20"/>
          <w:lang w:val="es-MX"/>
        </w:rPr>
        <w:t>Adicional a lo antes descrito, las adquisiciones que se realizaron en su momento fueron substanciadas y contratadas a un m</w:t>
      </w:r>
      <w:r w:rsidR="006952CA" w:rsidRPr="001302C3">
        <w:rPr>
          <w:rFonts w:ascii="Gotham" w:hAnsi="Gotham" w:cs="Arial"/>
          <w:sz w:val="20"/>
          <w:szCs w:val="20"/>
          <w:lang w:val="es-MX"/>
        </w:rPr>
        <w:t>enor precio de lo presupuestado</w:t>
      </w:r>
      <w:r w:rsidRPr="001302C3">
        <w:rPr>
          <w:rFonts w:ascii="Gotham" w:hAnsi="Gotham" w:cs="Arial"/>
          <w:sz w:val="20"/>
          <w:szCs w:val="20"/>
          <w:lang w:val="es-MX"/>
        </w:rPr>
        <w:t xml:space="preserve"> y por consiguiente impacta en el subejercicio acumulado al cierre del ejercicio 2023, lo cual es considerada como un ahorro</w:t>
      </w:r>
    </w:p>
    <w:p w14:paraId="7840F4D8" w14:textId="77777777" w:rsidR="001807D3" w:rsidRPr="001302C3" w:rsidRDefault="001807D3" w:rsidP="001807D3">
      <w:pPr>
        <w:spacing w:line="276" w:lineRule="auto"/>
        <w:ind w:right="-1"/>
        <w:jc w:val="both"/>
        <w:rPr>
          <w:rFonts w:ascii="Gotham" w:hAnsi="Gotham" w:cs="Arial"/>
          <w:sz w:val="20"/>
          <w:szCs w:val="20"/>
          <w:lang w:val="es-MX"/>
        </w:rPr>
      </w:pPr>
    </w:p>
    <w:p w14:paraId="3E52CF57" w14:textId="7B172485" w:rsidR="006952CA" w:rsidRPr="001302C3" w:rsidRDefault="001807D3" w:rsidP="006952CA">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3000 “Servicios Generales</w:t>
      </w:r>
      <w:r w:rsidR="006952CA" w:rsidRPr="001302C3">
        <w:rPr>
          <w:rFonts w:ascii="Gotham" w:hAnsi="Gotham" w:cs="Arial"/>
          <w:b/>
          <w:sz w:val="20"/>
          <w:szCs w:val="20"/>
          <w:lang w:val="es-MX"/>
        </w:rPr>
        <w:t>”</w:t>
      </w:r>
      <w:r w:rsidR="006952CA" w:rsidRPr="001302C3">
        <w:rPr>
          <w:rFonts w:ascii="Gotham" w:hAnsi="Gotham" w:cs="Arial"/>
          <w:sz w:val="20"/>
          <w:szCs w:val="20"/>
          <w:lang w:val="es-MX"/>
        </w:rPr>
        <w:t>. -</w:t>
      </w:r>
      <w:r w:rsidRPr="001302C3">
        <w:rPr>
          <w:rFonts w:ascii="Gotham" w:hAnsi="Gotham" w:cs="Arial"/>
          <w:sz w:val="20"/>
          <w:szCs w:val="20"/>
          <w:lang w:val="es-MX"/>
        </w:rPr>
        <w:t xml:space="preserve"> La variación relativa del 12</w:t>
      </w:r>
      <w:r w:rsidR="006952CA" w:rsidRPr="001302C3">
        <w:rPr>
          <w:rFonts w:ascii="Gotham" w:hAnsi="Gotham" w:cs="Arial"/>
          <w:sz w:val="20"/>
          <w:szCs w:val="20"/>
          <w:lang w:val="es-MX"/>
        </w:rPr>
        <w:t>.0</w:t>
      </w:r>
      <w:r w:rsidRPr="001302C3">
        <w:rPr>
          <w:rFonts w:ascii="Gotham" w:hAnsi="Gotham" w:cs="Arial"/>
          <w:sz w:val="20"/>
          <w:szCs w:val="20"/>
          <w:lang w:val="es-MX"/>
        </w:rPr>
        <w:t xml:space="preserve"> por ciento, corresponde a del presupuesto por ejercer corresponde a la economía generada por el cumplimiento a lo dispuesto </w:t>
      </w:r>
      <w:r w:rsidR="006952CA" w:rsidRPr="001302C3">
        <w:rPr>
          <w:rFonts w:ascii="Gotham" w:hAnsi="Gotham" w:cs="Arial"/>
          <w:sz w:val="20"/>
          <w:szCs w:val="20"/>
          <w:lang w:val="es-MX"/>
        </w:rPr>
        <w:t>en el plan de las “Medidas de Austeridad y Contención al Gasto Público del Poder Ejecutivo del Gobierno del Estado de México”, publicadas en el Periódico Oficial del Estado Libre y Soberano de México, denominado "Gaceta del Gobierno", de fecha 14 de mayo de 2021.</w:t>
      </w:r>
    </w:p>
    <w:p w14:paraId="7AD68D76" w14:textId="6D5DE862"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sz w:val="20"/>
          <w:szCs w:val="20"/>
          <w:lang w:val="es-MX"/>
        </w:rPr>
        <w:lastRenderedPageBreak/>
        <w:t>Adicional a lo antes descrito, las adquisiciones que se realizaron en su momento fueron substanciadas y contratadas a un m</w:t>
      </w:r>
      <w:r w:rsidR="006952CA" w:rsidRPr="001302C3">
        <w:rPr>
          <w:rFonts w:ascii="Gotham" w:hAnsi="Gotham" w:cs="Arial"/>
          <w:sz w:val="20"/>
          <w:szCs w:val="20"/>
          <w:lang w:val="es-MX"/>
        </w:rPr>
        <w:t>enor precio de lo presupuestado</w:t>
      </w:r>
      <w:r w:rsidRPr="001302C3">
        <w:rPr>
          <w:rFonts w:ascii="Gotham" w:hAnsi="Gotham" w:cs="Arial"/>
          <w:sz w:val="20"/>
          <w:szCs w:val="20"/>
          <w:lang w:val="es-MX"/>
        </w:rPr>
        <w:t xml:space="preserve"> y por consiguiente impacta en el subejercicio acumulado al cierre del ejercicio 2023, lo cual es considerada como un ahorro.</w:t>
      </w:r>
    </w:p>
    <w:p w14:paraId="10189C91" w14:textId="77777777" w:rsidR="001807D3" w:rsidRPr="001302C3" w:rsidRDefault="001807D3" w:rsidP="001807D3">
      <w:pPr>
        <w:spacing w:line="276" w:lineRule="auto"/>
        <w:ind w:right="-1"/>
        <w:jc w:val="both"/>
        <w:rPr>
          <w:rFonts w:ascii="Gotham" w:hAnsi="Gotham" w:cs="Arial"/>
          <w:b/>
          <w:sz w:val="20"/>
          <w:szCs w:val="20"/>
          <w:lang w:val="es-MX"/>
        </w:rPr>
      </w:pPr>
    </w:p>
    <w:p w14:paraId="1B3B19C8" w14:textId="6F0DFABE"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4000 “Transferencias, Asignaciones, Subsidios y Otras Ayudas”</w:t>
      </w:r>
      <w:r w:rsidRPr="001302C3">
        <w:rPr>
          <w:rFonts w:ascii="Gotham" w:hAnsi="Gotham" w:cs="Arial"/>
          <w:sz w:val="20"/>
          <w:szCs w:val="20"/>
          <w:lang w:val="es-MX"/>
        </w:rPr>
        <w:t>. - La variación relativa del 13.0 por ciento en este capítulo, se debe principalmente a que el subejercicio mensual y acumulado al cierre del ejercicio 2023, entre los ingresos transferidos al fiduciario del Fideicomiso de Cobranza y el importe presupuestado para el concepto en cita.</w:t>
      </w:r>
      <w:r w:rsidRPr="001302C3">
        <w:rPr>
          <w:lang w:val="es-MX"/>
        </w:rPr>
        <w:t xml:space="preserve"> </w:t>
      </w:r>
      <w:r w:rsidRPr="001302C3">
        <w:rPr>
          <w:rFonts w:ascii="Gotham" w:hAnsi="Gotham" w:cs="Arial"/>
          <w:sz w:val="20"/>
          <w:szCs w:val="20"/>
          <w:lang w:val="es-MX"/>
        </w:rPr>
        <w:t>Por lo tanto, el presupuesto modificado del objeto de gasto 4661 "Transferencias a fideicomisos de instituciones públicas financieras" fue mayor a las transferencias realizadas a dicho fideicomiso.</w:t>
      </w:r>
    </w:p>
    <w:p w14:paraId="4558BC7D" w14:textId="77777777" w:rsidR="001807D3" w:rsidRPr="001302C3" w:rsidRDefault="001807D3" w:rsidP="001807D3">
      <w:pPr>
        <w:spacing w:line="276" w:lineRule="auto"/>
        <w:ind w:right="-1"/>
        <w:jc w:val="both"/>
        <w:rPr>
          <w:rFonts w:ascii="Gotham" w:hAnsi="Gotham" w:cs="Arial"/>
          <w:sz w:val="20"/>
          <w:szCs w:val="20"/>
          <w:lang w:val="es-MX"/>
        </w:rPr>
      </w:pPr>
    </w:p>
    <w:p w14:paraId="025624C6" w14:textId="4CD1E7BD" w:rsidR="001807D3" w:rsidRPr="001302C3" w:rsidRDefault="001807D3" w:rsidP="001807D3">
      <w:pPr>
        <w:spacing w:line="276" w:lineRule="auto"/>
        <w:ind w:right="-1"/>
        <w:jc w:val="both"/>
        <w:rPr>
          <w:rFonts w:ascii="Gotham" w:hAnsi="Gotham" w:cs="Arial"/>
          <w:sz w:val="20"/>
          <w:szCs w:val="20"/>
          <w:lang w:val="es-MX"/>
        </w:rPr>
      </w:pPr>
      <w:r w:rsidRPr="001302C3">
        <w:rPr>
          <w:rFonts w:ascii="Gotham" w:hAnsi="Gotham" w:cs="Arial"/>
          <w:b/>
          <w:sz w:val="20"/>
          <w:szCs w:val="20"/>
          <w:lang w:val="es-MX"/>
        </w:rPr>
        <w:t>En el Capítulo 5000 “Bienes Muebles, Inmuebles e Intangibles”</w:t>
      </w:r>
      <w:r w:rsidRPr="001302C3">
        <w:rPr>
          <w:rFonts w:ascii="Gotham" w:hAnsi="Gotham" w:cs="Arial"/>
          <w:sz w:val="20"/>
          <w:szCs w:val="20"/>
          <w:lang w:val="es-MX"/>
        </w:rPr>
        <w:t>. - La variación relativa del 3</w:t>
      </w:r>
      <w:r w:rsidR="006952CA" w:rsidRPr="001302C3">
        <w:rPr>
          <w:rFonts w:ascii="Gotham" w:hAnsi="Gotham" w:cs="Arial"/>
          <w:sz w:val="20"/>
          <w:szCs w:val="20"/>
          <w:lang w:val="es-MX"/>
        </w:rPr>
        <w:t>.0</w:t>
      </w:r>
      <w:r w:rsidRPr="001302C3">
        <w:rPr>
          <w:rFonts w:ascii="Gotham" w:hAnsi="Gotham" w:cs="Arial"/>
          <w:sz w:val="20"/>
          <w:szCs w:val="20"/>
          <w:lang w:val="es-MX"/>
        </w:rPr>
        <w:t xml:space="preserve"> por ciento obedece a que el subejercicio mensual y acumulado al cierre del ejercicio 2023, obedece a que las adquisiciones que se realizaron, fueron substanciadas y contratadas a un menor precio de lo presupuestado, lo cual es considerada como un ahorro.</w:t>
      </w:r>
    </w:p>
    <w:p w14:paraId="3DCD6073" w14:textId="77777777" w:rsidR="001807D3" w:rsidRPr="001302C3" w:rsidRDefault="001807D3" w:rsidP="001807D3">
      <w:pPr>
        <w:spacing w:line="276" w:lineRule="auto"/>
        <w:ind w:right="-1"/>
        <w:jc w:val="both"/>
        <w:rPr>
          <w:rFonts w:ascii="Gotham" w:hAnsi="Gotham" w:cs="Arial"/>
          <w:sz w:val="20"/>
          <w:szCs w:val="20"/>
          <w:lang w:val="es-MX"/>
        </w:rPr>
      </w:pPr>
    </w:p>
    <w:p w14:paraId="5DB5A0CA" w14:textId="77777777" w:rsidR="001302C3" w:rsidRPr="001357AB" w:rsidRDefault="001302C3" w:rsidP="001302C3">
      <w:pPr>
        <w:spacing w:after="160"/>
        <w:rPr>
          <w:rFonts w:ascii="Gotham" w:eastAsia="Times New Roman" w:hAnsi="Gotham" w:cs="Times New Roman"/>
          <w:sz w:val="20"/>
          <w:szCs w:val="20"/>
          <w:lang w:val="es-MX" w:eastAsia="es-MX"/>
        </w:rPr>
      </w:pPr>
      <w:r w:rsidRPr="001357AB">
        <w:rPr>
          <w:rFonts w:ascii="Gotham" w:eastAsia="Times New Roman" w:hAnsi="Gotham" w:cs="Times New Roman"/>
          <w:b/>
          <w:bCs/>
          <w:color w:val="000000"/>
          <w:sz w:val="20"/>
          <w:szCs w:val="20"/>
          <w:lang w:val="es-MX" w:eastAsia="es-MX"/>
        </w:rPr>
        <w:t>c) NOTAS DE GESTIÓN ADMINISTRATIVA</w:t>
      </w:r>
    </w:p>
    <w:p w14:paraId="1BE65C26" w14:textId="77777777" w:rsidR="001302C3" w:rsidRPr="001357AB" w:rsidRDefault="001302C3" w:rsidP="001302C3">
      <w:pPr>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El objetivo del presente documento es la revelación del contexto y de los aspectos económico-financieros más importantes que influyeron en las decisiones del periodo,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6F69CD75" w14:textId="77777777" w:rsidR="001302C3" w:rsidRPr="001357AB" w:rsidRDefault="001302C3" w:rsidP="001302C3">
      <w:pPr>
        <w:rPr>
          <w:rFonts w:ascii="Gotham" w:eastAsia="Times New Roman" w:hAnsi="Gotham" w:cs="Times New Roman"/>
          <w:sz w:val="20"/>
          <w:szCs w:val="20"/>
          <w:lang w:val="es-MX" w:eastAsia="es-MX"/>
        </w:rPr>
      </w:pPr>
    </w:p>
    <w:p w14:paraId="48FBEF6C" w14:textId="77777777" w:rsidR="001302C3" w:rsidRPr="001357AB" w:rsidRDefault="001302C3" w:rsidP="001302C3">
      <w:pPr>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41CEE0F" w14:textId="77777777" w:rsidR="001302C3" w:rsidRPr="001357AB" w:rsidRDefault="001302C3" w:rsidP="001302C3">
      <w:pPr>
        <w:rPr>
          <w:rFonts w:ascii="Gotham" w:eastAsia="Times New Roman" w:hAnsi="Gotham" w:cs="Times New Roman"/>
          <w:sz w:val="20"/>
          <w:szCs w:val="20"/>
          <w:lang w:val="es-MX" w:eastAsia="es-MX"/>
        </w:rPr>
      </w:pPr>
    </w:p>
    <w:p w14:paraId="64E57789" w14:textId="77777777" w:rsidR="001302C3" w:rsidRPr="001357AB" w:rsidRDefault="001302C3" w:rsidP="001302C3">
      <w:pPr>
        <w:numPr>
          <w:ilvl w:val="0"/>
          <w:numId w:val="3"/>
        </w:numPr>
        <w:ind w:left="851"/>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Introducción</w:t>
      </w:r>
    </w:p>
    <w:p w14:paraId="5227A48D" w14:textId="77777777" w:rsidR="001302C3" w:rsidRPr="001357AB" w:rsidRDefault="001302C3" w:rsidP="001302C3">
      <w:pPr>
        <w:rPr>
          <w:rFonts w:ascii="Gotham" w:eastAsia="Times New Roman" w:hAnsi="Gotham" w:cs="Times New Roman"/>
          <w:sz w:val="20"/>
          <w:szCs w:val="20"/>
          <w:lang w:val="es-MX" w:eastAsia="es-MX"/>
        </w:rPr>
      </w:pPr>
    </w:p>
    <w:p w14:paraId="55E090A2"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231987C5"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257A6024"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62C71B2B" w14:textId="1F5EFF4A" w:rsidR="001302C3" w:rsidRPr="001357AB" w:rsidRDefault="001302C3" w:rsidP="001302C3">
      <w:pPr>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 xml:space="preserve">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w:t>
      </w:r>
      <w:r w:rsidRPr="001357AB">
        <w:rPr>
          <w:rFonts w:ascii="Gotham" w:eastAsia="Times New Roman" w:hAnsi="Gotham" w:cs="Times New Roman"/>
          <w:color w:val="000000"/>
          <w:sz w:val="20"/>
          <w:szCs w:val="20"/>
          <w:lang w:val="es-MX" w:eastAsia="es-MX"/>
        </w:rPr>
        <w:lastRenderedPageBreak/>
        <w:t>legales aplicables, en los cuales mandata que su objeto es de interés general, beneficio colectivo y para la prestación de un servicio público. Los Derechos por la prestación de los servicios se encuentran establecidos en la Ley de Ingresos del Estado de México, para el ejerci</w:t>
      </w:r>
      <w:r w:rsidR="001357AB">
        <w:rPr>
          <w:rFonts w:ascii="Gotham" w:eastAsia="Times New Roman" w:hAnsi="Gotham" w:cs="Times New Roman"/>
          <w:color w:val="000000"/>
          <w:sz w:val="20"/>
          <w:szCs w:val="20"/>
          <w:lang w:val="es-MX" w:eastAsia="es-MX"/>
        </w:rPr>
        <w:t>cio fiscal 2023 y</w:t>
      </w:r>
      <w:r w:rsidRPr="001357AB">
        <w:rPr>
          <w:rFonts w:ascii="Gotham" w:eastAsia="Times New Roman" w:hAnsi="Gotham" w:cs="Times New Roman"/>
          <w:color w:val="000000"/>
          <w:sz w:val="20"/>
          <w:szCs w:val="20"/>
          <w:lang w:val="es-MX" w:eastAsia="es-MX"/>
        </w:rPr>
        <w:t xml:space="preserve"> en el Código Financiero del Estado de México y Municipios</w:t>
      </w:r>
      <w:r w:rsidR="001357AB">
        <w:rPr>
          <w:rFonts w:ascii="Gotham" w:eastAsia="Times New Roman" w:hAnsi="Gotham" w:cs="Times New Roman"/>
          <w:color w:val="000000"/>
          <w:sz w:val="20"/>
          <w:szCs w:val="20"/>
          <w:lang w:val="es-MX" w:eastAsia="es-MX"/>
        </w:rPr>
        <w:t xml:space="preserve"> </w:t>
      </w:r>
      <w:r w:rsidR="00484664">
        <w:rPr>
          <w:rFonts w:ascii="Gotham" w:eastAsia="Times New Roman" w:hAnsi="Gotham" w:cs="Times New Roman"/>
          <w:color w:val="000000"/>
          <w:sz w:val="20"/>
          <w:szCs w:val="20"/>
          <w:lang w:val="es-MX" w:eastAsia="es-MX"/>
        </w:rPr>
        <w:t>vigente</w:t>
      </w:r>
      <w:r w:rsidRPr="001357AB">
        <w:rPr>
          <w:rFonts w:ascii="Gotham" w:eastAsia="Times New Roman" w:hAnsi="Gotham" w:cs="Times New Roman"/>
          <w:color w:val="000000"/>
          <w:sz w:val="20"/>
          <w:szCs w:val="20"/>
          <w:lang w:val="es-MX" w:eastAsia="es-MX"/>
        </w:rPr>
        <w:t>.</w:t>
      </w:r>
    </w:p>
    <w:p w14:paraId="0B6A3583" w14:textId="77777777" w:rsidR="001302C3" w:rsidRPr="001357AB" w:rsidRDefault="001302C3" w:rsidP="001302C3">
      <w:pPr>
        <w:jc w:val="both"/>
        <w:rPr>
          <w:rFonts w:ascii="Gotham" w:eastAsia="Times New Roman" w:hAnsi="Gotham" w:cs="Times New Roman"/>
          <w:sz w:val="20"/>
          <w:szCs w:val="20"/>
          <w:lang w:val="es-MX" w:eastAsia="es-MX"/>
        </w:rPr>
      </w:pPr>
    </w:p>
    <w:p w14:paraId="0493A3DB" w14:textId="77777777" w:rsidR="001302C3" w:rsidRPr="001357AB" w:rsidRDefault="001302C3" w:rsidP="001302C3">
      <w:pPr>
        <w:numPr>
          <w:ilvl w:val="0"/>
          <w:numId w:val="4"/>
        </w:numPr>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Panorama Económico y Financiero</w:t>
      </w:r>
    </w:p>
    <w:p w14:paraId="2F01C40E" w14:textId="77777777" w:rsidR="001302C3" w:rsidRPr="001357AB" w:rsidRDefault="001302C3" w:rsidP="001302C3">
      <w:pPr>
        <w:jc w:val="both"/>
        <w:rPr>
          <w:rFonts w:ascii="Gotham" w:eastAsia="Times New Roman" w:hAnsi="Gotham" w:cs="Times New Roman"/>
          <w:color w:val="000000"/>
          <w:sz w:val="20"/>
          <w:szCs w:val="20"/>
          <w:lang w:val="es-MX" w:eastAsia="es-MX"/>
        </w:rPr>
      </w:pPr>
    </w:p>
    <w:p w14:paraId="71CB091A" w14:textId="395568C3" w:rsidR="001302C3" w:rsidRPr="001357AB" w:rsidRDefault="001302C3" w:rsidP="001302C3">
      <w:pPr>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Se informa sobre las principales condiciones económico-financieras bajo las cuales, el Instituto de la Función Registral del Estado de México estuvo operando; influyeron</w:t>
      </w:r>
      <w:r w:rsidR="006B2371">
        <w:rPr>
          <w:rFonts w:ascii="Gotham" w:eastAsia="Times New Roman" w:hAnsi="Gotham" w:cs="Times New Roman"/>
          <w:color w:val="000000"/>
          <w:sz w:val="20"/>
          <w:szCs w:val="20"/>
          <w:lang w:val="es-MX" w:eastAsia="es-MX"/>
        </w:rPr>
        <w:t xml:space="preserve"> éstas,</w:t>
      </w:r>
      <w:r w:rsidRPr="001357AB">
        <w:rPr>
          <w:rFonts w:ascii="Gotham" w:eastAsia="Times New Roman" w:hAnsi="Gotham" w:cs="Times New Roman"/>
          <w:color w:val="000000"/>
          <w:sz w:val="20"/>
          <w:szCs w:val="20"/>
          <w:lang w:val="es-MX" w:eastAsia="es-MX"/>
        </w:rPr>
        <w:t xml:space="preserve"> en la toma de decisiones de la administración pública.</w:t>
      </w:r>
    </w:p>
    <w:p w14:paraId="1529173E" w14:textId="77777777" w:rsidR="001302C3" w:rsidRPr="001357AB" w:rsidRDefault="001302C3" w:rsidP="001302C3">
      <w:pPr>
        <w:jc w:val="both"/>
        <w:rPr>
          <w:rFonts w:ascii="Gotham" w:eastAsia="Times New Roman" w:hAnsi="Gotham" w:cs="Times New Roman"/>
          <w:sz w:val="20"/>
          <w:szCs w:val="20"/>
          <w:lang w:val="es-MX" w:eastAsia="es-MX"/>
        </w:rPr>
      </w:pPr>
    </w:p>
    <w:p w14:paraId="646D7578" w14:textId="77777777" w:rsidR="001302C3" w:rsidRPr="001357AB" w:rsidRDefault="001302C3" w:rsidP="001302C3">
      <w:pPr>
        <w:numPr>
          <w:ilvl w:val="0"/>
          <w:numId w:val="5"/>
        </w:numPr>
        <w:spacing w:after="160"/>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Autorización e Historia</w:t>
      </w:r>
    </w:p>
    <w:p w14:paraId="56407587"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Secretaría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01E99C54"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7A1F05A6"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Asimismo, se subrogaron al Instituto de la Función Registral del Estado de México, los derechos y obligaciones de la Dirección General del Registro Público de la Propiedad de la Secretaría General de Gobierno.</w:t>
      </w:r>
    </w:p>
    <w:p w14:paraId="1328A7EC"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19BEC175"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46106C3C"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 xml:space="preserve">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w:t>
      </w:r>
      <w:r w:rsidRPr="001357AB">
        <w:rPr>
          <w:rFonts w:ascii="Gotham" w:eastAsia="Times New Roman" w:hAnsi="Gotham" w:cs="Times New Roman"/>
          <w:color w:val="000000"/>
          <w:sz w:val="20"/>
          <w:szCs w:val="20"/>
          <w:lang w:val="es-MX" w:eastAsia="es-MX"/>
        </w:rPr>
        <w:lastRenderedPageBreak/>
        <w:t>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7F15259D"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695106D9"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648094C3" w14:textId="77777777" w:rsidR="001302C3" w:rsidRPr="001357AB" w:rsidRDefault="001302C3" w:rsidP="001302C3">
      <w:pPr>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33D7E631" w14:textId="77777777" w:rsidR="001302C3" w:rsidRPr="001357AB" w:rsidRDefault="001302C3" w:rsidP="001302C3">
      <w:pPr>
        <w:rPr>
          <w:rFonts w:ascii="Gotham" w:eastAsia="Times New Roman" w:hAnsi="Gotham" w:cs="Times New Roman"/>
          <w:sz w:val="20"/>
          <w:szCs w:val="20"/>
          <w:lang w:val="es-MX" w:eastAsia="es-MX"/>
        </w:rPr>
      </w:pPr>
    </w:p>
    <w:p w14:paraId="7CA6A81C" w14:textId="77777777" w:rsidR="001302C3" w:rsidRPr="001357AB" w:rsidRDefault="001302C3" w:rsidP="001302C3">
      <w:pPr>
        <w:numPr>
          <w:ilvl w:val="0"/>
          <w:numId w:val="6"/>
        </w:numPr>
        <w:spacing w:after="160"/>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Organización y Objeto Social</w:t>
      </w:r>
    </w:p>
    <w:p w14:paraId="208C30DC"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que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3D3B36F9"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4" w:history="1">
        <w:r w:rsidRPr="001357AB">
          <w:rPr>
            <w:rFonts w:ascii="Gotham" w:eastAsia="Times New Roman" w:hAnsi="Gotham" w:cs="Times New Roman"/>
            <w:color w:val="000000"/>
            <w:sz w:val="20"/>
            <w:szCs w:val="20"/>
            <w:u w:val="single"/>
            <w:lang w:val="es-MX" w:eastAsia="es-MX"/>
          </w:rPr>
          <w:t>http://ifrem.edomex.gob.mx/organigrama</w:t>
        </w:r>
      </w:hyperlink>
      <w:r w:rsidRPr="001357AB">
        <w:rPr>
          <w:rFonts w:ascii="Gotham" w:eastAsia="Times New Roman" w:hAnsi="Gotham" w:cs="Times New Roman"/>
          <w:color w:val="000000"/>
          <w:sz w:val="20"/>
          <w:szCs w:val="20"/>
          <w:lang w:val="es-MX" w:eastAsia="es-MX"/>
        </w:rPr>
        <w:t>.</w:t>
      </w:r>
    </w:p>
    <w:p w14:paraId="23B8BA23"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El Instituto, para el cumplimiento de su objeto, tendrá las atribuciones que se mencionan en su Decreto de creación publicado en el Periódico Oficial Gaceta del Gobierno.</w:t>
      </w:r>
    </w:p>
    <w:p w14:paraId="00C995BA" w14:textId="77777777" w:rsidR="001302C3" w:rsidRPr="001357AB" w:rsidRDefault="001302C3" w:rsidP="001302C3">
      <w:pPr>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 xml:space="preserve">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w:t>
      </w:r>
      <w:r w:rsidRPr="001357AB">
        <w:rPr>
          <w:rFonts w:ascii="Gotham" w:eastAsia="Times New Roman" w:hAnsi="Gotham" w:cs="Times New Roman"/>
          <w:color w:val="000000"/>
          <w:sz w:val="20"/>
          <w:szCs w:val="20"/>
          <w:lang w:val="es-MX" w:eastAsia="es-MX"/>
        </w:rPr>
        <w:lastRenderedPageBreak/>
        <w:t>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se solicitará el monto correspondiente al área jurídica. Por lo tanto, cuando se tenga la documentación soporte de cualquier resolución judicial o cualquier otra derivada de las relaciones laborales, se dará la suficiencia presupuestal y se creará el pasivo correspondiente, mismo que se deberá cancelar con el pago en el mismo ejercicio fiscal.</w:t>
      </w:r>
    </w:p>
    <w:p w14:paraId="5081BF36" w14:textId="77777777" w:rsidR="001302C3" w:rsidRPr="001357AB" w:rsidRDefault="001302C3" w:rsidP="001302C3">
      <w:pPr>
        <w:jc w:val="both"/>
        <w:rPr>
          <w:rFonts w:ascii="Gotham" w:eastAsia="Times New Roman" w:hAnsi="Gotham" w:cs="Times New Roman"/>
          <w:color w:val="000000"/>
          <w:sz w:val="20"/>
          <w:szCs w:val="20"/>
          <w:lang w:val="es-MX" w:eastAsia="es-MX"/>
        </w:rPr>
      </w:pPr>
    </w:p>
    <w:p w14:paraId="1C914EC4" w14:textId="77777777" w:rsidR="001302C3" w:rsidRPr="001357AB" w:rsidRDefault="001302C3" w:rsidP="001302C3">
      <w:pPr>
        <w:numPr>
          <w:ilvl w:val="0"/>
          <w:numId w:val="7"/>
        </w:numPr>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Bases preparación de los Estados Financieros</w:t>
      </w:r>
    </w:p>
    <w:p w14:paraId="0D877379" w14:textId="77777777" w:rsidR="001302C3" w:rsidRPr="001357AB" w:rsidRDefault="001302C3" w:rsidP="001302C3">
      <w:pPr>
        <w:rPr>
          <w:rFonts w:ascii="Gotham" w:eastAsia="Times New Roman" w:hAnsi="Gotham" w:cs="Times New Roman"/>
          <w:sz w:val="20"/>
          <w:szCs w:val="20"/>
          <w:lang w:val="es-MX" w:eastAsia="es-MX"/>
        </w:rPr>
      </w:pPr>
    </w:p>
    <w:p w14:paraId="20659A43" w14:textId="77777777" w:rsidR="001302C3" w:rsidRPr="001357AB" w:rsidRDefault="001302C3" w:rsidP="001302C3">
      <w:pPr>
        <w:spacing w:after="101"/>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74DBC3BE"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Con base en dicho manual, en este ejercicio se han realizado las adecuaciones de presentación necesarias para estas notas. Así mismo, la información se elaboró conforme a las normas, criterios y principios técnicos y las disposiciones legales aplicables, obedeciendo a las mejores prácticas contables, se incluye lo correspondiente a las normas y lineamientos emitidos por el Consejo Nacional de Armonización Contable (CONAC); publicados el 13 de octubre de 2014, en el Periódico Oficial del Gobierno del Estado de México, denominado “Gaceta del Gobierno”.</w:t>
      </w:r>
    </w:p>
    <w:p w14:paraId="2DF15433"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1E37EBE4" w14:textId="77777777" w:rsidR="001302C3" w:rsidRPr="001357AB" w:rsidRDefault="001302C3" w:rsidP="001302C3">
      <w:pPr>
        <w:spacing w:after="160"/>
        <w:jc w:val="both"/>
        <w:rPr>
          <w:rFonts w:ascii="Gotham" w:eastAsia="Times New Roman" w:hAnsi="Gotham" w:cs="Times New Roman"/>
          <w:i/>
          <w:iCs/>
          <w:color w:val="000000"/>
          <w:sz w:val="20"/>
          <w:szCs w:val="20"/>
          <w:lang w:val="es-MX" w:eastAsia="es-MX"/>
        </w:rPr>
      </w:pPr>
      <w:r w:rsidRPr="001357AB">
        <w:rPr>
          <w:rFonts w:ascii="Gotham" w:eastAsia="Times New Roman" w:hAnsi="Gotham" w:cs="Times New Roman"/>
          <w:color w:val="000000"/>
          <w:sz w:val="20"/>
          <w:szCs w:val="20"/>
          <w:lang w:val="es-MX" w:eastAsia="es-MX"/>
        </w:rPr>
        <w:t>El 26 de octubre de 2018, el Consejo Nacional de Armonización Contable con fundamento en los artículos 6, 7, 9 y 14 de la Ley General de Contabilidad Gubernamental, aprobó los siguientes: “</w:t>
      </w:r>
      <w:r w:rsidRPr="001357AB">
        <w:rPr>
          <w:rFonts w:ascii="Gotham" w:eastAsia="Times New Roman" w:hAnsi="Gotham" w:cs="Times New Roman"/>
          <w:b/>
          <w:bCs/>
          <w:color w:val="000000"/>
          <w:sz w:val="20"/>
          <w:szCs w:val="20"/>
          <w:lang w:val="es-MX" w:eastAsia="es-MX"/>
        </w:rPr>
        <w:t xml:space="preserve">Acuerdo por el que se reforman y adicionan las Normas y Metodología para la Determinación de los Momentos Contables de los Ingresos”, </w:t>
      </w:r>
      <w:r w:rsidRPr="001357AB">
        <w:rPr>
          <w:rFonts w:ascii="Gotham" w:eastAsia="Times New Roman" w:hAnsi="Gotham" w:cs="Times New Roman"/>
          <w:color w:val="000000"/>
          <w:sz w:val="20"/>
          <w:szCs w:val="20"/>
          <w:lang w:val="es-MX" w:eastAsia="es-MX"/>
        </w:rPr>
        <w:t>así como</w:t>
      </w:r>
      <w:r w:rsidRPr="001357AB">
        <w:rPr>
          <w:rFonts w:ascii="Gotham" w:eastAsia="Times New Roman" w:hAnsi="Gotham" w:cs="Times New Roman"/>
          <w:b/>
          <w:bCs/>
          <w:color w:val="000000"/>
          <w:sz w:val="20"/>
          <w:szCs w:val="20"/>
          <w:lang w:val="es-MX" w:eastAsia="es-MX"/>
        </w:rPr>
        <w:t xml:space="preserve">; el Acuerdo por el que se reforma y adiciona el Manual de Contabilidad Gubernamental. </w:t>
      </w:r>
      <w:r w:rsidRPr="001357AB">
        <w:rPr>
          <w:rFonts w:ascii="Gotham" w:eastAsia="Times New Roman" w:hAnsi="Gotham" w:cs="Times New Roman"/>
          <w:b/>
          <w:bCs/>
          <w:i/>
          <w:iCs/>
          <w:color w:val="000000"/>
          <w:sz w:val="20"/>
          <w:szCs w:val="20"/>
          <w:lang w:val="es-MX" w:eastAsia="es-MX"/>
        </w:rPr>
        <w:t>“</w:t>
      </w:r>
      <w:r w:rsidRPr="001357AB">
        <w:rPr>
          <w:rFonts w:ascii="Gotham" w:eastAsia="Times New Roman" w:hAnsi="Gotham" w:cs="Times New Roman"/>
          <w:i/>
          <w:iCs/>
          <w:color w:val="000000"/>
          <w:sz w:val="20"/>
          <w:szCs w:val="20"/>
          <w:lang w:val="es-MX" w:eastAsia="es-MX"/>
        </w:rPr>
        <w:t xml:space="preserve">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w:t>
      </w:r>
      <w:r w:rsidRPr="001357AB">
        <w:rPr>
          <w:rFonts w:ascii="Gotham" w:eastAsia="Times New Roman" w:hAnsi="Gotham" w:cs="Times New Roman"/>
          <w:i/>
          <w:iCs/>
          <w:color w:val="000000"/>
          <w:sz w:val="20"/>
          <w:szCs w:val="20"/>
          <w:lang w:val="es-MX" w:eastAsia="es-MX"/>
        </w:rPr>
        <w:lastRenderedPageBreak/>
        <w:t>DE MEMORIA (CUENTAS DE ORDEN) y reforma segundo párrafo de la Finalidad del “Estado Analítico de Ingresos”, respecto al avance que se registra en las cuentas de orden presupuestarias previo al cierre presupuestario de cada periodo que se reporte”:</w:t>
      </w:r>
    </w:p>
    <w:p w14:paraId="6261489E" w14:textId="77777777" w:rsidR="001302C3" w:rsidRPr="001357AB" w:rsidRDefault="001302C3" w:rsidP="001302C3">
      <w:pPr>
        <w:spacing w:after="160"/>
        <w:jc w:val="both"/>
        <w:rPr>
          <w:rFonts w:ascii="Gotham" w:eastAsia="Times New Roman" w:hAnsi="Gotham" w:cs="Times New Roman"/>
          <w:i/>
          <w:iCs/>
          <w:color w:val="000000"/>
          <w:sz w:val="20"/>
          <w:szCs w:val="20"/>
          <w:lang w:val="es-MX" w:eastAsia="es-MX"/>
        </w:rPr>
      </w:pPr>
      <w:r w:rsidRPr="001357AB">
        <w:rPr>
          <w:rFonts w:ascii="Gotham" w:eastAsia="Times New Roman" w:hAnsi="Gotham" w:cs="Times New Roman"/>
          <w:b/>
          <w:bCs/>
          <w:color w:val="000000"/>
          <w:sz w:val="20"/>
          <w:szCs w:val="20"/>
          <w:lang w:val="es-MX" w:eastAsia="es-MX"/>
        </w:rPr>
        <w:t>Acuerdo por el que se reforman los Criterios para la elaboración y presentación homogénea de la información financiera y de los formatos a que hace referencia la Ley de Disciplina Financiera de las Entidades Federativas y los Municipios Políticas de Contabilidad Significativas”.</w:t>
      </w:r>
      <w:r w:rsidRPr="001357AB">
        <w:rPr>
          <w:rFonts w:ascii="Gotham" w:eastAsia="Times New Roman" w:hAnsi="Gotham" w:cs="Times New Roman"/>
          <w:color w:val="000000"/>
          <w:sz w:val="20"/>
          <w:szCs w:val="20"/>
          <w:lang w:val="es-MX" w:eastAsia="es-MX"/>
        </w:rPr>
        <w:t xml:space="preserve"> </w:t>
      </w:r>
      <w:r w:rsidRPr="001357AB">
        <w:rPr>
          <w:rFonts w:ascii="Gotham" w:eastAsia="Times New Roman" w:hAnsi="Gotham" w:cs="Times New Roman"/>
          <w:i/>
          <w:iCs/>
          <w:color w:val="000000"/>
          <w:sz w:val="20"/>
          <w:szCs w:val="20"/>
          <w:lang w:val="es-MX" w:eastAsia="es-MX"/>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492BB77B"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b/>
          <w:bCs/>
          <w:color w:val="000000"/>
          <w:sz w:val="20"/>
          <w:szCs w:val="20"/>
          <w:lang w:val="es-MX" w:eastAsia="es-MX"/>
        </w:rPr>
        <w:t xml:space="preserve">“Acuerdo por el que se reforma y adiciona el Formato de Conciliación entre los Ingresos Presupuestarios y Contables, así como entre los Egresos Presupuestarios y los Gastos Contables”. </w:t>
      </w:r>
      <w:r w:rsidRPr="001357AB">
        <w:rPr>
          <w:rFonts w:ascii="Gotham" w:eastAsia="Times New Roman" w:hAnsi="Gotham" w:cs="Times New Roman"/>
          <w:i/>
          <w:iCs/>
          <w:color w:val="000000"/>
          <w:sz w:val="20"/>
          <w:szCs w:val="20"/>
          <w:lang w:val="es-MX" w:eastAsia="es-MX"/>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2D2ABA9C" w14:textId="77777777" w:rsidR="001302C3" w:rsidRPr="001357AB" w:rsidRDefault="001302C3" w:rsidP="001302C3">
      <w:pPr>
        <w:spacing w:after="160"/>
        <w:jc w:val="both"/>
        <w:rPr>
          <w:rFonts w:ascii="Gotham" w:eastAsia="Times New Roman" w:hAnsi="Gotham" w:cs="Times New Roman"/>
          <w:i/>
          <w:iCs/>
          <w:color w:val="000000"/>
          <w:sz w:val="20"/>
          <w:szCs w:val="20"/>
          <w:lang w:val="es-MX" w:eastAsia="es-MX"/>
        </w:rPr>
      </w:pPr>
      <w:r w:rsidRPr="001357AB">
        <w:rPr>
          <w:rFonts w:ascii="Gotham" w:eastAsia="Times New Roman" w:hAnsi="Gotham" w:cs="Times New Roman"/>
          <w:b/>
          <w:bCs/>
          <w:color w:val="000000"/>
          <w:sz w:val="20"/>
          <w:szCs w:val="20"/>
          <w:lang w:val="es-MX" w:eastAsia="es-MX"/>
        </w:rPr>
        <w:t>“Acuerdo por el que se reforma el Clasificador por Rubros de Ingresos”. “</w:t>
      </w:r>
      <w:r w:rsidRPr="001357AB">
        <w:rPr>
          <w:rFonts w:ascii="Gotham" w:eastAsia="Times New Roman" w:hAnsi="Gotham" w:cs="Times New Roman"/>
          <w:i/>
          <w:iCs/>
          <w:color w:val="000000"/>
          <w:sz w:val="20"/>
          <w:szCs w:val="20"/>
          <w:lang w:val="es-MX" w:eastAsia="es-MX"/>
        </w:rPr>
        <w:t>Se reforman el párrafo sexto de antecedentes y el párrafo catorce del punto A. ASPECTOS GENERALES”.</w:t>
      </w:r>
    </w:p>
    <w:p w14:paraId="5B45ACBD" w14:textId="77777777" w:rsidR="001302C3" w:rsidRPr="001357AB" w:rsidRDefault="001302C3" w:rsidP="001302C3">
      <w:pPr>
        <w:jc w:val="both"/>
        <w:rPr>
          <w:rFonts w:ascii="Gotham" w:eastAsia="Times New Roman" w:hAnsi="Gotham" w:cs="Times New Roman"/>
          <w:sz w:val="20"/>
          <w:szCs w:val="20"/>
          <w:lang w:val="es-MX" w:eastAsia="es-MX"/>
        </w:rPr>
      </w:pPr>
      <w:r w:rsidRPr="001357AB">
        <w:rPr>
          <w:rFonts w:ascii="Gotham" w:eastAsia="Times New Roman" w:hAnsi="Gotham" w:cs="Times New Roman"/>
          <w:color w:val="000000"/>
          <w:sz w:val="20"/>
          <w:szCs w:val="20"/>
          <w:lang w:val="es-MX" w:eastAsia="es-MX"/>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1B00C619" w14:textId="77777777" w:rsidR="001302C3" w:rsidRPr="001357AB" w:rsidRDefault="001302C3" w:rsidP="001302C3">
      <w:pPr>
        <w:jc w:val="both"/>
        <w:rPr>
          <w:rFonts w:ascii="Gotham" w:eastAsia="Times New Roman" w:hAnsi="Gotham" w:cs="Times New Roman"/>
          <w:sz w:val="20"/>
          <w:szCs w:val="20"/>
          <w:lang w:val="es-MX" w:eastAsia="es-MX"/>
        </w:rPr>
      </w:pPr>
    </w:p>
    <w:p w14:paraId="07BC7518" w14:textId="77777777" w:rsidR="001302C3" w:rsidRPr="001357AB" w:rsidRDefault="001302C3" w:rsidP="001302C3">
      <w:pPr>
        <w:numPr>
          <w:ilvl w:val="0"/>
          <w:numId w:val="8"/>
        </w:numPr>
        <w:spacing w:after="160"/>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Políticas de Contabilidad Significativas</w:t>
      </w:r>
    </w:p>
    <w:p w14:paraId="63E4BC2F"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Los Estados Financieros se preparan tomando como base los Postulados Básicos de Contabilidad Gubernamental.</w:t>
      </w:r>
    </w:p>
    <w:p w14:paraId="59144631"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79D5ADF3"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 xml:space="preserve">La información presupuestal se integra por el Estado de Ingresos y Egresos, el Estado Comparativo de Ingresos, el Estado Comparativo de Egresos, el Estado de Avance </w:t>
      </w:r>
      <w:r w:rsidRPr="001357AB">
        <w:rPr>
          <w:rFonts w:ascii="Gotham" w:eastAsia="Times New Roman" w:hAnsi="Gotham" w:cs="Times New Roman"/>
          <w:color w:val="000000"/>
          <w:sz w:val="20"/>
          <w:szCs w:val="20"/>
          <w:lang w:val="es-MX" w:eastAsia="es-MX"/>
        </w:rPr>
        <w:lastRenderedPageBreak/>
        <w:t>Presupuestal de Ingresos y el Estado de Avance Presupuestal de Egresos; así como los complementarios que detallan los ingresos y egresos por cada concepto.</w:t>
      </w:r>
    </w:p>
    <w:p w14:paraId="157F2F8D"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 información de obra pública se clasifica en Obras en Proceso y Gasto Ejercido; y Obras Concluidas y su Costo. Así como la información de la nómina: Plantilla de personal.</w:t>
      </w:r>
    </w:p>
    <w:p w14:paraId="4B4FF9D5"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Respecto a la clasificación del pasivo, se considerará a corto plazo el que vence dentro del ejercicio fiscal correspondiente y, a largo plazo el que venza en ejercicios fiscales posteriores al que corresponda la información.</w:t>
      </w:r>
    </w:p>
    <w:p w14:paraId="56303067"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11BDB8F6"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366D6B2B"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1EB51422"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23D22915" w14:textId="77777777" w:rsidR="001302C3" w:rsidRPr="001357AB" w:rsidRDefault="001302C3" w:rsidP="001302C3">
      <w:pPr>
        <w:numPr>
          <w:ilvl w:val="0"/>
          <w:numId w:val="17"/>
        </w:numPr>
        <w:spacing w:after="160"/>
        <w:jc w:val="both"/>
        <w:textAlignment w:val="baseline"/>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Las existencias del almacén se valúan a costo promedio y se afectará tanto el resultado del ejercicio como el presupuesto de egresos en el momento en que el gasto se considere devengado, en términos de lo dispuesto por el Postulado Básico de Contabilidad Gubernamental; por otro lado, las existencias se controlarán en cuentas de orden.</w:t>
      </w:r>
    </w:p>
    <w:p w14:paraId="507EBE1B" w14:textId="77777777" w:rsidR="001302C3" w:rsidRPr="001357AB" w:rsidRDefault="001302C3" w:rsidP="001302C3">
      <w:pPr>
        <w:numPr>
          <w:ilvl w:val="0"/>
          <w:numId w:val="9"/>
        </w:numPr>
        <w:spacing w:after="160"/>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t>Posición en Moneda Extranjera y Protección por Riesgo Cambiario</w:t>
      </w:r>
    </w:p>
    <w:p w14:paraId="294FE37B" w14:textId="77777777" w:rsidR="001302C3" w:rsidRPr="001357AB" w:rsidRDefault="001302C3" w:rsidP="001302C3">
      <w:pPr>
        <w:spacing w:after="101"/>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Los estados financieros antes mencionados se presentan en moneda de informe peso mexicano, que es igual a la moneda de registro y a su moneda funcional; por lo tanto, este punto no es aplicable para la entidad.</w:t>
      </w:r>
    </w:p>
    <w:p w14:paraId="068547AA" w14:textId="77777777" w:rsidR="00335B53" w:rsidRDefault="00335B53" w:rsidP="001302C3">
      <w:pPr>
        <w:jc w:val="both"/>
        <w:rPr>
          <w:rFonts w:ascii="Gotham" w:eastAsia="Times New Roman" w:hAnsi="Gotham" w:cs="Times New Roman"/>
          <w:color w:val="000000"/>
          <w:sz w:val="20"/>
          <w:szCs w:val="20"/>
          <w:lang w:val="es-MX" w:eastAsia="es-MX"/>
        </w:rPr>
      </w:pPr>
    </w:p>
    <w:p w14:paraId="5CDEA7A5" w14:textId="77777777" w:rsidR="00456013" w:rsidRDefault="00456013" w:rsidP="001302C3">
      <w:pPr>
        <w:jc w:val="both"/>
        <w:rPr>
          <w:rFonts w:ascii="Gotham" w:eastAsia="Times New Roman" w:hAnsi="Gotham" w:cs="Times New Roman"/>
          <w:color w:val="000000"/>
          <w:sz w:val="20"/>
          <w:szCs w:val="20"/>
          <w:lang w:val="es-MX" w:eastAsia="es-MX"/>
        </w:rPr>
      </w:pPr>
    </w:p>
    <w:p w14:paraId="7514DE68" w14:textId="77777777" w:rsidR="00456013" w:rsidRDefault="00456013" w:rsidP="001302C3">
      <w:pPr>
        <w:jc w:val="both"/>
        <w:rPr>
          <w:rFonts w:ascii="Gotham" w:eastAsia="Times New Roman" w:hAnsi="Gotham" w:cs="Times New Roman"/>
          <w:color w:val="000000"/>
          <w:sz w:val="20"/>
          <w:szCs w:val="20"/>
          <w:lang w:val="es-MX" w:eastAsia="es-MX"/>
        </w:rPr>
      </w:pPr>
    </w:p>
    <w:p w14:paraId="273DA3DA" w14:textId="77777777" w:rsidR="00456013" w:rsidRDefault="00456013" w:rsidP="001302C3">
      <w:pPr>
        <w:jc w:val="both"/>
        <w:rPr>
          <w:rFonts w:ascii="Gotham" w:eastAsia="Times New Roman" w:hAnsi="Gotham" w:cs="Times New Roman"/>
          <w:color w:val="000000"/>
          <w:sz w:val="20"/>
          <w:szCs w:val="20"/>
          <w:lang w:val="es-MX" w:eastAsia="es-MX"/>
        </w:rPr>
      </w:pPr>
    </w:p>
    <w:p w14:paraId="26823FF1" w14:textId="77777777" w:rsidR="00456013" w:rsidRDefault="00456013" w:rsidP="001302C3">
      <w:pPr>
        <w:jc w:val="both"/>
        <w:rPr>
          <w:rFonts w:ascii="Gotham" w:eastAsia="Times New Roman" w:hAnsi="Gotham" w:cs="Times New Roman"/>
          <w:color w:val="000000"/>
          <w:sz w:val="20"/>
          <w:szCs w:val="20"/>
          <w:lang w:val="es-MX" w:eastAsia="es-MX"/>
        </w:rPr>
      </w:pPr>
    </w:p>
    <w:p w14:paraId="20D2B681" w14:textId="77777777" w:rsidR="00456013" w:rsidRDefault="00456013" w:rsidP="001302C3">
      <w:pPr>
        <w:jc w:val="both"/>
        <w:rPr>
          <w:rFonts w:ascii="Gotham" w:eastAsia="Times New Roman" w:hAnsi="Gotham" w:cs="Times New Roman"/>
          <w:color w:val="000000"/>
          <w:sz w:val="20"/>
          <w:szCs w:val="20"/>
          <w:lang w:val="es-MX" w:eastAsia="es-MX"/>
        </w:rPr>
      </w:pPr>
    </w:p>
    <w:p w14:paraId="599B882B" w14:textId="77777777" w:rsidR="00456013" w:rsidRDefault="00456013" w:rsidP="001302C3">
      <w:pPr>
        <w:jc w:val="both"/>
        <w:rPr>
          <w:rFonts w:ascii="Gotham" w:eastAsia="Times New Roman" w:hAnsi="Gotham" w:cs="Times New Roman"/>
          <w:color w:val="000000"/>
          <w:sz w:val="20"/>
          <w:szCs w:val="20"/>
          <w:lang w:val="es-MX" w:eastAsia="es-MX"/>
        </w:rPr>
      </w:pPr>
    </w:p>
    <w:p w14:paraId="77972734" w14:textId="77777777" w:rsidR="00456013" w:rsidRPr="001357AB" w:rsidRDefault="00456013" w:rsidP="001302C3">
      <w:pPr>
        <w:jc w:val="both"/>
        <w:rPr>
          <w:rFonts w:ascii="Gotham" w:eastAsia="Times New Roman" w:hAnsi="Gotham" w:cs="Times New Roman"/>
          <w:color w:val="000000"/>
          <w:sz w:val="20"/>
          <w:szCs w:val="20"/>
          <w:lang w:val="es-MX" w:eastAsia="es-MX"/>
        </w:rPr>
      </w:pPr>
    </w:p>
    <w:p w14:paraId="616D0A20" w14:textId="77777777" w:rsidR="001302C3" w:rsidRPr="001357AB" w:rsidRDefault="001302C3" w:rsidP="001302C3">
      <w:pPr>
        <w:numPr>
          <w:ilvl w:val="0"/>
          <w:numId w:val="10"/>
        </w:numPr>
        <w:spacing w:after="160"/>
        <w:jc w:val="both"/>
        <w:textAlignment w:val="baseline"/>
        <w:rPr>
          <w:rFonts w:ascii="Gotham" w:eastAsia="Times New Roman" w:hAnsi="Gotham" w:cs="Times New Roman"/>
          <w:b/>
          <w:bCs/>
          <w:color w:val="000000"/>
          <w:sz w:val="20"/>
          <w:szCs w:val="20"/>
          <w:lang w:val="es-MX" w:eastAsia="es-MX"/>
        </w:rPr>
      </w:pPr>
      <w:r w:rsidRPr="001357AB">
        <w:rPr>
          <w:rFonts w:ascii="Gotham" w:eastAsia="Times New Roman" w:hAnsi="Gotham" w:cs="Times New Roman"/>
          <w:b/>
          <w:bCs/>
          <w:color w:val="000000"/>
          <w:sz w:val="20"/>
          <w:szCs w:val="20"/>
          <w:lang w:val="es-MX" w:eastAsia="es-MX"/>
        </w:rPr>
        <w:lastRenderedPageBreak/>
        <w:t>Reporte Analítico del Activo</w:t>
      </w:r>
    </w:p>
    <w:p w14:paraId="2F2A5FBE" w14:textId="77777777" w:rsidR="001302C3" w:rsidRPr="001357AB" w:rsidRDefault="001302C3" w:rsidP="001302C3">
      <w:pPr>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En el “</w:t>
      </w:r>
      <w:r w:rsidRPr="001357AB">
        <w:rPr>
          <w:rFonts w:ascii="Gotham" w:eastAsia="Times New Roman" w:hAnsi="Gotham" w:cs="Times New Roman"/>
          <w:b/>
          <w:bCs/>
          <w:color w:val="000000"/>
          <w:sz w:val="20"/>
          <w:szCs w:val="20"/>
          <w:lang w:val="es-MX" w:eastAsia="es-MX"/>
        </w:rPr>
        <w:t xml:space="preserve">Estado Analítico del Activo”, </w:t>
      </w:r>
      <w:r w:rsidRPr="001357AB">
        <w:rPr>
          <w:rFonts w:ascii="Gotham" w:eastAsia="Times New Roman" w:hAnsi="Gotham" w:cs="Times New Roman"/>
          <w:color w:val="000000"/>
          <w:sz w:val="20"/>
          <w:szCs w:val="20"/>
          <w:lang w:val="es-MX" w:eastAsia="es-MX"/>
        </w:rPr>
        <w:t>se observa el comportamiento de los fondos, valores y bienes identificados y cuantificados en términos monetarios, que dispone el Instituto para realizar sus actividades, los cuales fueron comentados en párrafos anteriores y los</w:t>
      </w:r>
      <w:r w:rsidRPr="001357AB">
        <w:rPr>
          <w:rFonts w:ascii="Gotham" w:eastAsia="Times New Roman" w:hAnsi="Gotham" w:cs="Times New Roman"/>
          <w:b/>
          <w:bCs/>
          <w:color w:val="000000"/>
          <w:sz w:val="20"/>
          <w:szCs w:val="20"/>
          <w:lang w:val="es-MX" w:eastAsia="es-MX"/>
        </w:rPr>
        <w:t xml:space="preserve"> bienes muebles e inmuebles, </w:t>
      </w:r>
      <w:r w:rsidRPr="001357AB">
        <w:rPr>
          <w:rFonts w:ascii="Gotham" w:eastAsia="Times New Roman" w:hAnsi="Gotham" w:cs="Times New Roman"/>
          <w:color w:val="000000"/>
          <w:sz w:val="20"/>
          <w:szCs w:val="20"/>
          <w:lang w:val="es-MX" w:eastAsia="es-MX"/>
        </w:rPr>
        <w:t>como</w:t>
      </w:r>
      <w:r w:rsidRPr="001357AB">
        <w:rPr>
          <w:rFonts w:ascii="Gotham" w:eastAsia="Times New Roman" w:hAnsi="Gotham" w:cs="Times New Roman"/>
          <w:b/>
          <w:bCs/>
          <w:color w:val="000000"/>
          <w:sz w:val="20"/>
          <w:szCs w:val="20"/>
          <w:lang w:val="es-MX" w:eastAsia="es-MX"/>
        </w:rPr>
        <w:t xml:space="preserve"> </w:t>
      </w:r>
      <w:r w:rsidRPr="001357AB">
        <w:rPr>
          <w:rFonts w:ascii="Gotham" w:eastAsia="Times New Roman" w:hAnsi="Gotham" w:cs="Times New Roman"/>
          <w:color w:val="000000"/>
          <w:sz w:val="20"/>
          <w:szCs w:val="20"/>
          <w:lang w:val="es-MX" w:eastAsia="es-MX"/>
        </w:rPr>
        <w:t>se detallan a continuación:</w:t>
      </w:r>
    </w:p>
    <w:p w14:paraId="07A7C801" w14:textId="77777777" w:rsidR="001302C3" w:rsidRPr="001357AB" w:rsidRDefault="001302C3" w:rsidP="001302C3">
      <w:pPr>
        <w:jc w:val="both"/>
        <w:rPr>
          <w:rFonts w:ascii="Gotham" w:eastAsia="Times New Roman" w:hAnsi="Gotham" w:cs="Times New Roman"/>
          <w:color w:val="000000"/>
          <w:sz w:val="20"/>
          <w:szCs w:val="20"/>
          <w:lang w:val="es-MX" w:eastAsia="es-MX"/>
        </w:rPr>
      </w:pPr>
    </w:p>
    <w:p w14:paraId="4AB088E2" w14:textId="77777777" w:rsidR="001302C3" w:rsidRPr="001357AB" w:rsidRDefault="001302C3" w:rsidP="001302C3">
      <w:pPr>
        <w:jc w:val="center"/>
        <w:rPr>
          <w:rFonts w:ascii="Gotham" w:eastAsia="Times New Roman" w:hAnsi="Gotham" w:cs="Times New Roman"/>
          <w:sz w:val="20"/>
          <w:szCs w:val="20"/>
          <w:lang w:val="es-MX" w:eastAsia="es-MX"/>
        </w:rPr>
      </w:pPr>
      <w:r w:rsidRPr="001357AB">
        <w:rPr>
          <w:noProof/>
          <w:sz w:val="20"/>
          <w:szCs w:val="20"/>
          <w:lang w:val="es-MX" w:eastAsia="es-MX"/>
        </w:rPr>
        <w:drawing>
          <wp:inline distT="0" distB="0" distL="0" distR="0" wp14:anchorId="4C104BE1" wp14:editId="283BD334">
            <wp:extent cx="5398770" cy="2435225"/>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8770" cy="2435225"/>
                    </a:xfrm>
                    <a:prstGeom prst="rect">
                      <a:avLst/>
                    </a:prstGeom>
                    <a:noFill/>
                    <a:ln>
                      <a:noFill/>
                    </a:ln>
                  </pic:spPr>
                </pic:pic>
              </a:graphicData>
            </a:graphic>
          </wp:inline>
        </w:drawing>
      </w:r>
    </w:p>
    <w:p w14:paraId="71801A9E" w14:textId="77777777" w:rsidR="001302C3" w:rsidRPr="001357AB" w:rsidRDefault="001302C3" w:rsidP="001302C3">
      <w:pPr>
        <w:spacing w:after="160"/>
        <w:jc w:val="both"/>
        <w:rPr>
          <w:rFonts w:ascii="Gotham" w:eastAsia="Times New Roman" w:hAnsi="Gotham" w:cs="Times New Roman"/>
          <w:b/>
          <w:bCs/>
          <w:color w:val="000000"/>
          <w:sz w:val="20"/>
          <w:szCs w:val="20"/>
          <w:lang w:val="es-MX" w:eastAsia="es-MX"/>
        </w:rPr>
      </w:pPr>
    </w:p>
    <w:p w14:paraId="7F4A2FEE" w14:textId="77777777" w:rsidR="001302C3" w:rsidRPr="001357AB" w:rsidRDefault="001302C3" w:rsidP="001302C3">
      <w:pPr>
        <w:spacing w:after="160"/>
        <w:jc w:val="both"/>
        <w:rPr>
          <w:rFonts w:ascii="Gotham" w:eastAsia="Times New Roman" w:hAnsi="Gotham" w:cs="Times New Roman"/>
          <w:sz w:val="20"/>
          <w:szCs w:val="20"/>
          <w:lang w:val="es-MX" w:eastAsia="es-MX"/>
        </w:rPr>
      </w:pPr>
      <w:r w:rsidRPr="001357AB">
        <w:rPr>
          <w:rFonts w:ascii="Gotham" w:eastAsia="Times New Roman" w:hAnsi="Gotham" w:cs="Times New Roman"/>
          <w:b/>
          <w:bCs/>
          <w:color w:val="000000"/>
          <w:sz w:val="20"/>
          <w:szCs w:val="20"/>
          <w:lang w:val="es-MX" w:eastAsia="es-MX"/>
        </w:rPr>
        <w:t xml:space="preserve">Depreciación. - </w:t>
      </w:r>
      <w:r w:rsidRPr="001357AB">
        <w:rPr>
          <w:rFonts w:ascii="Gotham" w:eastAsia="Times New Roman" w:hAnsi="Gotham" w:cs="Times New Roman"/>
          <w:color w:val="000000"/>
          <w:sz w:val="20"/>
          <w:szCs w:val="20"/>
          <w:lang w:val="es-MX" w:eastAsia="es-MX"/>
        </w:rPr>
        <w:t>La depreciación representa la parte estimada de la capacidad de los activos que se han consumido durante un periodo, su fin es de índole informativo.</w:t>
      </w:r>
    </w:p>
    <w:p w14:paraId="5C1DC4C8" w14:textId="77777777" w:rsidR="001302C3" w:rsidRPr="001357AB" w:rsidRDefault="001302C3" w:rsidP="001302C3">
      <w:pPr>
        <w:spacing w:after="160"/>
        <w:jc w:val="both"/>
        <w:rPr>
          <w:rFonts w:ascii="Gotham" w:eastAsia="Times New Roman" w:hAnsi="Gotham" w:cs="Times New Roman"/>
          <w:color w:val="000000"/>
          <w:sz w:val="20"/>
          <w:szCs w:val="20"/>
          <w:lang w:val="es-MX" w:eastAsia="es-MX"/>
        </w:rPr>
      </w:pPr>
      <w:r w:rsidRPr="001357AB">
        <w:rPr>
          <w:rFonts w:ascii="Gotham" w:eastAsia="Times New Roman" w:hAnsi="Gotham" w:cs="Times New Roman"/>
          <w:color w:val="000000"/>
          <w:sz w:val="20"/>
          <w:szCs w:val="20"/>
          <w:lang w:val="es-MX" w:eastAsia="es-MX"/>
        </w:rPr>
        <w:t>El registro contable de la depreciación tiene como objetivo reconocer la pérdida de valor de un activo que puede originarse por obsolescencia, desgaste o deterioro ordinario, defectos de fabricación, falta de uso, insuficiencia, entre otros.</w:t>
      </w: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6"/>
        <w:gridCol w:w="955"/>
      </w:tblGrid>
      <w:tr w:rsidR="001302C3" w:rsidRPr="001302C3" w14:paraId="3FEB571D" w14:textId="77777777" w:rsidTr="00335B53">
        <w:trPr>
          <w:trHeight w:val="149"/>
          <w:jc w:val="center"/>
        </w:trPr>
        <w:tc>
          <w:tcPr>
            <w:tcW w:w="0" w:type="auto"/>
            <w:tcMar>
              <w:top w:w="0" w:type="dxa"/>
              <w:left w:w="115" w:type="dxa"/>
              <w:bottom w:w="0" w:type="dxa"/>
              <w:right w:w="115" w:type="dxa"/>
            </w:tcMar>
            <w:hideMark/>
          </w:tcPr>
          <w:p w14:paraId="7D13084A"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 xml:space="preserve">La depreciación deberá calcularse, a partir del mes siguiente al de su adquisición, aplicando los porcentajes siguientes: </w:t>
            </w:r>
            <w:r w:rsidRPr="001302C3">
              <w:rPr>
                <w:rFonts w:ascii="Gotham" w:eastAsia="Times New Roman" w:hAnsi="Gotham" w:cs="Arial"/>
                <w:b/>
                <w:bCs/>
                <w:color w:val="000000"/>
                <w:sz w:val="20"/>
                <w:szCs w:val="20"/>
                <w:lang w:val="es-MX" w:eastAsia="es-MX"/>
              </w:rPr>
              <w:t>Bienes </w:t>
            </w:r>
          </w:p>
        </w:tc>
        <w:tc>
          <w:tcPr>
            <w:tcW w:w="0" w:type="auto"/>
            <w:tcMar>
              <w:top w:w="0" w:type="dxa"/>
              <w:left w:w="115" w:type="dxa"/>
              <w:bottom w:w="0" w:type="dxa"/>
              <w:right w:w="115" w:type="dxa"/>
            </w:tcMar>
            <w:hideMark/>
          </w:tcPr>
          <w:p w14:paraId="5E3204B4"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b/>
                <w:bCs/>
                <w:color w:val="000000"/>
                <w:sz w:val="20"/>
                <w:szCs w:val="20"/>
                <w:lang w:val="es-MX" w:eastAsia="es-MX"/>
              </w:rPr>
              <w:t>% Anual </w:t>
            </w:r>
          </w:p>
        </w:tc>
      </w:tr>
      <w:tr w:rsidR="001302C3" w:rsidRPr="001302C3" w14:paraId="1A3F22BE" w14:textId="77777777" w:rsidTr="00335B53">
        <w:trPr>
          <w:trHeight w:val="149"/>
          <w:jc w:val="center"/>
        </w:trPr>
        <w:tc>
          <w:tcPr>
            <w:tcW w:w="0" w:type="auto"/>
            <w:tcMar>
              <w:top w:w="0" w:type="dxa"/>
              <w:left w:w="115" w:type="dxa"/>
              <w:bottom w:w="0" w:type="dxa"/>
              <w:right w:w="115" w:type="dxa"/>
            </w:tcMar>
            <w:hideMark/>
          </w:tcPr>
          <w:p w14:paraId="4279D8B0"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Vehículos </w:t>
            </w:r>
          </w:p>
        </w:tc>
        <w:tc>
          <w:tcPr>
            <w:tcW w:w="0" w:type="auto"/>
            <w:tcMar>
              <w:top w:w="0" w:type="dxa"/>
              <w:left w:w="115" w:type="dxa"/>
              <w:bottom w:w="0" w:type="dxa"/>
              <w:right w:w="115" w:type="dxa"/>
            </w:tcMar>
            <w:hideMark/>
          </w:tcPr>
          <w:p w14:paraId="577ABA04"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10</w:t>
            </w:r>
          </w:p>
        </w:tc>
      </w:tr>
      <w:tr w:rsidR="001302C3" w:rsidRPr="001302C3" w14:paraId="06830DC2" w14:textId="77777777" w:rsidTr="00335B53">
        <w:trPr>
          <w:trHeight w:val="149"/>
          <w:jc w:val="center"/>
        </w:trPr>
        <w:tc>
          <w:tcPr>
            <w:tcW w:w="0" w:type="auto"/>
            <w:tcMar>
              <w:top w:w="0" w:type="dxa"/>
              <w:left w:w="115" w:type="dxa"/>
              <w:bottom w:w="0" w:type="dxa"/>
              <w:right w:w="115" w:type="dxa"/>
            </w:tcMar>
            <w:hideMark/>
          </w:tcPr>
          <w:p w14:paraId="03248D19"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Vehículos de Seguridad Pública y atención de urgencias </w:t>
            </w:r>
          </w:p>
        </w:tc>
        <w:tc>
          <w:tcPr>
            <w:tcW w:w="0" w:type="auto"/>
            <w:tcMar>
              <w:top w:w="0" w:type="dxa"/>
              <w:left w:w="115" w:type="dxa"/>
              <w:bottom w:w="0" w:type="dxa"/>
              <w:right w:w="115" w:type="dxa"/>
            </w:tcMar>
            <w:hideMark/>
          </w:tcPr>
          <w:p w14:paraId="2C45A2CB"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20</w:t>
            </w:r>
          </w:p>
        </w:tc>
      </w:tr>
      <w:tr w:rsidR="001302C3" w:rsidRPr="001302C3" w14:paraId="258A75DB" w14:textId="77777777" w:rsidTr="00335B53">
        <w:trPr>
          <w:trHeight w:val="149"/>
          <w:jc w:val="center"/>
        </w:trPr>
        <w:tc>
          <w:tcPr>
            <w:tcW w:w="0" w:type="auto"/>
            <w:tcMar>
              <w:top w:w="0" w:type="dxa"/>
              <w:left w:w="115" w:type="dxa"/>
              <w:bottom w:w="0" w:type="dxa"/>
              <w:right w:w="115" w:type="dxa"/>
            </w:tcMar>
            <w:hideMark/>
          </w:tcPr>
          <w:p w14:paraId="6CB384F2"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Equipo de cómputo </w:t>
            </w:r>
          </w:p>
        </w:tc>
        <w:tc>
          <w:tcPr>
            <w:tcW w:w="0" w:type="auto"/>
            <w:tcMar>
              <w:top w:w="0" w:type="dxa"/>
              <w:left w:w="115" w:type="dxa"/>
              <w:bottom w:w="0" w:type="dxa"/>
              <w:right w:w="115" w:type="dxa"/>
            </w:tcMar>
            <w:hideMark/>
          </w:tcPr>
          <w:p w14:paraId="3E001DF8"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20</w:t>
            </w:r>
          </w:p>
        </w:tc>
      </w:tr>
      <w:tr w:rsidR="001302C3" w:rsidRPr="001302C3" w14:paraId="352935D1" w14:textId="77777777" w:rsidTr="00335B53">
        <w:trPr>
          <w:trHeight w:val="149"/>
          <w:jc w:val="center"/>
        </w:trPr>
        <w:tc>
          <w:tcPr>
            <w:tcW w:w="0" w:type="auto"/>
            <w:tcMar>
              <w:top w:w="0" w:type="dxa"/>
              <w:left w:w="115" w:type="dxa"/>
              <w:bottom w:w="0" w:type="dxa"/>
              <w:right w:w="115" w:type="dxa"/>
            </w:tcMar>
            <w:hideMark/>
          </w:tcPr>
          <w:p w14:paraId="4BD82654"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Mobiliario y equipo de oficina </w:t>
            </w:r>
          </w:p>
        </w:tc>
        <w:tc>
          <w:tcPr>
            <w:tcW w:w="0" w:type="auto"/>
            <w:tcMar>
              <w:top w:w="0" w:type="dxa"/>
              <w:left w:w="115" w:type="dxa"/>
              <w:bottom w:w="0" w:type="dxa"/>
              <w:right w:w="115" w:type="dxa"/>
            </w:tcMar>
            <w:hideMark/>
          </w:tcPr>
          <w:p w14:paraId="3E434134"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3</w:t>
            </w:r>
          </w:p>
        </w:tc>
      </w:tr>
      <w:tr w:rsidR="001302C3" w:rsidRPr="001302C3" w14:paraId="0010CC04" w14:textId="77777777" w:rsidTr="00335B53">
        <w:trPr>
          <w:trHeight w:val="149"/>
          <w:jc w:val="center"/>
        </w:trPr>
        <w:tc>
          <w:tcPr>
            <w:tcW w:w="0" w:type="auto"/>
            <w:tcMar>
              <w:top w:w="0" w:type="dxa"/>
              <w:left w:w="115" w:type="dxa"/>
              <w:bottom w:w="0" w:type="dxa"/>
              <w:right w:w="115" w:type="dxa"/>
            </w:tcMar>
            <w:hideMark/>
          </w:tcPr>
          <w:p w14:paraId="0902692C"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Edificios </w:t>
            </w:r>
          </w:p>
        </w:tc>
        <w:tc>
          <w:tcPr>
            <w:tcW w:w="0" w:type="auto"/>
            <w:tcMar>
              <w:top w:w="0" w:type="dxa"/>
              <w:left w:w="115" w:type="dxa"/>
              <w:bottom w:w="0" w:type="dxa"/>
              <w:right w:w="115" w:type="dxa"/>
            </w:tcMar>
            <w:hideMark/>
          </w:tcPr>
          <w:p w14:paraId="3C897315"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2</w:t>
            </w:r>
          </w:p>
        </w:tc>
      </w:tr>
      <w:tr w:rsidR="001302C3" w:rsidRPr="001302C3" w14:paraId="1A861897" w14:textId="77777777" w:rsidTr="00335B53">
        <w:trPr>
          <w:trHeight w:val="149"/>
          <w:jc w:val="center"/>
        </w:trPr>
        <w:tc>
          <w:tcPr>
            <w:tcW w:w="0" w:type="auto"/>
            <w:tcMar>
              <w:top w:w="0" w:type="dxa"/>
              <w:left w:w="115" w:type="dxa"/>
              <w:bottom w:w="0" w:type="dxa"/>
              <w:right w:w="115" w:type="dxa"/>
            </w:tcMar>
            <w:hideMark/>
          </w:tcPr>
          <w:p w14:paraId="1F6F71B3"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Maquinaria </w:t>
            </w:r>
          </w:p>
        </w:tc>
        <w:tc>
          <w:tcPr>
            <w:tcW w:w="0" w:type="auto"/>
            <w:tcMar>
              <w:top w:w="0" w:type="dxa"/>
              <w:left w:w="115" w:type="dxa"/>
              <w:bottom w:w="0" w:type="dxa"/>
              <w:right w:w="115" w:type="dxa"/>
            </w:tcMar>
            <w:hideMark/>
          </w:tcPr>
          <w:p w14:paraId="11699502" w14:textId="77777777" w:rsidR="001302C3" w:rsidRPr="001302C3" w:rsidRDefault="001302C3" w:rsidP="004B7515">
            <w:pPr>
              <w:jc w:val="center"/>
              <w:rPr>
                <w:rFonts w:ascii="Gotham" w:eastAsia="Times New Roman" w:hAnsi="Gotham" w:cs="Times New Roman"/>
                <w:sz w:val="20"/>
                <w:szCs w:val="20"/>
                <w:lang w:val="es-MX" w:eastAsia="es-MX"/>
              </w:rPr>
            </w:pPr>
            <w:r w:rsidRPr="001302C3">
              <w:rPr>
                <w:rFonts w:ascii="Gotham" w:eastAsia="Times New Roman" w:hAnsi="Gotham" w:cs="Times New Roman"/>
                <w:color w:val="000000"/>
                <w:sz w:val="20"/>
                <w:szCs w:val="20"/>
                <w:lang w:val="es-MX" w:eastAsia="es-MX"/>
              </w:rPr>
              <w:t>10</w:t>
            </w:r>
          </w:p>
        </w:tc>
      </w:tr>
      <w:tr w:rsidR="001302C3" w:rsidRPr="001302C3" w14:paraId="77507A4B" w14:textId="77777777" w:rsidTr="00335B53">
        <w:trPr>
          <w:trHeight w:val="149"/>
          <w:jc w:val="center"/>
        </w:trPr>
        <w:tc>
          <w:tcPr>
            <w:tcW w:w="0" w:type="auto"/>
            <w:tcMar>
              <w:top w:w="0" w:type="dxa"/>
              <w:left w:w="115" w:type="dxa"/>
              <w:bottom w:w="0" w:type="dxa"/>
              <w:right w:w="115" w:type="dxa"/>
            </w:tcMar>
            <w:hideMark/>
          </w:tcPr>
          <w:p w14:paraId="256A0870" w14:textId="77777777" w:rsidR="001302C3" w:rsidRPr="001302C3" w:rsidRDefault="001302C3" w:rsidP="004B7515">
            <w:pPr>
              <w:rPr>
                <w:rFonts w:ascii="Gotham" w:eastAsia="Times New Roman" w:hAnsi="Gotham" w:cs="Times New Roman"/>
                <w:sz w:val="20"/>
                <w:szCs w:val="20"/>
                <w:lang w:val="es-MX" w:eastAsia="es-MX"/>
              </w:rPr>
            </w:pPr>
            <w:r w:rsidRPr="001302C3">
              <w:rPr>
                <w:rFonts w:ascii="Gotham" w:eastAsia="Times New Roman" w:hAnsi="Gotham" w:cs="Arial"/>
                <w:color w:val="000000"/>
                <w:sz w:val="20"/>
                <w:szCs w:val="20"/>
                <w:lang w:val="es-MX" w:eastAsia="es-MX"/>
              </w:rPr>
              <w:t>El resto </w:t>
            </w:r>
          </w:p>
        </w:tc>
        <w:tc>
          <w:tcPr>
            <w:tcW w:w="0" w:type="auto"/>
            <w:tcMar>
              <w:top w:w="0" w:type="dxa"/>
              <w:left w:w="115" w:type="dxa"/>
              <w:bottom w:w="0" w:type="dxa"/>
              <w:right w:w="115" w:type="dxa"/>
            </w:tcMar>
            <w:hideMark/>
          </w:tcPr>
          <w:p w14:paraId="6FD27146" w14:textId="77777777" w:rsidR="001302C3" w:rsidRPr="001302C3" w:rsidRDefault="001302C3" w:rsidP="004B7515">
            <w:pPr>
              <w:jc w:val="center"/>
              <w:rPr>
                <w:rFonts w:ascii="Gotham" w:eastAsia="Times New Roman" w:hAnsi="Gotham" w:cs="Times New Roman"/>
                <w:color w:val="000000"/>
                <w:sz w:val="20"/>
                <w:szCs w:val="20"/>
                <w:lang w:val="es-MX" w:eastAsia="es-MX"/>
              </w:rPr>
            </w:pPr>
            <w:r w:rsidRPr="001302C3">
              <w:rPr>
                <w:rFonts w:ascii="Gotham" w:eastAsia="Times New Roman" w:hAnsi="Gotham" w:cs="Times New Roman"/>
                <w:color w:val="000000"/>
                <w:sz w:val="20"/>
                <w:szCs w:val="20"/>
                <w:lang w:val="es-MX" w:eastAsia="es-MX"/>
              </w:rPr>
              <w:t>10</w:t>
            </w:r>
          </w:p>
        </w:tc>
      </w:tr>
    </w:tbl>
    <w:p w14:paraId="657096CA" w14:textId="77777777" w:rsidR="001302C3" w:rsidRPr="001302C3" w:rsidRDefault="001302C3" w:rsidP="001302C3">
      <w:pPr>
        <w:spacing w:after="160"/>
        <w:jc w:val="both"/>
        <w:rPr>
          <w:rFonts w:ascii="Gotham" w:eastAsia="Times New Roman" w:hAnsi="Gotham" w:cs="Times New Roman"/>
          <w:b/>
          <w:bCs/>
          <w:color w:val="000000"/>
          <w:sz w:val="20"/>
          <w:szCs w:val="20"/>
          <w:lang w:val="es-MX" w:eastAsia="es-MX"/>
        </w:rPr>
      </w:pPr>
    </w:p>
    <w:p w14:paraId="2B55B3DA" w14:textId="77777777" w:rsidR="001302C3" w:rsidRPr="001A6728" w:rsidRDefault="001302C3" w:rsidP="001302C3">
      <w:pPr>
        <w:spacing w:after="160"/>
        <w:jc w:val="both"/>
        <w:rPr>
          <w:rFonts w:ascii="Gotham" w:eastAsia="Times New Roman" w:hAnsi="Gotham" w:cs="Times New Roman"/>
          <w:sz w:val="20"/>
          <w:szCs w:val="20"/>
          <w:lang w:val="es-MX" w:eastAsia="es-MX"/>
        </w:rPr>
      </w:pPr>
      <w:r w:rsidRPr="001A6728">
        <w:rPr>
          <w:rFonts w:ascii="Gotham" w:eastAsia="Times New Roman" w:hAnsi="Gotham" w:cs="Times New Roman"/>
          <w:b/>
          <w:bCs/>
          <w:color w:val="000000"/>
          <w:sz w:val="20"/>
          <w:szCs w:val="20"/>
          <w:lang w:val="es-MX" w:eastAsia="es-MX"/>
        </w:rPr>
        <w:t>Depreciación, Deterioro y Amortización Acumulada de Bienes</w:t>
      </w:r>
      <w:r w:rsidRPr="001A6728">
        <w:rPr>
          <w:rFonts w:ascii="Gotham" w:eastAsia="Times New Roman" w:hAnsi="Gotham" w:cs="Times New Roman"/>
          <w:color w:val="000000"/>
          <w:sz w:val="20"/>
          <w:szCs w:val="20"/>
          <w:lang w:val="es-MX" w:eastAsia="es-MX"/>
        </w:rPr>
        <w:t>. - El saldo de 164,703,761.76, se integra de las siguientes cuentas, dando un total neto en el rubro de activo fijo de 295,470,240.82.</w:t>
      </w:r>
    </w:p>
    <w:p w14:paraId="11E17E53" w14:textId="77777777" w:rsidR="001302C3" w:rsidRPr="001A6728" w:rsidRDefault="001302C3" w:rsidP="001302C3">
      <w:pPr>
        <w:spacing w:after="160"/>
        <w:jc w:val="both"/>
        <w:rPr>
          <w:rFonts w:ascii="Gotham" w:eastAsia="Times New Roman" w:hAnsi="Gotham" w:cs="Times New Roman"/>
          <w:color w:val="000000"/>
          <w:sz w:val="20"/>
          <w:szCs w:val="20"/>
          <w:lang w:val="es-MX" w:eastAsia="es-MX"/>
        </w:rPr>
      </w:pPr>
      <w:r w:rsidRPr="001A6728">
        <w:rPr>
          <w:rFonts w:ascii="Gotham" w:eastAsia="Times New Roman" w:hAnsi="Gotham" w:cs="Times New Roman"/>
          <w:b/>
          <w:bCs/>
          <w:color w:val="000000"/>
          <w:sz w:val="20"/>
          <w:szCs w:val="20"/>
          <w:lang w:val="es-MX" w:eastAsia="es-MX"/>
        </w:rPr>
        <w:lastRenderedPageBreak/>
        <w:t>Depreciación Acumulada de Bienes Inmuebles. -</w:t>
      </w:r>
      <w:r w:rsidRPr="001A6728">
        <w:rPr>
          <w:rFonts w:ascii="Gotham" w:eastAsia="Times New Roman" w:hAnsi="Gotham" w:cs="Times New Roman"/>
          <w:color w:val="000000"/>
          <w:sz w:val="20"/>
          <w:szCs w:val="20"/>
          <w:lang w:val="es-MX" w:eastAsia="es-MX"/>
        </w:rPr>
        <w:t xml:space="preserve"> El saldo de 14,576,373.24, es el importe de la disminución a valores históricos de los bienes inmuebles del Instituto, el total neto en la cuenta de Edificios No Habitacionales es por 106,645,422.34 y de Terrenos por 2,793,209.00.</w:t>
      </w:r>
    </w:p>
    <w:p w14:paraId="12B7FE9C" w14:textId="77777777" w:rsidR="001302C3" w:rsidRPr="001A6728" w:rsidRDefault="001302C3" w:rsidP="001302C3">
      <w:pPr>
        <w:jc w:val="both"/>
        <w:rPr>
          <w:rFonts w:ascii="Gotham" w:eastAsia="Times New Roman" w:hAnsi="Gotham" w:cs="Times New Roman"/>
          <w:color w:val="000000"/>
          <w:sz w:val="20"/>
          <w:szCs w:val="20"/>
          <w:lang w:val="es-MX" w:eastAsia="es-MX"/>
        </w:rPr>
      </w:pPr>
      <w:r w:rsidRPr="001A6728">
        <w:rPr>
          <w:rFonts w:ascii="Gotham" w:eastAsia="Times New Roman" w:hAnsi="Gotham" w:cs="Times New Roman"/>
          <w:b/>
          <w:bCs/>
          <w:color w:val="000000"/>
          <w:sz w:val="20"/>
          <w:szCs w:val="20"/>
          <w:lang w:val="es-MX" w:eastAsia="es-MX"/>
        </w:rPr>
        <w:t>Depreciación Acumulada de Bienes Muebles. -</w:t>
      </w:r>
      <w:r w:rsidRPr="001A6728">
        <w:rPr>
          <w:rFonts w:ascii="Gotham" w:eastAsia="Times New Roman" w:hAnsi="Gotham" w:cs="Times New Roman"/>
          <w:color w:val="000000"/>
          <w:sz w:val="20"/>
          <w:szCs w:val="20"/>
          <w:lang w:val="es-MX" w:eastAsia="es-MX"/>
        </w:rPr>
        <w:t xml:space="preserve"> El saldo de 150,127,388.31, es el importe de la disminución a valores históricos de los bienes muebles del Instituto, dando un total neto en este rubro por 186,031,609.58.</w:t>
      </w:r>
    </w:p>
    <w:p w14:paraId="37AF72F3" w14:textId="77777777" w:rsidR="001302C3" w:rsidRPr="001A6728" w:rsidRDefault="001302C3" w:rsidP="001302C3">
      <w:pPr>
        <w:jc w:val="both"/>
        <w:rPr>
          <w:rFonts w:ascii="Gotham" w:eastAsia="Times New Roman" w:hAnsi="Gotham" w:cs="Times New Roman"/>
          <w:color w:val="000000"/>
          <w:sz w:val="20"/>
          <w:szCs w:val="20"/>
          <w:lang w:val="es-MX" w:eastAsia="es-MX"/>
        </w:rPr>
      </w:pPr>
    </w:p>
    <w:p w14:paraId="60D9AAAB" w14:textId="77777777" w:rsidR="001302C3" w:rsidRPr="001A6728" w:rsidRDefault="001302C3" w:rsidP="001302C3">
      <w:pPr>
        <w:numPr>
          <w:ilvl w:val="0"/>
          <w:numId w:val="11"/>
        </w:numPr>
        <w:spacing w:after="160"/>
        <w:jc w:val="both"/>
        <w:textAlignment w:val="baseline"/>
        <w:rPr>
          <w:rFonts w:ascii="Gotham" w:eastAsia="Times New Roman" w:hAnsi="Gotham" w:cs="Times New Roman"/>
          <w:b/>
          <w:bCs/>
          <w:color w:val="000000"/>
          <w:sz w:val="20"/>
          <w:szCs w:val="20"/>
          <w:lang w:val="es-MX" w:eastAsia="es-MX"/>
        </w:rPr>
      </w:pPr>
      <w:r w:rsidRPr="001A6728">
        <w:rPr>
          <w:rFonts w:ascii="Gotham" w:eastAsia="Times New Roman" w:hAnsi="Gotham" w:cs="Times New Roman"/>
          <w:b/>
          <w:bCs/>
          <w:color w:val="000000"/>
          <w:sz w:val="20"/>
          <w:szCs w:val="20"/>
          <w:lang w:val="es-MX" w:eastAsia="es-MX"/>
        </w:rPr>
        <w:t>Fideicomisos, Mandatos y Análogos</w:t>
      </w:r>
    </w:p>
    <w:p w14:paraId="19754C86" w14:textId="77777777" w:rsidR="001302C3" w:rsidRPr="001A6728"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14:paraId="44056175" w14:textId="77777777" w:rsidR="001302C3" w:rsidRPr="001A6728"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1D78A8DC" w14:textId="77777777" w:rsidR="001302C3" w:rsidRPr="001A6728"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38F2D438" w14:textId="77777777" w:rsidR="001302C3" w:rsidRPr="001A6728" w:rsidRDefault="001302C3" w:rsidP="001302C3">
      <w:pPr>
        <w:numPr>
          <w:ilvl w:val="0"/>
          <w:numId w:val="18"/>
        </w:numPr>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1A6728">
        <w:rPr>
          <w:rFonts w:ascii="Gotham" w:eastAsia="Times New Roman" w:hAnsi="Gotham" w:cs="Times New Roman"/>
          <w:color w:val="000000"/>
          <w:sz w:val="20"/>
          <w:szCs w:val="20"/>
          <w:lang w:val="es-MX" w:eastAsia="es-MX"/>
        </w:rPr>
        <w:t>Invex</w:t>
      </w:r>
      <w:proofErr w:type="spellEnd"/>
      <w:r w:rsidRPr="001A6728">
        <w:rPr>
          <w:rFonts w:ascii="Gotham" w:eastAsia="Times New Roman" w:hAnsi="Gotham" w:cs="Times New Roman"/>
          <w:color w:val="000000"/>
          <w:sz w:val="20"/>
          <w:szCs w:val="20"/>
          <w:lang w:val="es-MX" w:eastAsia="es-MX"/>
        </w:rPr>
        <w:t xml:space="preserve">, S.A., Institución de Banca Múltiple </w:t>
      </w:r>
      <w:proofErr w:type="spellStart"/>
      <w:r w:rsidRPr="001A6728">
        <w:rPr>
          <w:rFonts w:ascii="Gotham" w:eastAsia="Times New Roman" w:hAnsi="Gotham" w:cs="Times New Roman"/>
          <w:color w:val="000000"/>
          <w:sz w:val="20"/>
          <w:szCs w:val="20"/>
          <w:lang w:val="es-MX" w:eastAsia="es-MX"/>
        </w:rPr>
        <w:t>Invex</w:t>
      </w:r>
      <w:proofErr w:type="spellEnd"/>
      <w:r w:rsidRPr="001A6728">
        <w:rPr>
          <w:rFonts w:ascii="Gotham" w:eastAsia="Times New Roman" w:hAnsi="Gotham" w:cs="Times New Roman"/>
          <w:color w:val="000000"/>
          <w:sz w:val="20"/>
          <w:szCs w:val="20"/>
          <w:lang w:val="es-MX" w:eastAsia="es-MX"/>
        </w:rPr>
        <w:t xml:space="preserve"> Grupo Financiero y Monex Casa de Bolsa, S.A. de C.V., como “Fiduciarios” representantes comunes de los tenedores de los Certificados Bursátiles Fiduciarios Series “A” y “B”.</w:t>
      </w:r>
    </w:p>
    <w:p w14:paraId="56C42915" w14:textId="77777777" w:rsidR="001302C3" w:rsidRPr="001A6728" w:rsidRDefault="001302C3" w:rsidP="001302C3">
      <w:pPr>
        <w:jc w:val="both"/>
        <w:textAlignment w:val="baseline"/>
        <w:rPr>
          <w:rFonts w:ascii="Gotham" w:eastAsia="Times New Roman" w:hAnsi="Gotham" w:cs="Times New Roman"/>
          <w:color w:val="000000"/>
          <w:sz w:val="20"/>
          <w:szCs w:val="20"/>
          <w:lang w:val="es-MX" w:eastAsia="es-MX"/>
        </w:rPr>
      </w:pPr>
    </w:p>
    <w:p w14:paraId="3E68E212"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roofErr w:type="spellStart"/>
      <w:r w:rsidRPr="001A6728">
        <w:rPr>
          <w:rFonts w:ascii="Gotham" w:eastAsia="Times New Roman" w:hAnsi="Gotham" w:cs="Times New Roman"/>
          <w:color w:val="000000"/>
          <w:sz w:val="20"/>
          <w:szCs w:val="20"/>
          <w:lang w:val="es-MX" w:eastAsia="es-MX"/>
        </w:rPr>
        <w:t>The</w:t>
      </w:r>
      <w:proofErr w:type="spellEnd"/>
      <w:r w:rsidRPr="001A6728">
        <w:rPr>
          <w:rFonts w:ascii="Gotham" w:eastAsia="Times New Roman" w:hAnsi="Gotham" w:cs="Times New Roman"/>
          <w:color w:val="000000"/>
          <w:sz w:val="20"/>
          <w:szCs w:val="20"/>
          <w:lang w:val="es-MX" w:eastAsia="es-MX"/>
        </w:rPr>
        <w:t xml:space="preserve"> </w:t>
      </w:r>
      <w:r w:rsidRPr="001A6728">
        <w:rPr>
          <w:rFonts w:ascii="Gotham" w:eastAsia="Times New Roman" w:hAnsi="Gotham" w:cs="Times New Roman"/>
          <w:color w:val="000000"/>
          <w:sz w:val="20"/>
          <w:szCs w:val="20"/>
          <w:lang w:val="es-MX" w:eastAsia="es-MX"/>
        </w:rPr>
        <w:lastRenderedPageBreak/>
        <w:t xml:space="preserve">Bank </w:t>
      </w:r>
      <w:proofErr w:type="spellStart"/>
      <w:r w:rsidRPr="001A6728">
        <w:rPr>
          <w:rFonts w:ascii="Gotham" w:eastAsia="Times New Roman" w:hAnsi="Gotham" w:cs="Times New Roman"/>
          <w:color w:val="000000"/>
          <w:sz w:val="20"/>
          <w:szCs w:val="20"/>
          <w:lang w:val="es-MX" w:eastAsia="es-MX"/>
        </w:rPr>
        <w:t>of</w:t>
      </w:r>
      <w:proofErr w:type="spellEnd"/>
      <w:r w:rsidRPr="001A6728">
        <w:rPr>
          <w:rFonts w:ascii="Gotham" w:eastAsia="Times New Roman" w:hAnsi="Gotham" w:cs="Times New Roman"/>
          <w:color w:val="000000"/>
          <w:sz w:val="20"/>
          <w:szCs w:val="20"/>
          <w:lang w:val="es-MX" w:eastAsia="es-MX"/>
        </w:rPr>
        <w:t xml:space="preserve"> New York Mellon, S.A., Institución de Banca Múltiple como mandatario del Garante “A” y del Garante “B”.</w:t>
      </w:r>
    </w:p>
    <w:p w14:paraId="58B5A567" w14:textId="77777777" w:rsidR="001302C3" w:rsidRPr="001A6728" w:rsidRDefault="001302C3" w:rsidP="001302C3">
      <w:pPr>
        <w:numPr>
          <w:ilvl w:val="0"/>
          <w:numId w:val="18"/>
        </w:numPr>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4B974A97" w14:textId="77777777" w:rsidR="001302C3" w:rsidRPr="001A6728" w:rsidRDefault="001302C3" w:rsidP="001302C3">
      <w:pPr>
        <w:contextualSpacing/>
        <w:rPr>
          <w:rFonts w:ascii="Gotham" w:eastAsia="Times New Roman" w:hAnsi="Gotham" w:cs="Times New Roman"/>
          <w:sz w:val="20"/>
          <w:szCs w:val="20"/>
          <w:lang w:val="es-MX" w:eastAsia="es-MX"/>
        </w:rPr>
      </w:pPr>
    </w:p>
    <w:p w14:paraId="06156B76"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14:paraId="7EC830DB"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61073B17" w14:textId="77777777" w:rsidR="001302C3" w:rsidRDefault="001302C3" w:rsidP="001302C3">
      <w:pPr>
        <w:numPr>
          <w:ilvl w:val="0"/>
          <w:numId w:val="18"/>
        </w:numPr>
        <w:spacing w:after="24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14:paraId="6D72D32B"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 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691C1573"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w:t>
      </w:r>
    </w:p>
    <w:p w14:paraId="756FCE4A" w14:textId="77777777" w:rsidR="001302C3" w:rsidRPr="001A6728" w:rsidRDefault="001302C3" w:rsidP="001302C3">
      <w:pPr>
        <w:numPr>
          <w:ilvl w:val="0"/>
          <w:numId w:val="18"/>
        </w:numPr>
        <w:spacing w:after="160"/>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 xml:space="preserve">Con fecha 10 de marzo de 2011, se celebró y se obligó conforme a los contratos y demás instrumentos que resultaron necesarios o convenientes, la emisión y suscripción de los Certificados Bursátiles Fiduciarios Subordinados (Serie “C”), equivalente a 650,901.5 miles </w:t>
      </w:r>
      <w:r w:rsidRPr="001A6728">
        <w:rPr>
          <w:rFonts w:ascii="Gotham" w:eastAsia="Times New Roman" w:hAnsi="Gotham" w:cs="Times New Roman"/>
          <w:color w:val="000000"/>
          <w:sz w:val="20"/>
          <w:szCs w:val="20"/>
          <w:lang w:val="es-MX" w:eastAsia="es-MX"/>
        </w:rPr>
        <w:lastRenderedPageBreak/>
        <w:t>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5D49F434" w14:textId="77777777" w:rsidR="001302C3" w:rsidRPr="001A6728" w:rsidRDefault="001302C3" w:rsidP="001302C3">
      <w:pPr>
        <w:numPr>
          <w:ilvl w:val="0"/>
          <w:numId w:val="18"/>
        </w:numPr>
        <w:jc w:val="both"/>
        <w:textAlignment w:val="baseline"/>
        <w:rPr>
          <w:rFonts w:ascii="Gotham" w:eastAsia="Times New Roman" w:hAnsi="Gotham" w:cs="Times New Roman"/>
          <w:color w:val="000000"/>
          <w:sz w:val="20"/>
          <w:szCs w:val="20"/>
          <w:lang w:val="es-MX" w:eastAsia="es-MX"/>
        </w:rPr>
      </w:pPr>
      <w:r w:rsidRPr="001A6728">
        <w:rPr>
          <w:rFonts w:ascii="Gotham" w:eastAsia="Times New Roman" w:hAnsi="Gotham" w:cs="Times New Roman"/>
          <w:color w:val="000000"/>
          <w:sz w:val="20"/>
          <w:szCs w:val="20"/>
          <w:lang w:val="es-MX" w:eastAsia="es-MX"/>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14:paraId="792A4A86" w14:textId="77777777" w:rsidR="001302C3" w:rsidRDefault="001302C3" w:rsidP="001302C3">
      <w:pPr>
        <w:jc w:val="both"/>
        <w:textAlignment w:val="baseline"/>
        <w:rPr>
          <w:rFonts w:ascii="Gotham" w:eastAsia="Times New Roman" w:hAnsi="Gotham" w:cs="Times New Roman"/>
          <w:color w:val="000000"/>
          <w:sz w:val="20"/>
          <w:szCs w:val="20"/>
          <w:lang w:val="es-MX" w:eastAsia="es-MX"/>
        </w:rPr>
      </w:pPr>
    </w:p>
    <w:p w14:paraId="24A2A6F3" w14:textId="77777777" w:rsidR="001A6728" w:rsidRDefault="001A6728" w:rsidP="001302C3">
      <w:pPr>
        <w:jc w:val="both"/>
        <w:textAlignment w:val="baseline"/>
        <w:rPr>
          <w:rFonts w:ascii="Gotham" w:eastAsia="Times New Roman" w:hAnsi="Gotham" w:cs="Times New Roman"/>
          <w:color w:val="000000"/>
          <w:sz w:val="20"/>
          <w:szCs w:val="20"/>
          <w:lang w:val="es-MX" w:eastAsia="es-MX"/>
        </w:rPr>
      </w:pPr>
    </w:p>
    <w:p w14:paraId="6679FC80" w14:textId="77777777" w:rsidR="001302C3" w:rsidRPr="001A6728" w:rsidRDefault="001302C3" w:rsidP="001302C3">
      <w:pPr>
        <w:numPr>
          <w:ilvl w:val="0"/>
          <w:numId w:val="12"/>
        </w:numPr>
        <w:jc w:val="both"/>
        <w:textAlignment w:val="baseline"/>
        <w:rPr>
          <w:rFonts w:ascii="Gotham" w:eastAsia="Times New Roman" w:hAnsi="Gotham" w:cs="Times New Roman"/>
          <w:b/>
          <w:bCs/>
          <w:color w:val="000000"/>
          <w:sz w:val="20"/>
          <w:szCs w:val="20"/>
          <w:lang w:val="es-MX" w:eastAsia="es-MX"/>
        </w:rPr>
      </w:pPr>
      <w:r w:rsidRPr="001A6728">
        <w:rPr>
          <w:rFonts w:ascii="Gotham" w:eastAsia="Times New Roman" w:hAnsi="Gotham" w:cs="Times New Roman"/>
          <w:b/>
          <w:bCs/>
          <w:color w:val="000000"/>
          <w:sz w:val="20"/>
          <w:szCs w:val="20"/>
          <w:lang w:val="es-MX" w:eastAsia="es-MX"/>
        </w:rPr>
        <w:t>Reporte de la Recaudación</w:t>
      </w:r>
    </w:p>
    <w:p w14:paraId="70D8A439" w14:textId="77777777" w:rsidR="001302C3" w:rsidRPr="001A6728" w:rsidRDefault="001302C3" w:rsidP="001302C3">
      <w:pPr>
        <w:jc w:val="center"/>
        <w:rPr>
          <w:rFonts w:ascii="Gotham" w:eastAsiaTheme="minorHAnsi" w:hAnsi="Gotham" w:cstheme="minorBidi"/>
          <w:sz w:val="20"/>
          <w:szCs w:val="20"/>
          <w:lang w:val="es-MX"/>
        </w:rPr>
      </w:pPr>
    </w:p>
    <w:p w14:paraId="422103DC" w14:textId="76C81007" w:rsidR="001302C3" w:rsidRDefault="009B0380" w:rsidP="001302C3">
      <w:pPr>
        <w:jc w:val="center"/>
        <w:rPr>
          <w:rFonts w:ascii="Gotham" w:eastAsiaTheme="minorHAnsi" w:hAnsi="Gotham" w:cstheme="minorBidi"/>
          <w:noProof/>
          <w:sz w:val="20"/>
          <w:szCs w:val="20"/>
          <w:lang w:val="es-MX" w:eastAsia="es-MX"/>
        </w:rPr>
      </w:pPr>
      <w:r w:rsidRPr="009B0380">
        <w:rPr>
          <w:rFonts w:ascii="Gotham" w:eastAsiaTheme="minorHAnsi" w:hAnsi="Gotham" w:cstheme="minorBidi"/>
          <w:noProof/>
          <w:sz w:val="20"/>
          <w:szCs w:val="20"/>
          <w:lang w:val="es-MX" w:eastAsia="es-MX"/>
        </w:rPr>
        <w:drawing>
          <wp:inline distT="0" distB="0" distL="0" distR="0" wp14:anchorId="741BD360" wp14:editId="389A40CE">
            <wp:extent cx="6332220" cy="3660775"/>
            <wp:effectExtent l="0" t="0" r="0" b="0"/>
            <wp:docPr id="7165464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46403" name=""/>
                    <pic:cNvPicPr/>
                  </pic:nvPicPr>
                  <pic:blipFill>
                    <a:blip r:embed="rId26"/>
                    <a:stretch>
                      <a:fillRect/>
                    </a:stretch>
                  </pic:blipFill>
                  <pic:spPr>
                    <a:xfrm>
                      <a:off x="0" y="0"/>
                      <a:ext cx="6332220" cy="3660775"/>
                    </a:xfrm>
                    <a:prstGeom prst="rect">
                      <a:avLst/>
                    </a:prstGeom>
                  </pic:spPr>
                </pic:pic>
              </a:graphicData>
            </a:graphic>
          </wp:inline>
        </w:drawing>
      </w:r>
    </w:p>
    <w:p w14:paraId="55E2E9D1" w14:textId="77777777" w:rsidR="00417FBA" w:rsidRDefault="00417FBA" w:rsidP="001302C3">
      <w:pPr>
        <w:jc w:val="center"/>
        <w:rPr>
          <w:rFonts w:ascii="Gotham" w:eastAsiaTheme="minorHAnsi" w:hAnsi="Gotham" w:cstheme="minorBidi"/>
          <w:noProof/>
          <w:sz w:val="20"/>
          <w:szCs w:val="20"/>
          <w:lang w:val="es-MX" w:eastAsia="es-MX"/>
        </w:rPr>
      </w:pPr>
    </w:p>
    <w:p w14:paraId="00037A76" w14:textId="77777777" w:rsidR="00417FBA" w:rsidRDefault="00417FBA" w:rsidP="001302C3">
      <w:pPr>
        <w:jc w:val="center"/>
        <w:rPr>
          <w:rFonts w:ascii="Gotham" w:eastAsiaTheme="minorHAnsi" w:hAnsi="Gotham" w:cstheme="minorBidi"/>
          <w:noProof/>
          <w:sz w:val="20"/>
          <w:szCs w:val="20"/>
          <w:lang w:val="es-MX" w:eastAsia="es-MX"/>
        </w:rPr>
      </w:pPr>
    </w:p>
    <w:p w14:paraId="11B31A2F" w14:textId="77777777" w:rsidR="00417FBA" w:rsidRDefault="00417FBA" w:rsidP="001302C3">
      <w:pPr>
        <w:jc w:val="center"/>
        <w:rPr>
          <w:rFonts w:ascii="Gotham" w:eastAsiaTheme="minorHAnsi" w:hAnsi="Gotham" w:cstheme="minorBidi"/>
          <w:noProof/>
          <w:sz w:val="20"/>
          <w:szCs w:val="20"/>
          <w:lang w:val="es-MX" w:eastAsia="es-MX"/>
        </w:rPr>
      </w:pPr>
    </w:p>
    <w:p w14:paraId="61C04496" w14:textId="77777777" w:rsidR="001302C3" w:rsidRPr="001A6728" w:rsidRDefault="001302C3" w:rsidP="001302C3">
      <w:pPr>
        <w:jc w:val="both"/>
        <w:rPr>
          <w:rFonts w:ascii="Gotham" w:eastAsiaTheme="minorHAnsi" w:hAnsi="Gotham" w:cs="Arial"/>
          <w:b/>
          <w:sz w:val="20"/>
          <w:szCs w:val="20"/>
          <w:lang w:val="es-MX"/>
        </w:rPr>
      </w:pPr>
      <w:r w:rsidRPr="001A6728">
        <w:rPr>
          <w:rFonts w:ascii="Gotham" w:eastAsiaTheme="minorHAnsi" w:hAnsi="Gotham" w:cs="Arial"/>
          <w:b/>
          <w:sz w:val="20"/>
          <w:szCs w:val="20"/>
          <w:lang w:val="es-MX"/>
        </w:rPr>
        <w:lastRenderedPageBreak/>
        <w:t>INGRESOS.</w:t>
      </w:r>
    </w:p>
    <w:p w14:paraId="281419CB" w14:textId="77777777" w:rsidR="001302C3" w:rsidRPr="001A6728" w:rsidRDefault="001302C3" w:rsidP="001302C3">
      <w:pPr>
        <w:tabs>
          <w:tab w:val="left" w:pos="7560"/>
        </w:tabs>
        <w:jc w:val="both"/>
        <w:rPr>
          <w:rFonts w:ascii="Gotham" w:eastAsiaTheme="minorHAnsi" w:hAnsi="Gotham" w:cstheme="minorBidi"/>
          <w:sz w:val="20"/>
          <w:szCs w:val="20"/>
          <w:lang w:val="es-MX"/>
        </w:rPr>
      </w:pPr>
      <w:r w:rsidRPr="001A6728">
        <w:rPr>
          <w:rFonts w:ascii="Gotham" w:eastAsiaTheme="minorHAnsi" w:hAnsi="Gotham" w:cstheme="minorBidi"/>
          <w:sz w:val="20"/>
          <w:szCs w:val="20"/>
          <w:lang w:val="es-MX"/>
        </w:rPr>
        <w:tab/>
      </w:r>
    </w:p>
    <w:p w14:paraId="1E21929E" w14:textId="1DFB0D8B" w:rsidR="00CB791A" w:rsidRPr="00CB791A" w:rsidRDefault="00CB791A" w:rsidP="00CB791A">
      <w:pPr>
        <w:jc w:val="both"/>
        <w:rPr>
          <w:rFonts w:ascii="Gotham" w:hAnsi="Gotham" w:cs="Arial"/>
          <w:sz w:val="20"/>
          <w:szCs w:val="20"/>
          <w:lang w:val="es-MX"/>
        </w:rPr>
      </w:pPr>
      <w:r w:rsidRPr="00CB791A">
        <w:rPr>
          <w:rFonts w:ascii="Gotham" w:hAnsi="Gotham" w:cs="Arial"/>
          <w:sz w:val="20"/>
          <w:szCs w:val="20"/>
          <w:lang w:val="es-MX"/>
        </w:rPr>
        <w:t>Inicialmente se previó recaudar en la Ley de Ingresos Estimada la cantidad de 3,118,386,257.00. Se han realizado ampliaciones al presupuesto por 38,000,000.00, por concepto de “Ingresos por disponibilidades presupuestarias”, 38,921,594.44 de subsidios y subvenciones destinados al capítulo 1000 “Servicios Personales” y 96,200,000.00 para “reestructura de los CEBURS Serie C”. Así mismo se autorizó la cancelación de recursos por 38,921,594.44 por concepto de “Ingresos por disponibilidades presupuestarias”. Se autorizó la ampliación no liquida para el registro de los remanentes e intereses de los CEBURS, series “A”, “B” y “C” correspondientes a la distribución 157 por 246,930,960.25 y la ampliación no liquida para el registro de la actualización de la amortización de capital de los CEBURS de la serie “C” por 126,400,000.00. De conformidad con el avance presupuestal de ingresos generado por la operación al cierre del ejercicio, se registró una reducción en Otros Ingresos por disponibilidades presupuestarias de 25,120,390.39 y se consideró una ampliación por 2,021,013.60 en Otros Ingresos “Pasivos que se generen como resultado de Erogaciones que se Devenguen en el Ejercicio Fiscal, pero queden Pendiente de Liquidar al cierre del mismo.”</w:t>
      </w:r>
      <w:r>
        <w:rPr>
          <w:rFonts w:ascii="Gotham" w:hAnsi="Gotham" w:cs="Arial"/>
          <w:sz w:val="20"/>
          <w:szCs w:val="20"/>
          <w:lang w:val="es-MX"/>
        </w:rPr>
        <w:t xml:space="preserve"> </w:t>
      </w:r>
      <w:r w:rsidRPr="00CB791A">
        <w:rPr>
          <w:rFonts w:ascii="Gotham" w:hAnsi="Gotham" w:cs="Arial"/>
          <w:sz w:val="20"/>
          <w:szCs w:val="20"/>
          <w:lang w:val="es-MX"/>
        </w:rPr>
        <w:t>El importe total recaudado al mes de diciembre fue de 3,456,848,963.99, por lo que existe una variación del 2.8 por ciento menor con respecto al total autorizado anual.</w:t>
      </w:r>
    </w:p>
    <w:p w14:paraId="1F97CC82" w14:textId="77777777" w:rsidR="001302C3" w:rsidRPr="001A6728" w:rsidRDefault="001302C3" w:rsidP="001302C3">
      <w:pPr>
        <w:jc w:val="both"/>
        <w:rPr>
          <w:rFonts w:ascii="Gotham" w:hAnsi="Gotham" w:cs="Arial"/>
          <w:bCs/>
          <w:sz w:val="20"/>
          <w:szCs w:val="20"/>
          <w:highlight w:val="yellow"/>
          <w:lang w:val="es-MX"/>
        </w:rPr>
      </w:pPr>
    </w:p>
    <w:p w14:paraId="51DEFCE5" w14:textId="77777777" w:rsidR="001302C3" w:rsidRPr="001A6728" w:rsidRDefault="001302C3" w:rsidP="001302C3">
      <w:pPr>
        <w:jc w:val="both"/>
        <w:rPr>
          <w:rFonts w:ascii="Gotham" w:eastAsiaTheme="minorHAnsi" w:hAnsi="Gotham" w:cs="Arial"/>
          <w:b/>
          <w:sz w:val="20"/>
          <w:szCs w:val="20"/>
          <w:lang w:val="es-MX"/>
        </w:rPr>
      </w:pPr>
      <w:r w:rsidRPr="001A6728">
        <w:rPr>
          <w:rFonts w:ascii="Gotham" w:eastAsiaTheme="minorHAnsi" w:hAnsi="Gotham" w:cs="Arial"/>
          <w:b/>
          <w:sz w:val="20"/>
          <w:szCs w:val="20"/>
          <w:lang w:val="es-MX"/>
        </w:rPr>
        <w:t>INGRESOS DE GESTIÓN.</w:t>
      </w:r>
    </w:p>
    <w:p w14:paraId="7298CC88" w14:textId="77777777" w:rsidR="001302C3" w:rsidRPr="001A6728" w:rsidRDefault="001302C3" w:rsidP="001302C3">
      <w:pPr>
        <w:jc w:val="both"/>
        <w:rPr>
          <w:rFonts w:ascii="Gotham" w:eastAsiaTheme="minorHAnsi" w:hAnsi="Gotham" w:cs="Arial"/>
          <w:sz w:val="20"/>
          <w:szCs w:val="20"/>
          <w:lang w:val="es-MX"/>
        </w:rPr>
      </w:pPr>
    </w:p>
    <w:p w14:paraId="6AEB7A76" w14:textId="77777777" w:rsidR="001302C3" w:rsidRPr="001A6728" w:rsidRDefault="001302C3" w:rsidP="001302C3">
      <w:pPr>
        <w:jc w:val="both"/>
        <w:rPr>
          <w:rFonts w:ascii="Gotham" w:eastAsiaTheme="minorHAnsi" w:hAnsi="Gotham" w:cs="Arial"/>
          <w:sz w:val="20"/>
          <w:szCs w:val="20"/>
          <w:lang w:val="es-MX"/>
        </w:rPr>
      </w:pPr>
      <w:r w:rsidRPr="001A6728">
        <w:rPr>
          <w:rFonts w:ascii="Gotham" w:eastAsiaTheme="minorHAnsi" w:hAnsi="Gotham" w:cs="Arial"/>
          <w:sz w:val="20"/>
          <w:szCs w:val="20"/>
          <w:lang w:val="es-MX"/>
        </w:rPr>
        <w:t>De acuerdo a lo señalado en la Ley de Ingresos para el ejercicio 2023, se previó recaudar ingresos por concepto de derechos del Registro Público de la Propiedad y Comercio por un importe de 2,993,660,563.00. Se han realizado “traspasos internos” para dar suficiencia a otros ingresos y beneficios varios.</w:t>
      </w:r>
    </w:p>
    <w:p w14:paraId="66C5E0D9" w14:textId="77777777" w:rsidR="001302C3" w:rsidRPr="001A6728" w:rsidRDefault="001302C3" w:rsidP="001302C3">
      <w:pPr>
        <w:jc w:val="both"/>
        <w:rPr>
          <w:rFonts w:ascii="Gotham" w:eastAsiaTheme="minorHAnsi" w:hAnsi="Gotham" w:cs="Arial"/>
          <w:sz w:val="20"/>
          <w:szCs w:val="20"/>
          <w:lang w:val="es-MX"/>
        </w:rPr>
      </w:pPr>
    </w:p>
    <w:p w14:paraId="26CF03A8" w14:textId="15BC993C" w:rsidR="001302C3" w:rsidRPr="001A6728" w:rsidRDefault="001302C3" w:rsidP="001302C3">
      <w:pPr>
        <w:jc w:val="both"/>
        <w:rPr>
          <w:rFonts w:ascii="Gotham" w:hAnsi="Gotham" w:cs="Arial"/>
          <w:sz w:val="20"/>
          <w:szCs w:val="20"/>
          <w:lang w:val="es-MX"/>
        </w:rPr>
      </w:pPr>
      <w:r w:rsidRPr="001A6728">
        <w:rPr>
          <w:rFonts w:ascii="Gotham" w:eastAsiaTheme="minorHAnsi" w:hAnsi="Gotham" w:cs="Arial"/>
          <w:sz w:val="20"/>
          <w:szCs w:val="20"/>
          <w:lang w:val="es-MX"/>
        </w:rPr>
        <w:t>Asimismo, se autorizaron Ingresos por Venta de Bienes, Prestación de Servicios y Otros Ingresos, por 124,725,694.00.</w:t>
      </w:r>
      <w:r w:rsidR="001A6728">
        <w:rPr>
          <w:rFonts w:ascii="Gotham" w:eastAsiaTheme="minorHAnsi" w:hAnsi="Gotham" w:cs="Arial"/>
          <w:sz w:val="20"/>
          <w:szCs w:val="20"/>
          <w:lang w:val="es-MX"/>
        </w:rPr>
        <w:t xml:space="preserve"> </w:t>
      </w:r>
      <w:r w:rsidRPr="001A6728">
        <w:rPr>
          <w:rFonts w:ascii="Gotham" w:hAnsi="Gotham" w:cs="Arial"/>
          <w:sz w:val="20"/>
          <w:szCs w:val="20"/>
          <w:lang w:val="es-MX"/>
        </w:rPr>
        <w:t>Se han recaudado por los derechos de los servicios que presta el Instituto 1,974,689,134.00</w:t>
      </w:r>
      <w:r w:rsidRPr="001A6728">
        <w:rPr>
          <w:rFonts w:ascii="Gotham" w:hAnsi="Gotham"/>
          <w:sz w:val="20"/>
          <w:szCs w:val="20"/>
          <w:lang w:val="es-MX"/>
        </w:rPr>
        <w:t xml:space="preserve">, </w:t>
      </w:r>
      <w:r w:rsidRPr="001A6728">
        <w:rPr>
          <w:rFonts w:ascii="Gotham" w:hAnsi="Gotham" w:cs="Arial"/>
          <w:sz w:val="20"/>
          <w:szCs w:val="20"/>
          <w:lang w:val="es-MX"/>
        </w:rPr>
        <w:t xml:space="preserve">lo que representa el 1.8 por ciento menos respecto del modificado anual de este concepto. </w:t>
      </w:r>
    </w:p>
    <w:p w14:paraId="6ECBFBED" w14:textId="77777777" w:rsidR="001302C3" w:rsidRPr="001A6728" w:rsidRDefault="001302C3" w:rsidP="001302C3">
      <w:pPr>
        <w:jc w:val="both"/>
        <w:rPr>
          <w:rFonts w:ascii="Gotham" w:eastAsiaTheme="minorHAnsi" w:hAnsi="Gotham" w:cs="Arial"/>
          <w:sz w:val="20"/>
          <w:szCs w:val="20"/>
          <w:lang w:val="es-MX"/>
        </w:rPr>
      </w:pPr>
    </w:p>
    <w:p w14:paraId="228CA045" w14:textId="77777777" w:rsidR="001302C3" w:rsidRPr="001A6728" w:rsidRDefault="001302C3" w:rsidP="001302C3">
      <w:pPr>
        <w:jc w:val="both"/>
        <w:rPr>
          <w:rFonts w:ascii="Gotham" w:eastAsiaTheme="minorHAnsi" w:hAnsi="Gotham" w:cs="Arial"/>
          <w:b/>
          <w:sz w:val="20"/>
          <w:szCs w:val="20"/>
          <w:lang w:val="es-MX"/>
        </w:rPr>
      </w:pPr>
      <w:r w:rsidRPr="001A6728">
        <w:rPr>
          <w:rFonts w:ascii="Gotham" w:eastAsiaTheme="minorHAnsi" w:hAnsi="Gotham" w:cs="Arial"/>
          <w:b/>
          <w:sz w:val="20"/>
          <w:szCs w:val="20"/>
          <w:lang w:val="es-MX"/>
        </w:rPr>
        <w:t>PARTICIPACIONES, APORTACIONES, TRANSFERENCIAS, ASIGNACIONES, SUBSIDIOS Y OTRAS AYUDAS.</w:t>
      </w:r>
    </w:p>
    <w:p w14:paraId="07ED4392" w14:textId="77777777" w:rsidR="001302C3" w:rsidRPr="001A6728" w:rsidRDefault="001302C3" w:rsidP="001302C3">
      <w:pPr>
        <w:jc w:val="both"/>
        <w:rPr>
          <w:rFonts w:ascii="Gotham" w:eastAsiaTheme="minorHAnsi" w:hAnsi="Gotham" w:cs="Arial"/>
          <w:color w:val="7030A0"/>
          <w:sz w:val="20"/>
          <w:szCs w:val="20"/>
          <w:lang w:val="es-MX"/>
        </w:rPr>
      </w:pPr>
    </w:p>
    <w:p w14:paraId="3445FCF9" w14:textId="77777777" w:rsidR="001302C3" w:rsidRPr="001A6728" w:rsidRDefault="001302C3" w:rsidP="001302C3">
      <w:pPr>
        <w:jc w:val="both"/>
        <w:rPr>
          <w:rFonts w:ascii="Gotham" w:eastAsiaTheme="minorHAnsi" w:hAnsi="Gotham" w:cs="Arial"/>
          <w:sz w:val="20"/>
          <w:szCs w:val="20"/>
          <w:lang w:val="es-MX"/>
        </w:rPr>
      </w:pPr>
      <w:r w:rsidRPr="001A6728">
        <w:rPr>
          <w:rFonts w:ascii="Gotham" w:eastAsiaTheme="minorHAnsi" w:hAnsi="Gotham" w:cs="Arial"/>
          <w:sz w:val="20"/>
          <w:szCs w:val="20"/>
          <w:lang w:val="es-MX"/>
        </w:rPr>
        <w:t>Se autorizó una ampliación presupuestal en el rubro de subsidios en “actualización de sistemas registrales”, destinada al capítulo 1000 “Servicios personales”, por 38,921,594.44, este importe se refleja y se va recaudando con los depósitos que realiza mensualmente el GEM, que al mes de diciembre es de 38,921,594.44. Así como una ampliación por 96,200,000.00 para “Reestructura de los CEBURS Serie C”, y una reducción por 90,980,000.00; con un monto recaudado al mes de diciembre de 5,220,000.00.</w:t>
      </w:r>
    </w:p>
    <w:p w14:paraId="7C06BA7D" w14:textId="77777777" w:rsidR="001302C3" w:rsidRPr="001A6728" w:rsidRDefault="001302C3" w:rsidP="001302C3">
      <w:pPr>
        <w:jc w:val="both"/>
        <w:rPr>
          <w:rFonts w:ascii="Gotham" w:eastAsiaTheme="minorHAnsi" w:hAnsi="Gotham" w:cs="Arial"/>
          <w:sz w:val="20"/>
          <w:szCs w:val="20"/>
          <w:lang w:val="es-MX"/>
        </w:rPr>
      </w:pPr>
    </w:p>
    <w:p w14:paraId="292D4C0A" w14:textId="77777777" w:rsidR="001302C3" w:rsidRPr="001A6728" w:rsidRDefault="001302C3" w:rsidP="001302C3">
      <w:pPr>
        <w:jc w:val="both"/>
        <w:rPr>
          <w:rFonts w:ascii="Gotham" w:eastAsiaTheme="minorHAnsi" w:hAnsi="Gotham" w:cs="Arial"/>
          <w:b/>
          <w:sz w:val="20"/>
          <w:szCs w:val="20"/>
          <w:lang w:val="es-MX"/>
        </w:rPr>
      </w:pPr>
      <w:r w:rsidRPr="001A6728">
        <w:rPr>
          <w:rFonts w:ascii="Gotham" w:eastAsiaTheme="minorHAnsi" w:hAnsi="Gotham" w:cs="Arial"/>
          <w:b/>
          <w:sz w:val="20"/>
          <w:szCs w:val="20"/>
          <w:lang w:val="es-MX"/>
        </w:rPr>
        <w:t>OTROS INGRESOS Y BENEFICIOS.</w:t>
      </w:r>
    </w:p>
    <w:p w14:paraId="49CAF493" w14:textId="77777777" w:rsidR="001302C3" w:rsidRPr="001A6728" w:rsidRDefault="001302C3" w:rsidP="001302C3">
      <w:pPr>
        <w:jc w:val="both"/>
        <w:rPr>
          <w:rFonts w:ascii="Gotham" w:eastAsiaTheme="minorHAnsi" w:hAnsi="Gotham" w:cs="Arial"/>
          <w:sz w:val="20"/>
          <w:szCs w:val="20"/>
          <w:lang w:val="es-MX"/>
        </w:rPr>
      </w:pPr>
    </w:p>
    <w:p w14:paraId="0A15762F" w14:textId="77777777" w:rsidR="001302C3" w:rsidRDefault="001302C3" w:rsidP="001302C3">
      <w:pPr>
        <w:jc w:val="both"/>
        <w:rPr>
          <w:rFonts w:ascii="Gotham" w:eastAsiaTheme="minorHAnsi" w:hAnsi="Gotham" w:cs="Arial"/>
          <w:sz w:val="20"/>
          <w:szCs w:val="20"/>
          <w:lang w:val="es-MX"/>
        </w:rPr>
      </w:pPr>
      <w:r w:rsidRPr="001A6728">
        <w:rPr>
          <w:rFonts w:ascii="Gotham" w:eastAsiaTheme="minorHAnsi" w:hAnsi="Gotham" w:cs="Arial"/>
          <w:sz w:val="20"/>
          <w:szCs w:val="20"/>
          <w:lang w:val="es-MX"/>
        </w:rPr>
        <w:t>Se han realizado traspasos internos para dar suficiencia presupuestal a los otros ingresos y beneficios varios.</w:t>
      </w:r>
    </w:p>
    <w:p w14:paraId="3E40943C" w14:textId="77777777" w:rsidR="00CB791A" w:rsidRPr="001A6728" w:rsidRDefault="00CB791A" w:rsidP="001302C3">
      <w:pPr>
        <w:jc w:val="both"/>
        <w:rPr>
          <w:rFonts w:ascii="Gotham" w:eastAsiaTheme="minorHAnsi" w:hAnsi="Gotham" w:cs="Arial"/>
          <w:sz w:val="20"/>
          <w:szCs w:val="20"/>
          <w:lang w:val="es-MX"/>
        </w:rPr>
      </w:pPr>
    </w:p>
    <w:p w14:paraId="2E11CC88" w14:textId="77777777" w:rsidR="001302C3" w:rsidRPr="001A6728" w:rsidRDefault="001302C3" w:rsidP="001302C3">
      <w:pPr>
        <w:spacing w:after="160"/>
        <w:jc w:val="both"/>
        <w:rPr>
          <w:rFonts w:ascii="Gotham" w:hAnsi="Gotham" w:cs="Arial"/>
          <w:sz w:val="20"/>
          <w:szCs w:val="20"/>
          <w:lang w:val="es-MX"/>
        </w:rPr>
      </w:pPr>
      <w:r w:rsidRPr="001A6728">
        <w:rPr>
          <w:rFonts w:ascii="Gotham" w:hAnsi="Gotham" w:cs="Arial"/>
          <w:b/>
          <w:sz w:val="20"/>
          <w:szCs w:val="20"/>
          <w:lang w:val="es-MX"/>
        </w:rPr>
        <w:t>Otros Ingresos Financieros. -</w:t>
      </w:r>
      <w:r w:rsidRPr="001A6728">
        <w:rPr>
          <w:rFonts w:ascii="Gotham" w:hAnsi="Gotham" w:cs="Arial"/>
          <w:sz w:val="20"/>
          <w:szCs w:val="20"/>
          <w:lang w:val="es-MX"/>
        </w:rPr>
        <w:t xml:space="preserve"> Se tiene recaudado la cantidad de 433,971,426.01, de los cuales 403,945,864.87 corresponden a los ingresos del Fideicomiso de Cobranza para los pagos de intereses de los bonos correspondientes al ejercicio y 30,025,561.14 se derivan de rendimientos por intereses financieros generados por las inversiones de las Instituciones Bancarias de este Instituto.</w:t>
      </w:r>
    </w:p>
    <w:p w14:paraId="22204BFF" w14:textId="6A6EB21C" w:rsidR="001302C3" w:rsidRPr="001A6728" w:rsidRDefault="001302C3" w:rsidP="001302C3">
      <w:pPr>
        <w:jc w:val="both"/>
        <w:rPr>
          <w:rFonts w:ascii="Gotham" w:eastAsiaTheme="minorHAnsi" w:hAnsi="Gotham" w:cs="Arial"/>
          <w:sz w:val="20"/>
          <w:szCs w:val="20"/>
          <w:lang w:val="es-MX"/>
        </w:rPr>
      </w:pPr>
      <w:r w:rsidRPr="001A6728">
        <w:rPr>
          <w:rFonts w:ascii="Gotham" w:eastAsiaTheme="minorHAnsi" w:hAnsi="Gotham" w:cs="Arial"/>
          <w:b/>
          <w:sz w:val="20"/>
          <w:szCs w:val="20"/>
          <w:lang w:val="es-MX"/>
        </w:rPr>
        <w:lastRenderedPageBreak/>
        <w:t>Otros Ingresos Diversos. -</w:t>
      </w:r>
      <w:r w:rsidRPr="001A6728">
        <w:rPr>
          <w:sz w:val="20"/>
          <w:szCs w:val="20"/>
          <w:lang w:val="es-MX"/>
        </w:rPr>
        <w:t xml:space="preserve"> </w:t>
      </w:r>
      <w:r w:rsidRPr="001A6728">
        <w:rPr>
          <w:rFonts w:ascii="Gotham" w:eastAsiaTheme="minorHAnsi" w:hAnsi="Gotham" w:cs="Arial"/>
          <w:sz w:val="20"/>
          <w:szCs w:val="20"/>
          <w:lang w:val="es-MX"/>
        </w:rPr>
        <w:t xml:space="preserve">Se registra en ingresos diversos, un monto recaudado por 1,004,046,809.54, los cuales se componen principalmente de la siguiente forma: 759,402,740.98 para pagos de amortización de capital de las series “A”, “B” y “C” por la emisión de los Certificados Bursátiles Fiduciarios (según el avance presupuestal de contabilidad se incluyeron en este rubro el pago de remanentes e intereses por 246,930,960.25); 126,400,000.00 por actualización de la amortización de capital de los CEBURS de la serie “C”; 12,879,609.61 de ingresos por disponibilidades presupuestarias, 198,817.32 de los intereses generados por las transferencias de los depósitos del Registro Público de Comercio (rendimientos de la remesa de ingresos por RPC), 102,538.486.10 por concepto de remanentes transferidos al Gobierno del Estado de México según avance presupuesta </w:t>
      </w:r>
      <w:r w:rsidR="001A6728">
        <w:rPr>
          <w:rFonts w:ascii="Gotham" w:eastAsiaTheme="minorHAnsi" w:hAnsi="Gotham" w:cs="Arial"/>
          <w:sz w:val="20"/>
          <w:szCs w:val="20"/>
          <w:lang w:val="es-MX"/>
        </w:rPr>
        <w:t xml:space="preserve"> </w:t>
      </w:r>
      <w:r w:rsidRPr="001A6728">
        <w:rPr>
          <w:rFonts w:ascii="Gotham" w:eastAsiaTheme="minorHAnsi" w:hAnsi="Gotham" w:cs="Arial"/>
          <w:sz w:val="20"/>
          <w:szCs w:val="20"/>
          <w:lang w:val="es-MX"/>
        </w:rPr>
        <w:t xml:space="preserve">de contabilidad a diciembre 2023; y 2,021,013.60 por “Pasivos que se generen como resultado de Erogaciones que se Devenguen en …” considerados en dicho reporte. Asimismo, se han recaudado $606,141.93 de ingresos varios (depósitos no referenciados, llamadas no oficiales, venta de bases de concursos, cancelación de cuentas por pagar, notas de crédito, expedición de gafetes, entre otros). </w:t>
      </w:r>
    </w:p>
    <w:p w14:paraId="58C0FFFF" w14:textId="603A551A" w:rsidR="001302C3" w:rsidRDefault="001302C3" w:rsidP="001302C3">
      <w:pPr>
        <w:jc w:val="both"/>
        <w:rPr>
          <w:rFonts w:ascii="Gotham" w:eastAsiaTheme="minorHAnsi" w:hAnsi="Gotham" w:cs="Arial"/>
          <w:sz w:val="20"/>
          <w:szCs w:val="20"/>
          <w:lang w:val="es-MX"/>
        </w:rPr>
      </w:pPr>
    </w:p>
    <w:p w14:paraId="1F530BBD" w14:textId="77777777" w:rsidR="00335B53" w:rsidRPr="001A6728" w:rsidRDefault="00335B53" w:rsidP="001302C3">
      <w:pPr>
        <w:jc w:val="both"/>
        <w:rPr>
          <w:rFonts w:ascii="Gotham" w:eastAsiaTheme="minorHAnsi" w:hAnsi="Gotham" w:cs="Arial"/>
          <w:sz w:val="20"/>
          <w:szCs w:val="20"/>
          <w:lang w:val="es-MX"/>
        </w:rPr>
      </w:pPr>
    </w:p>
    <w:p w14:paraId="2E9ED2A6" w14:textId="77777777" w:rsidR="00DD1F3E" w:rsidRPr="001A6728" w:rsidRDefault="00DD1F3E" w:rsidP="00DD1F3E">
      <w:pPr>
        <w:jc w:val="both"/>
        <w:rPr>
          <w:rFonts w:ascii="Gotham" w:hAnsi="Gotham" w:cs="HelveticaNeueLT Std Lt"/>
          <w:b/>
          <w:noProof/>
          <w:color w:val="000000"/>
          <w:sz w:val="20"/>
          <w:szCs w:val="20"/>
          <w:lang w:val="es-MX"/>
        </w:rPr>
      </w:pPr>
      <w:r w:rsidRPr="001A6728">
        <w:rPr>
          <w:rFonts w:ascii="Gotham" w:hAnsi="Gotham" w:cs="HelveticaNeueLT Std Lt"/>
          <w:b/>
          <w:noProof/>
          <w:color w:val="000000"/>
          <w:sz w:val="20"/>
          <w:szCs w:val="20"/>
          <w:lang w:val="es-MX"/>
        </w:rPr>
        <w:t>11.</w:t>
      </w:r>
      <w:r w:rsidRPr="001A6728">
        <w:rPr>
          <w:rFonts w:ascii="Gotham" w:hAnsi="Gotham" w:cs="HelveticaNeueLT Std Lt"/>
          <w:b/>
          <w:noProof/>
          <w:color w:val="000000"/>
          <w:sz w:val="20"/>
          <w:szCs w:val="20"/>
          <w:lang w:val="es-MX"/>
        </w:rPr>
        <w:tab/>
        <w:t>Información sobre la Deuda y el Reporte Analítico de la Deuda</w:t>
      </w:r>
    </w:p>
    <w:p w14:paraId="1E03EDD1" w14:textId="77777777" w:rsidR="00DD1F3E" w:rsidRPr="001A6728" w:rsidRDefault="00DD1F3E" w:rsidP="00DD1F3E">
      <w:pPr>
        <w:jc w:val="both"/>
        <w:rPr>
          <w:rFonts w:ascii="Gotham" w:hAnsi="Gotham" w:cs="HelveticaNeueLT Std Lt"/>
          <w:noProof/>
          <w:color w:val="000000"/>
          <w:sz w:val="20"/>
          <w:szCs w:val="20"/>
          <w:lang w:val="es-MX"/>
        </w:rPr>
      </w:pPr>
    </w:p>
    <w:p w14:paraId="17C737A8" w14:textId="77777777" w:rsidR="00DD1F3E" w:rsidRPr="001A6728" w:rsidRDefault="00DD1F3E" w:rsidP="00DD1F3E">
      <w:pPr>
        <w:jc w:val="both"/>
        <w:rPr>
          <w:rFonts w:ascii="Gotham" w:hAnsi="Gotham" w:cs="HelveticaNeueLT Std Lt"/>
          <w:noProof/>
          <w:color w:val="000000"/>
          <w:sz w:val="20"/>
          <w:szCs w:val="20"/>
          <w:lang w:val="es-MX"/>
        </w:rPr>
      </w:pPr>
      <w:r w:rsidRPr="001A6728">
        <w:rPr>
          <w:rFonts w:ascii="Gotham" w:hAnsi="Gotham" w:cs="HelveticaNeueLT Std Lt"/>
          <w:noProof/>
          <w:color w:val="000000"/>
          <w:sz w:val="20"/>
          <w:szCs w:val="20"/>
          <w:lang w:val="es-MX"/>
        </w:rPr>
        <w:t>Al mes actual el análisis de la deuda se integra de la siguiente manera:</w:t>
      </w:r>
    </w:p>
    <w:p w14:paraId="50AEDB82" w14:textId="77777777" w:rsidR="00DD1F3E" w:rsidRPr="001A6728" w:rsidRDefault="00DD1F3E" w:rsidP="00DD1F3E">
      <w:pPr>
        <w:jc w:val="both"/>
        <w:rPr>
          <w:rFonts w:ascii="Gotham" w:eastAsia="Times New Roman" w:hAnsi="Gotham" w:cs="Times New Roman"/>
          <w:b/>
          <w:bCs/>
          <w:noProof/>
          <w:color w:val="000000"/>
          <w:sz w:val="20"/>
          <w:szCs w:val="20"/>
          <w:lang w:val="es-MX" w:eastAsia="es-MX"/>
        </w:rPr>
      </w:pPr>
    </w:p>
    <w:p w14:paraId="5F27DBE6" w14:textId="77777777" w:rsidR="00DD1F3E" w:rsidRPr="001A6728" w:rsidRDefault="00DD1F3E" w:rsidP="00DD1F3E">
      <w:pPr>
        <w:jc w:val="both"/>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t>Mensual: </w:t>
      </w:r>
    </w:p>
    <w:p w14:paraId="093B1525" w14:textId="40E07D95" w:rsidR="00DD1F3E" w:rsidRPr="001A6728" w:rsidRDefault="001302C3" w:rsidP="00DD1F3E">
      <w:pPr>
        <w:jc w:val="center"/>
        <w:rPr>
          <w:rFonts w:ascii="Gotham" w:eastAsia="Times New Roman" w:hAnsi="Gotham" w:cs="Times New Roman"/>
          <w:b/>
          <w:bCs/>
          <w:noProof/>
          <w:color w:val="000000"/>
          <w:sz w:val="20"/>
          <w:szCs w:val="20"/>
          <w:lang w:val="es-MX" w:eastAsia="es-MX"/>
        </w:rPr>
      </w:pPr>
      <w:r w:rsidRPr="001A6728">
        <w:rPr>
          <w:noProof/>
          <w:sz w:val="20"/>
          <w:szCs w:val="20"/>
          <w:lang w:val="es-MX" w:eastAsia="es-MX"/>
        </w:rPr>
        <w:drawing>
          <wp:inline distT="0" distB="0" distL="0" distR="0" wp14:anchorId="0C095E62" wp14:editId="200C98D2">
            <wp:extent cx="6330490" cy="18288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65089" cy="1838795"/>
                    </a:xfrm>
                    <a:prstGeom prst="rect">
                      <a:avLst/>
                    </a:prstGeom>
                    <a:noFill/>
                    <a:ln>
                      <a:noFill/>
                    </a:ln>
                  </pic:spPr>
                </pic:pic>
              </a:graphicData>
            </a:graphic>
          </wp:inline>
        </w:drawing>
      </w:r>
    </w:p>
    <w:p w14:paraId="3AA6D1D5" w14:textId="77777777" w:rsidR="00DD1F3E" w:rsidRPr="001A6728" w:rsidRDefault="00DD1F3E" w:rsidP="00DD1F3E">
      <w:pPr>
        <w:spacing w:after="160"/>
        <w:rPr>
          <w:rFonts w:ascii="Gotham" w:eastAsia="Times New Roman" w:hAnsi="Gotham" w:cs="Times New Roman"/>
          <w:b/>
          <w:bCs/>
          <w:noProof/>
          <w:color w:val="000000"/>
          <w:sz w:val="20"/>
          <w:szCs w:val="20"/>
          <w:lang w:val="es-MX" w:eastAsia="es-MX"/>
        </w:rPr>
      </w:pPr>
    </w:p>
    <w:p w14:paraId="41CA17F1" w14:textId="11A48626" w:rsidR="00DD1F3E" w:rsidRPr="001A6728" w:rsidRDefault="00DD1F3E" w:rsidP="00335B53">
      <w:pPr>
        <w:spacing w:after="160"/>
        <w:rPr>
          <w:rFonts w:ascii="Gotham" w:eastAsia="Times New Roman" w:hAnsi="Gotham" w:cs="Times New Roman"/>
          <w:noProof/>
          <w:sz w:val="20"/>
          <w:szCs w:val="20"/>
          <w:lang w:val="es-MX" w:eastAsia="es-MX"/>
        </w:rPr>
      </w:pPr>
      <w:r w:rsidRPr="001A6728">
        <w:rPr>
          <w:rFonts w:ascii="Gotham" w:eastAsia="Times New Roman" w:hAnsi="Gotham" w:cs="Times New Roman"/>
          <w:b/>
          <w:bCs/>
          <w:noProof/>
          <w:color w:val="000000"/>
          <w:sz w:val="20"/>
          <w:szCs w:val="20"/>
          <w:lang w:val="es-MX" w:eastAsia="es-MX"/>
        </w:rPr>
        <w:t>Acumulada: </w:t>
      </w:r>
      <w:r w:rsidR="001302C3" w:rsidRPr="001A6728">
        <w:rPr>
          <w:noProof/>
          <w:sz w:val="20"/>
          <w:szCs w:val="20"/>
          <w:lang w:val="es-MX" w:eastAsia="es-MX"/>
        </w:rPr>
        <w:drawing>
          <wp:inline distT="0" distB="0" distL="0" distR="0" wp14:anchorId="7F92BE35" wp14:editId="5F8F25A8">
            <wp:extent cx="6328946" cy="175723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1642" cy="1763541"/>
                    </a:xfrm>
                    <a:prstGeom prst="rect">
                      <a:avLst/>
                    </a:prstGeom>
                    <a:noFill/>
                    <a:ln>
                      <a:noFill/>
                    </a:ln>
                  </pic:spPr>
                </pic:pic>
              </a:graphicData>
            </a:graphic>
          </wp:inline>
        </w:drawing>
      </w:r>
    </w:p>
    <w:p w14:paraId="6C17F811" w14:textId="77777777" w:rsidR="00DD1F3E" w:rsidRPr="001A6728" w:rsidRDefault="00DD1F3E" w:rsidP="00DD1F3E">
      <w:pPr>
        <w:spacing w:after="160"/>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lastRenderedPageBreak/>
        <w:t>La operación del Fideicomiso de Cobranza se ha comportado de la siguiente forma: </w:t>
      </w:r>
    </w:p>
    <w:p w14:paraId="6E948D99" w14:textId="519732C9" w:rsidR="00DD1F3E" w:rsidRPr="001A6728" w:rsidRDefault="00862FB0" w:rsidP="00DD1F3E">
      <w:pPr>
        <w:spacing w:after="160"/>
        <w:jc w:val="center"/>
        <w:rPr>
          <w:rFonts w:ascii="Gotham" w:eastAsia="Times New Roman" w:hAnsi="Gotham" w:cs="Times New Roman"/>
          <w:noProof/>
          <w:sz w:val="20"/>
          <w:szCs w:val="20"/>
          <w:lang w:val="es-MX" w:eastAsia="es-MX"/>
        </w:rPr>
      </w:pPr>
      <w:r w:rsidRPr="001A6728">
        <w:rPr>
          <w:noProof/>
          <w:sz w:val="18"/>
          <w:szCs w:val="18"/>
          <w:lang w:val="es-MX" w:eastAsia="es-MX"/>
        </w:rPr>
        <w:drawing>
          <wp:inline distT="0" distB="0" distL="0" distR="0" wp14:anchorId="751A72CD" wp14:editId="6C0E6AA5">
            <wp:extent cx="5718404" cy="396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906" cy="3973834"/>
                    </a:xfrm>
                    <a:prstGeom prst="rect">
                      <a:avLst/>
                    </a:prstGeom>
                    <a:noFill/>
                    <a:ln>
                      <a:noFill/>
                    </a:ln>
                  </pic:spPr>
                </pic:pic>
              </a:graphicData>
            </a:graphic>
          </wp:inline>
        </w:drawing>
      </w:r>
    </w:p>
    <w:p w14:paraId="5409164D" w14:textId="3834C29F" w:rsidR="00DD1F3E" w:rsidRPr="001A6728" w:rsidRDefault="00DD1F3E" w:rsidP="00DD1F3E">
      <w:pPr>
        <w:spacing w:after="160"/>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 xml:space="preserve">El saldo de la cuenta 2221 “Documentos Comerciales Por Pagar a Largo Plazo”, después de la </w:t>
      </w:r>
      <w:r w:rsidR="00862FB0" w:rsidRPr="001A6728">
        <w:rPr>
          <w:rFonts w:ascii="Gotham" w:eastAsia="Times New Roman" w:hAnsi="Gotham" w:cs="Times New Roman"/>
          <w:noProof/>
          <w:color w:val="000000"/>
          <w:sz w:val="20"/>
          <w:szCs w:val="20"/>
          <w:lang w:val="es-MX" w:eastAsia="es-MX"/>
        </w:rPr>
        <w:t>actualización del saldo por pagar de la serie Subordinada “C”</w:t>
      </w:r>
      <w:r w:rsidRPr="001A6728">
        <w:rPr>
          <w:rFonts w:ascii="Gotham" w:eastAsia="Times New Roman" w:hAnsi="Gotham" w:cs="Times New Roman"/>
          <w:noProof/>
          <w:color w:val="000000"/>
          <w:sz w:val="20"/>
          <w:szCs w:val="20"/>
          <w:lang w:val="es-MX" w:eastAsia="es-MX"/>
        </w:rPr>
        <w:t xml:space="preserve"> es de: </w:t>
      </w:r>
      <w:r w:rsidR="00862FB0" w:rsidRPr="001A6728">
        <w:rPr>
          <w:rFonts w:ascii="Gotham" w:eastAsia="Times New Roman" w:hAnsi="Gotham" w:cs="Times New Roman"/>
          <w:noProof/>
          <w:color w:val="000000"/>
          <w:sz w:val="20"/>
          <w:szCs w:val="20"/>
          <w:lang w:val="es-MX" w:eastAsia="es-MX"/>
        </w:rPr>
        <w:t>5,265,873,133.96</w:t>
      </w:r>
      <w:r w:rsidRPr="001A6728">
        <w:rPr>
          <w:rFonts w:ascii="Gotham" w:eastAsia="Times New Roman" w:hAnsi="Gotham" w:cs="Times New Roman"/>
          <w:noProof/>
          <w:color w:val="000000"/>
          <w:sz w:val="20"/>
          <w:szCs w:val="20"/>
          <w:lang w:val="es-MX" w:eastAsia="es-MX"/>
        </w:rPr>
        <w:t>, que se componen de los CBFS de la Serie “A” por 1,544,482,354.45</w:t>
      </w:r>
      <w:r w:rsidR="00862FB0" w:rsidRPr="001A6728">
        <w:rPr>
          <w:rFonts w:ascii="Gotham" w:eastAsia="Times New Roman" w:hAnsi="Gotham" w:cs="Times New Roman"/>
          <w:noProof/>
          <w:color w:val="000000"/>
          <w:sz w:val="20"/>
          <w:szCs w:val="20"/>
          <w:lang w:val="es-MX" w:eastAsia="es-MX"/>
        </w:rPr>
        <w:t>;</w:t>
      </w:r>
      <w:r w:rsidRPr="001A6728">
        <w:rPr>
          <w:rFonts w:ascii="Gotham" w:eastAsia="Times New Roman" w:hAnsi="Gotham" w:cs="Times New Roman"/>
          <w:noProof/>
          <w:color w:val="000000"/>
          <w:sz w:val="20"/>
          <w:szCs w:val="20"/>
          <w:lang w:val="es-MX" w:eastAsia="es-MX"/>
        </w:rPr>
        <w:t xml:space="preserve"> para los CBFS de la Serie “B” 726,158,069.00 y para los CBFS Subordinados de la Serie “C” </w:t>
      </w:r>
      <w:r w:rsidR="00862FB0" w:rsidRPr="001A6728">
        <w:rPr>
          <w:rFonts w:ascii="Gotham" w:eastAsia="Times New Roman" w:hAnsi="Gotham" w:cs="Times New Roman"/>
          <w:noProof/>
          <w:color w:val="000000"/>
          <w:sz w:val="20"/>
          <w:szCs w:val="20"/>
          <w:lang w:val="es-MX" w:eastAsia="es-MX"/>
        </w:rPr>
        <w:t>2,995,232,710.51</w:t>
      </w:r>
      <w:r w:rsidRPr="001A6728">
        <w:rPr>
          <w:rFonts w:ascii="Gotham" w:eastAsia="Times New Roman" w:hAnsi="Gotham" w:cs="Times New Roman"/>
          <w:noProof/>
          <w:color w:val="000000"/>
          <w:sz w:val="20"/>
          <w:szCs w:val="20"/>
          <w:lang w:val="es-MX" w:eastAsia="es-MX"/>
        </w:rPr>
        <w:t>, cabe mencionar que esta última se contrató en Unidades de Inversión (UDI); por lo tanto, el Saldo Capital es de: 375,267,109.35 UDI; para la Amortización de capital es de 19,482,228.79 UDI y para los intereses es de 11,326,186.79UDI,</w:t>
      </w:r>
      <w:r w:rsidR="00862FB0" w:rsidRPr="001A6728">
        <w:rPr>
          <w:rFonts w:ascii="Gotham" w:eastAsia="Times New Roman" w:hAnsi="Gotham" w:cs="Times New Roman"/>
          <w:noProof/>
          <w:color w:val="000000"/>
          <w:sz w:val="20"/>
          <w:szCs w:val="20"/>
          <w:lang w:val="es-MX" w:eastAsia="es-MX"/>
        </w:rPr>
        <w:t xml:space="preserve"> hasta el 28 de marzo de 2024,</w:t>
      </w:r>
      <w:r w:rsidRPr="001A6728">
        <w:rPr>
          <w:rFonts w:ascii="Gotham" w:eastAsia="Times New Roman" w:hAnsi="Gotham" w:cs="Times New Roman"/>
          <w:noProof/>
          <w:color w:val="000000"/>
          <w:sz w:val="20"/>
          <w:szCs w:val="20"/>
          <w:lang w:val="es-MX" w:eastAsia="es-MX"/>
        </w:rPr>
        <w:t xml:space="preserve"> de acuerdo con la Tabla de Amortización, Crédito 9439 del Fideicomiso F/1426, de acuerdo con la Tabla de Amortización, Crédito 9439 del Fideicomiso F/1426, (DEUTSCHE BANK MÉXICO, S.A. DIVISIÓN FIDUCIARIA) de fecha 28/09/2011.</w:t>
      </w:r>
    </w:p>
    <w:p w14:paraId="2B1D459E" w14:textId="0740B303" w:rsidR="00DD1F3E" w:rsidRPr="001A6728" w:rsidRDefault="00DD1F3E" w:rsidP="00DD1F3E">
      <w:pPr>
        <w:spacing w:after="160"/>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Las fechas de vencimiento para este ejercicio fueron las siguientes:</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9"/>
        <w:gridCol w:w="3621"/>
      </w:tblGrid>
      <w:tr w:rsidR="00DD1F3E" w:rsidRPr="001A6728" w14:paraId="733AA4D1" w14:textId="77777777" w:rsidTr="001A6728">
        <w:trPr>
          <w:trHeight w:val="194"/>
          <w:jc w:val="center"/>
        </w:trPr>
        <w:tc>
          <w:tcPr>
            <w:tcW w:w="5579" w:type="dxa"/>
            <w:vAlign w:val="center"/>
          </w:tcPr>
          <w:p w14:paraId="1D0482F6" w14:textId="77777777" w:rsidR="00DD1F3E" w:rsidRPr="001A6728" w:rsidRDefault="00DD1F3E" w:rsidP="0023046A">
            <w:pPr>
              <w:spacing w:line="259" w:lineRule="auto"/>
              <w:rPr>
                <w:rFonts w:ascii="Gotham" w:eastAsia="Times New Roman" w:hAnsi="Gotham" w:cs="Times New Roman"/>
                <w:b/>
                <w:bCs/>
                <w:noProof/>
                <w:color w:val="000000"/>
                <w:sz w:val="18"/>
                <w:szCs w:val="18"/>
                <w:lang w:val="es-MX" w:eastAsia="es-MX"/>
              </w:rPr>
            </w:pPr>
            <w:r w:rsidRPr="001A6728">
              <w:rPr>
                <w:rFonts w:ascii="Gotham" w:eastAsia="Times New Roman" w:hAnsi="Gotham" w:cs="Times New Roman"/>
                <w:b/>
                <w:bCs/>
                <w:noProof/>
                <w:color w:val="000000"/>
                <w:sz w:val="18"/>
                <w:szCs w:val="18"/>
                <w:lang w:val="es-MX" w:eastAsia="es-MX"/>
              </w:rPr>
              <w:t>Emisión</w:t>
            </w:r>
          </w:p>
        </w:tc>
        <w:tc>
          <w:tcPr>
            <w:tcW w:w="3621" w:type="dxa"/>
            <w:vAlign w:val="center"/>
          </w:tcPr>
          <w:p w14:paraId="5120D28F" w14:textId="77777777" w:rsidR="00DD1F3E" w:rsidRPr="001A6728" w:rsidRDefault="00DD1F3E" w:rsidP="0023046A">
            <w:pPr>
              <w:spacing w:line="259" w:lineRule="auto"/>
              <w:jc w:val="both"/>
              <w:rPr>
                <w:rFonts w:ascii="Gotham" w:eastAsia="Times New Roman" w:hAnsi="Gotham" w:cs="Times New Roman"/>
                <w:b/>
                <w:bCs/>
                <w:noProof/>
                <w:color w:val="000000"/>
                <w:sz w:val="18"/>
                <w:szCs w:val="18"/>
                <w:lang w:val="es-MX" w:eastAsia="es-MX"/>
              </w:rPr>
            </w:pPr>
            <w:r w:rsidRPr="001A6728">
              <w:rPr>
                <w:rFonts w:ascii="Gotham" w:eastAsia="Times New Roman" w:hAnsi="Gotham" w:cs="Times New Roman"/>
                <w:b/>
                <w:bCs/>
                <w:noProof/>
                <w:color w:val="000000"/>
                <w:sz w:val="18"/>
                <w:szCs w:val="18"/>
                <w:lang w:val="es-MX" w:eastAsia="es-MX"/>
              </w:rPr>
              <w:t>Fecha vencimiento</w:t>
            </w:r>
          </w:p>
        </w:tc>
      </w:tr>
      <w:tr w:rsidR="00DD1F3E" w:rsidRPr="001A6728" w14:paraId="3F6D780C" w14:textId="77777777" w:rsidTr="001A6728">
        <w:trPr>
          <w:trHeight w:val="324"/>
          <w:jc w:val="center"/>
        </w:trPr>
        <w:tc>
          <w:tcPr>
            <w:tcW w:w="5579" w:type="dxa"/>
            <w:vAlign w:val="center"/>
          </w:tcPr>
          <w:p w14:paraId="2BD1E335" w14:textId="77777777" w:rsidR="00DD1F3E" w:rsidRPr="001A6728" w:rsidRDefault="00DD1F3E" w:rsidP="0023046A">
            <w:pPr>
              <w:spacing w:line="259" w:lineRule="auto"/>
              <w:jc w:val="both"/>
              <w:rPr>
                <w:rFonts w:ascii="Gotham" w:eastAsia="Times New Roman" w:hAnsi="Gotham" w:cs="Times New Roman"/>
                <w:noProof/>
                <w:color w:val="000000"/>
                <w:sz w:val="18"/>
                <w:szCs w:val="18"/>
                <w:lang w:val="es-MX" w:eastAsia="es-MX"/>
              </w:rPr>
            </w:pPr>
            <w:r w:rsidRPr="001A6728">
              <w:rPr>
                <w:rFonts w:ascii="Gotham" w:eastAsia="Times New Roman" w:hAnsi="Gotham" w:cs="Times New Roman"/>
                <w:noProof/>
                <w:color w:val="000000"/>
                <w:sz w:val="18"/>
                <w:szCs w:val="18"/>
                <w:lang w:val="es-MX" w:eastAsia="es-MX"/>
              </w:rPr>
              <w:t>Certificados Bursátiles Fiduciarios Preferentes Serie A y B</w:t>
            </w:r>
          </w:p>
        </w:tc>
        <w:tc>
          <w:tcPr>
            <w:tcW w:w="3621" w:type="dxa"/>
            <w:vAlign w:val="center"/>
          </w:tcPr>
          <w:p w14:paraId="2E0636B5" w14:textId="77777777" w:rsidR="00DD1F3E" w:rsidRPr="001A6728" w:rsidRDefault="00DD1F3E" w:rsidP="0023046A">
            <w:pPr>
              <w:spacing w:line="259" w:lineRule="auto"/>
              <w:jc w:val="both"/>
              <w:rPr>
                <w:rFonts w:ascii="Gotham" w:eastAsia="Times New Roman" w:hAnsi="Gotham" w:cs="Times New Roman"/>
                <w:noProof/>
                <w:color w:val="000000"/>
                <w:sz w:val="18"/>
                <w:szCs w:val="18"/>
                <w:lang w:val="es-MX" w:eastAsia="es-MX"/>
              </w:rPr>
            </w:pPr>
            <w:r w:rsidRPr="001A6728">
              <w:rPr>
                <w:rFonts w:ascii="Gotham" w:eastAsia="Times New Roman" w:hAnsi="Gotham" w:cs="Times New Roman"/>
                <w:noProof/>
                <w:color w:val="000000"/>
                <w:sz w:val="18"/>
                <w:szCs w:val="18"/>
                <w:lang w:val="es-MX" w:eastAsia="es-MX"/>
              </w:rPr>
              <w:t>28-feb-2023 y 28-ago-2023</w:t>
            </w:r>
          </w:p>
        </w:tc>
      </w:tr>
      <w:tr w:rsidR="00DD1F3E" w:rsidRPr="001A6728" w14:paraId="57880C34" w14:textId="77777777" w:rsidTr="001A6728">
        <w:trPr>
          <w:trHeight w:val="228"/>
          <w:jc w:val="center"/>
        </w:trPr>
        <w:tc>
          <w:tcPr>
            <w:tcW w:w="5579" w:type="dxa"/>
            <w:vAlign w:val="center"/>
          </w:tcPr>
          <w:p w14:paraId="65A34A56" w14:textId="77777777" w:rsidR="00DD1F3E" w:rsidRPr="001A6728" w:rsidRDefault="00DD1F3E" w:rsidP="0023046A">
            <w:pPr>
              <w:spacing w:line="259" w:lineRule="auto"/>
              <w:jc w:val="both"/>
              <w:rPr>
                <w:rFonts w:ascii="Gotham" w:eastAsia="Times New Roman" w:hAnsi="Gotham" w:cs="Times New Roman"/>
                <w:noProof/>
                <w:color w:val="000000"/>
                <w:sz w:val="18"/>
                <w:szCs w:val="18"/>
                <w:lang w:val="es-MX" w:eastAsia="es-MX"/>
              </w:rPr>
            </w:pPr>
            <w:r w:rsidRPr="001A6728">
              <w:rPr>
                <w:rFonts w:ascii="Gotham" w:eastAsia="Times New Roman" w:hAnsi="Gotham" w:cs="Times New Roman"/>
                <w:noProof/>
                <w:color w:val="000000"/>
                <w:sz w:val="18"/>
                <w:szCs w:val="18"/>
                <w:lang w:val="es-MX" w:eastAsia="es-MX"/>
              </w:rPr>
              <w:t>Certificados Bursátiles Fiduciarios Subordinados denominados en Unidades de Inversión</w:t>
            </w:r>
          </w:p>
        </w:tc>
        <w:tc>
          <w:tcPr>
            <w:tcW w:w="3621" w:type="dxa"/>
            <w:vAlign w:val="center"/>
          </w:tcPr>
          <w:p w14:paraId="4467A740" w14:textId="77777777" w:rsidR="00DD1F3E" w:rsidRPr="001A6728" w:rsidRDefault="00DD1F3E" w:rsidP="0023046A">
            <w:pPr>
              <w:spacing w:line="259" w:lineRule="auto"/>
              <w:ind w:left="708" w:hanging="708"/>
              <w:jc w:val="both"/>
              <w:rPr>
                <w:rFonts w:ascii="Gotham" w:eastAsia="Times New Roman" w:hAnsi="Gotham" w:cs="Times New Roman"/>
                <w:noProof/>
                <w:color w:val="000000"/>
                <w:sz w:val="18"/>
                <w:szCs w:val="18"/>
                <w:lang w:val="es-MX" w:eastAsia="es-MX"/>
              </w:rPr>
            </w:pPr>
            <w:r w:rsidRPr="001A6728">
              <w:rPr>
                <w:rFonts w:ascii="Gotham" w:eastAsia="Times New Roman" w:hAnsi="Gotham" w:cs="Times New Roman"/>
                <w:noProof/>
                <w:color w:val="000000"/>
                <w:sz w:val="18"/>
                <w:szCs w:val="18"/>
                <w:lang w:val="es-MX" w:eastAsia="es-MX"/>
              </w:rPr>
              <w:t>29-mar-2023 y 28-sep-2023</w:t>
            </w:r>
          </w:p>
        </w:tc>
      </w:tr>
    </w:tbl>
    <w:p w14:paraId="2248E51D" w14:textId="77777777" w:rsidR="00DD1F3E" w:rsidRPr="001A6728" w:rsidRDefault="00DD1F3E" w:rsidP="00DD1F3E">
      <w:pPr>
        <w:rPr>
          <w:rFonts w:ascii="Gotham" w:eastAsia="Times New Roman" w:hAnsi="Gotham" w:cs="Times New Roman"/>
          <w:noProof/>
          <w:sz w:val="20"/>
          <w:szCs w:val="20"/>
          <w:lang w:val="es-MX" w:eastAsia="es-MX"/>
        </w:rPr>
      </w:pPr>
    </w:p>
    <w:p w14:paraId="4173EBD0" w14:textId="77777777" w:rsidR="001A6728" w:rsidRDefault="001A6728" w:rsidP="00DD1F3E">
      <w:pPr>
        <w:contextualSpacing/>
        <w:jc w:val="both"/>
        <w:textAlignment w:val="baseline"/>
        <w:rPr>
          <w:rFonts w:ascii="Gotham" w:eastAsia="Times New Roman" w:hAnsi="Gotham" w:cs="Arial"/>
          <w:noProof/>
          <w:sz w:val="20"/>
          <w:szCs w:val="20"/>
          <w:lang w:val="es-MX" w:eastAsia="es-MX"/>
        </w:rPr>
      </w:pPr>
    </w:p>
    <w:p w14:paraId="618A5510" w14:textId="4060178A" w:rsidR="00DD1F3E" w:rsidRPr="001A6728" w:rsidRDefault="00DD1F3E" w:rsidP="001A6728">
      <w:pPr>
        <w:spacing w:line="276" w:lineRule="auto"/>
        <w:contextualSpacing/>
        <w:jc w:val="both"/>
        <w:textAlignment w:val="baseline"/>
        <w:rPr>
          <w:rFonts w:ascii="Gotham" w:eastAsia="Times New Roman" w:hAnsi="Gotham" w:cs="Arial"/>
          <w:noProof/>
          <w:sz w:val="20"/>
          <w:szCs w:val="20"/>
          <w:lang w:val="es-MX" w:eastAsia="es-MX"/>
        </w:rPr>
      </w:pPr>
      <w:r w:rsidRPr="001A6728">
        <w:rPr>
          <w:rFonts w:ascii="Gotham" w:eastAsia="Times New Roman" w:hAnsi="Gotham" w:cs="Arial"/>
          <w:noProof/>
          <w:sz w:val="20"/>
          <w:szCs w:val="20"/>
          <w:lang w:val="es-MX" w:eastAsia="es-MX"/>
        </w:rPr>
        <w:lastRenderedPageBreak/>
        <w:t>Los de los Certificados Bursátiles Fiduciarios (CEBUR’S) de la Serie “A” por un importe de 1,544,482,354.45, de la Serie “B” por un importe de 726,158,069.00 y de la Serie Subordinada “C” por un importe de 2,863,224,489.41; cabe mencionar que esta última serie se encuentra en Unidades de Inversión (UDIS), por tanto el Saldo Capital es de 375,267,109.35 UDIS, para la Amortización de Capital es de 19,482,228.79 UDIS y para los Intereses es de 11,326,186.79 UDIS, de acuerdo con la Tabla de Amortización Crédito 9439 del Fideicomiso número F/1426 (DEUTSCHE BANK MÉXICO, S.A. DIVISIÓN FIDUCIARIA) de fecha 10/03/2011. El saldo de la Serie Subordinada “C”, se actualizará al 31 de diciembre de 2023, debido a que se realizará la solicitud de ampliación presupuestal no liquida procedente.</w:t>
      </w:r>
    </w:p>
    <w:p w14:paraId="12EE2440" w14:textId="77777777" w:rsidR="00DD1F3E" w:rsidRPr="001A6728" w:rsidRDefault="00DD1F3E" w:rsidP="001A6728">
      <w:pPr>
        <w:spacing w:line="276" w:lineRule="auto"/>
        <w:rPr>
          <w:rFonts w:ascii="Gotham" w:eastAsia="Times New Roman" w:hAnsi="Gotham" w:cs="Times New Roman"/>
          <w:noProof/>
          <w:sz w:val="20"/>
          <w:szCs w:val="20"/>
          <w:lang w:val="es-MX" w:eastAsia="es-MX"/>
        </w:rPr>
      </w:pPr>
    </w:p>
    <w:p w14:paraId="54F17222" w14:textId="77777777" w:rsidR="00DD1F3E" w:rsidRPr="001A6728" w:rsidRDefault="00DD1F3E" w:rsidP="001A6728">
      <w:pPr>
        <w:spacing w:after="160" w:line="276" w:lineRule="auto"/>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Los pagos de intereses más la amortización de capital por los cupones programados se observan en el siguiente cuadro: </w:t>
      </w:r>
    </w:p>
    <w:p w14:paraId="4DB455BF" w14:textId="7EE02C58" w:rsidR="00DD1F3E" w:rsidRPr="001A6728" w:rsidRDefault="001302C3" w:rsidP="00DD1F3E">
      <w:pPr>
        <w:spacing w:after="160"/>
        <w:jc w:val="center"/>
        <w:rPr>
          <w:rFonts w:ascii="Gotham" w:eastAsia="Times New Roman" w:hAnsi="Gotham" w:cs="Times New Roman"/>
          <w:noProof/>
          <w:sz w:val="20"/>
          <w:szCs w:val="20"/>
          <w:lang w:val="es-MX" w:eastAsia="es-MX"/>
        </w:rPr>
      </w:pPr>
      <w:r w:rsidRPr="001A6728">
        <w:rPr>
          <w:noProof/>
          <w:sz w:val="16"/>
          <w:szCs w:val="16"/>
          <w:lang w:val="es-MX" w:eastAsia="es-MX"/>
        </w:rPr>
        <w:drawing>
          <wp:inline distT="0" distB="0" distL="0" distR="0" wp14:anchorId="5E6E44A0" wp14:editId="6386A646">
            <wp:extent cx="5839202" cy="3019425"/>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3673" cy="3032079"/>
                    </a:xfrm>
                    <a:prstGeom prst="rect">
                      <a:avLst/>
                    </a:prstGeom>
                    <a:noFill/>
                    <a:ln>
                      <a:noFill/>
                    </a:ln>
                  </pic:spPr>
                </pic:pic>
              </a:graphicData>
            </a:graphic>
          </wp:inline>
        </w:drawing>
      </w:r>
    </w:p>
    <w:p w14:paraId="0ACF0C34" w14:textId="77777777" w:rsidR="00CB791A" w:rsidRDefault="00CB791A" w:rsidP="001A6728">
      <w:pPr>
        <w:spacing w:after="160" w:line="276" w:lineRule="auto"/>
        <w:jc w:val="both"/>
        <w:rPr>
          <w:rFonts w:ascii="Gotham" w:eastAsia="Times New Roman" w:hAnsi="Gotham" w:cs="Times New Roman"/>
          <w:noProof/>
          <w:color w:val="000000"/>
          <w:sz w:val="20"/>
          <w:szCs w:val="20"/>
          <w:lang w:val="es-MX" w:eastAsia="es-MX"/>
        </w:rPr>
      </w:pPr>
    </w:p>
    <w:p w14:paraId="0AB12EEF" w14:textId="43436038" w:rsidR="00DD1F3E" w:rsidRPr="001A6728" w:rsidRDefault="00DD1F3E" w:rsidP="001A6728">
      <w:pPr>
        <w:spacing w:after="160" w:line="276" w:lineRule="auto"/>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Las transferencias al Gobierno del Estado de México de los remanentes, así como al Fideicomiso de Cobranza, más los intereses generados, se destinan a la Inversión Pública de acuerdo al rubro de Inversión pública productiva, que se encuentra comprendido en el artículo 2, fracción XXV, de la Ley de Disciplina Financiera de Entidades Federativas y Municipios, además de lo establecido en el contrato irrevocable No. 80615 y se han llevado a cabo como sigue: </w:t>
      </w:r>
    </w:p>
    <w:p w14:paraId="4A6234D4" w14:textId="2E59F57E" w:rsidR="00DD1F3E" w:rsidRPr="001A6728" w:rsidRDefault="00B74E60" w:rsidP="00DD1F3E">
      <w:pPr>
        <w:spacing w:after="160"/>
        <w:jc w:val="center"/>
        <w:rPr>
          <w:rFonts w:ascii="Gotham" w:eastAsia="Times New Roman" w:hAnsi="Gotham" w:cs="Times New Roman"/>
          <w:noProof/>
          <w:sz w:val="20"/>
          <w:szCs w:val="20"/>
          <w:lang w:val="es-MX" w:eastAsia="es-MX"/>
        </w:rPr>
      </w:pPr>
      <w:r w:rsidRPr="001A6728">
        <w:rPr>
          <w:noProof/>
          <w:sz w:val="18"/>
          <w:szCs w:val="18"/>
          <w:lang w:val="es-MX" w:eastAsia="es-MX"/>
        </w:rPr>
        <w:lastRenderedPageBreak/>
        <w:drawing>
          <wp:inline distT="0" distB="0" distL="0" distR="0" wp14:anchorId="5D0EEE79" wp14:editId="78CF7084">
            <wp:extent cx="3684105" cy="35623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8496" cy="3566595"/>
                    </a:xfrm>
                    <a:prstGeom prst="rect">
                      <a:avLst/>
                    </a:prstGeom>
                    <a:noFill/>
                    <a:ln>
                      <a:noFill/>
                    </a:ln>
                  </pic:spPr>
                </pic:pic>
              </a:graphicData>
            </a:graphic>
          </wp:inline>
        </w:drawing>
      </w:r>
    </w:p>
    <w:p w14:paraId="34919716" w14:textId="1E815A48" w:rsidR="00DD1F3E" w:rsidRPr="001A6728" w:rsidRDefault="00DD1F3E" w:rsidP="00DD1F3E">
      <w:pPr>
        <w:jc w:val="both"/>
        <w:rPr>
          <w:rFonts w:ascii="Gotham" w:eastAsia="Times New Roman" w:hAnsi="Gotham" w:cs="Times New Roman"/>
          <w:noProof/>
          <w:color w:val="000000"/>
          <w:sz w:val="20"/>
          <w:szCs w:val="20"/>
          <w:lang w:val="es-MX" w:eastAsia="es-MX"/>
        </w:rPr>
      </w:pPr>
    </w:p>
    <w:p w14:paraId="505DFA50" w14:textId="451B2248" w:rsidR="00DD1F3E" w:rsidRPr="001A6728" w:rsidRDefault="00DD1F3E" w:rsidP="00DD1F3E">
      <w:pPr>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De los remanentes recibidos en el IFREM, por la cantidad de 1,745,660,919.96, se transfirieron al GEM 1,653,807,280.98, de acuerdo a lo establecido en el Contrato Irrevocable No. 80615 y se previeron recursos por un monto de 102,302,993.19 para operaciones fiduciarias con el objeto de cubrir los servicios profesionales que permitan realizar el análisis, estudio, revisión, lectura de mercado y estructuración para evaluar la conveniencia de llevar a cabo el refinanciamiento y/o reestructura de  los CEBURS, de conformidad con el Artículo Quinto del Decreto número 21, de fecha 31 de enero de 2022; sin embargo, al mes de febrero de 2023  no se llevaron a cabo los trabajos mencionados, por lo que se realizó la transferencia por un monto de 102,538,486.10, integrados por la inversión inicial más intereses generados. </w:t>
      </w:r>
    </w:p>
    <w:p w14:paraId="4058A84D" w14:textId="0001E256" w:rsidR="00DD1F3E" w:rsidRPr="001A6728" w:rsidRDefault="00DD1F3E" w:rsidP="00DD1F3E">
      <w:pPr>
        <w:rPr>
          <w:rFonts w:ascii="Gotham" w:eastAsia="Times New Roman" w:hAnsi="Gotham" w:cs="Times New Roman"/>
          <w:noProof/>
          <w:sz w:val="20"/>
          <w:szCs w:val="20"/>
          <w:lang w:val="es-MX" w:eastAsia="es-MX"/>
        </w:rPr>
      </w:pPr>
    </w:p>
    <w:p w14:paraId="243D78A0" w14:textId="3D7C576E" w:rsidR="00DD1F3E" w:rsidRPr="001A6728" w:rsidRDefault="00DD1F3E" w:rsidP="00DD1F3E">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Respecto de los remanentes recibidos en el mes de abril por un monto de 467,791,989.06, correspondientes a la distribución 151 del Fideicomiso Irrevocable No.80615 del ejercicio 2023, se realizó la devolución al Gobierno del estado de México que incluyó los interese</w:t>
      </w:r>
      <w:r w:rsidR="001302C3" w:rsidRPr="001A6728">
        <w:rPr>
          <w:rFonts w:ascii="Gotham" w:eastAsia="Times New Roman" w:hAnsi="Gotham" w:cs="Times New Roman"/>
          <w:noProof/>
          <w:color w:val="000000"/>
          <w:sz w:val="20"/>
          <w:szCs w:val="20"/>
          <w:lang w:val="es-MX" w:eastAsia="es-MX"/>
        </w:rPr>
        <w:t>s</w:t>
      </w:r>
      <w:r w:rsidRPr="001A6728">
        <w:rPr>
          <w:rFonts w:ascii="Gotham" w:eastAsia="Times New Roman" w:hAnsi="Gotham" w:cs="Times New Roman"/>
          <w:noProof/>
          <w:color w:val="000000"/>
          <w:sz w:val="20"/>
          <w:szCs w:val="20"/>
          <w:lang w:val="es-MX" w:eastAsia="es-MX"/>
        </w:rPr>
        <w:t xml:space="preserve"> generados por 2,945,811.36 dando un monto total transferido de 470,737,800.42.</w:t>
      </w:r>
    </w:p>
    <w:p w14:paraId="6549661E" w14:textId="7A9D0D64" w:rsidR="00DD1F3E" w:rsidRPr="001A6728" w:rsidRDefault="00DD1F3E" w:rsidP="00DD1F3E">
      <w:pPr>
        <w:jc w:val="both"/>
        <w:rPr>
          <w:rFonts w:ascii="Gotham" w:eastAsia="Times New Roman" w:hAnsi="Gotham" w:cs="Times New Roman"/>
          <w:noProof/>
          <w:sz w:val="20"/>
          <w:szCs w:val="20"/>
          <w:lang w:val="es-MX" w:eastAsia="es-MX"/>
        </w:rPr>
      </w:pPr>
    </w:p>
    <w:p w14:paraId="003F5414" w14:textId="45EF4039" w:rsidR="001302C3" w:rsidRDefault="001302C3" w:rsidP="001302C3">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 xml:space="preserve">Respecto de los remanentes recibidos en el mes de octubre de 2023 por un monto de 243,778,048.08 correspondientes a la distribución 157 del Fideicomiso Irrevocable No.80615 del ejercicio 2023, se realizó la devolución al Gobierno del Estado de México que incluyó los intereses generados por 3,152,912.17 dando un monto total transferido de </w:t>
      </w:r>
      <w:r w:rsidR="00B74E60" w:rsidRPr="001A6728">
        <w:rPr>
          <w:rFonts w:ascii="Gotham" w:eastAsia="Times New Roman" w:hAnsi="Gotham" w:cs="Times New Roman"/>
          <w:noProof/>
          <w:color w:val="000000"/>
          <w:sz w:val="20"/>
          <w:szCs w:val="20"/>
          <w:lang w:val="es-MX" w:eastAsia="es-MX"/>
        </w:rPr>
        <w:t>246,930,960.25</w:t>
      </w:r>
    </w:p>
    <w:p w14:paraId="61888751" w14:textId="77777777" w:rsidR="001A6728" w:rsidRPr="001A6728" w:rsidRDefault="001A6728" w:rsidP="001302C3">
      <w:pPr>
        <w:jc w:val="both"/>
        <w:rPr>
          <w:rFonts w:ascii="Gotham" w:eastAsia="Times New Roman" w:hAnsi="Gotham" w:cs="Times New Roman"/>
          <w:noProof/>
          <w:color w:val="000000"/>
          <w:sz w:val="20"/>
          <w:szCs w:val="20"/>
          <w:lang w:val="es-MX" w:eastAsia="es-MX"/>
        </w:rPr>
      </w:pPr>
    </w:p>
    <w:p w14:paraId="7617C064" w14:textId="77777777" w:rsidR="001302C3" w:rsidRPr="001A6728" w:rsidRDefault="001302C3" w:rsidP="00DD1F3E">
      <w:pPr>
        <w:jc w:val="both"/>
        <w:rPr>
          <w:rFonts w:ascii="Gotham" w:eastAsia="Times New Roman" w:hAnsi="Gotham" w:cs="Times New Roman"/>
          <w:noProof/>
          <w:sz w:val="20"/>
          <w:szCs w:val="20"/>
          <w:lang w:val="es-MX" w:eastAsia="es-MX"/>
        </w:rPr>
      </w:pPr>
    </w:p>
    <w:p w14:paraId="4BDF7E7D" w14:textId="77777777" w:rsidR="00DD1F3E" w:rsidRPr="001A6728" w:rsidRDefault="00DD1F3E" w:rsidP="00DD1F3E">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lastRenderedPageBreak/>
        <w:t>Las transferencias al Gobierno del Estado de México de los remanentes del Fideicomiso de Cobranza más los intereses generados que, a la fecha son por un total de 4,683,892,321.79, se destinan a la inversión productiva de acuerdo a lo establecido en el contrato irrevocable No. 80615 (Fideicomiso de Cobranza).</w:t>
      </w:r>
    </w:p>
    <w:p w14:paraId="79143591" w14:textId="77777777" w:rsidR="00DD1F3E" w:rsidRPr="001A6728" w:rsidRDefault="00DD1F3E" w:rsidP="00DD1F3E">
      <w:pPr>
        <w:jc w:val="both"/>
        <w:rPr>
          <w:rFonts w:ascii="Gotham" w:eastAsia="Times New Roman" w:hAnsi="Gotham" w:cs="Times New Roman"/>
          <w:noProof/>
          <w:color w:val="FF0000"/>
          <w:sz w:val="20"/>
          <w:szCs w:val="20"/>
          <w:lang w:val="es-MX" w:eastAsia="es-MX"/>
        </w:rPr>
      </w:pPr>
    </w:p>
    <w:p w14:paraId="1757E9F9" w14:textId="77777777" w:rsidR="00DD1F3E" w:rsidRPr="001A6728" w:rsidRDefault="00DD1F3E" w:rsidP="00DD1F3E">
      <w:pPr>
        <w:numPr>
          <w:ilvl w:val="0"/>
          <w:numId w:val="19"/>
        </w:numPr>
        <w:spacing w:after="160"/>
        <w:contextualSpacing/>
        <w:jc w:val="both"/>
        <w:textAlignment w:val="baseline"/>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t>Calificaciones otorgadas</w:t>
      </w:r>
    </w:p>
    <w:p w14:paraId="22B7B752" w14:textId="77777777" w:rsidR="00DD1F3E" w:rsidRPr="001A6728" w:rsidRDefault="00DD1F3E" w:rsidP="00DD1F3E">
      <w:pPr>
        <w:spacing w:after="160"/>
        <w:ind w:left="720"/>
        <w:contextualSpacing/>
        <w:jc w:val="both"/>
        <w:textAlignment w:val="baseline"/>
        <w:rPr>
          <w:rFonts w:ascii="Gotham" w:eastAsia="Times New Roman" w:hAnsi="Gotham" w:cs="Times New Roman"/>
          <w:b/>
          <w:bCs/>
          <w:noProof/>
          <w:color w:val="000000"/>
          <w:sz w:val="20"/>
          <w:szCs w:val="20"/>
          <w:lang w:val="es-MX" w:eastAsia="es-MX"/>
        </w:rPr>
      </w:pPr>
    </w:p>
    <w:p w14:paraId="7D0091A9" w14:textId="77777777" w:rsidR="00DD1F3E" w:rsidRPr="001A6728" w:rsidRDefault="00DD1F3E" w:rsidP="00DD1F3E">
      <w:pPr>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19E10E89" w14:textId="77777777" w:rsidR="00DD1F3E" w:rsidRPr="001A6728" w:rsidRDefault="00DD1F3E" w:rsidP="00DD1F3E">
      <w:pPr>
        <w:spacing w:before="240"/>
        <w:ind w:right="423"/>
        <w:jc w:val="both"/>
        <w:textAlignment w:val="baseline"/>
        <w:rPr>
          <w:rFonts w:ascii="Gotham" w:hAnsi="Gotham"/>
          <w:i/>
          <w:iCs/>
          <w:noProof/>
          <w:color w:val="000000"/>
          <w:sz w:val="20"/>
          <w:szCs w:val="20"/>
          <w:lang w:val="es-MX"/>
        </w:rPr>
      </w:pPr>
      <w:r w:rsidRPr="001A6728">
        <w:rPr>
          <w:rFonts w:ascii="Gotham" w:hAnsi="Gotham"/>
          <w:i/>
          <w:iCs/>
          <w:noProof/>
          <w:color w:val="000000"/>
          <w:sz w:val="20"/>
          <w:szCs w:val="20"/>
          <w:lang w:val="es-MX"/>
        </w:rPr>
        <w:t>a) “S&amp;P Global Ratings, la Calificación de IFREM</w:t>
      </w:r>
    </w:p>
    <w:p w14:paraId="69F76746" w14:textId="77777777" w:rsidR="00DD1F3E" w:rsidRPr="001A6728" w:rsidRDefault="00DD1F3E" w:rsidP="00DD1F3E">
      <w:pPr>
        <w:spacing w:before="240"/>
        <w:ind w:left="2160" w:right="423"/>
        <w:contextualSpacing/>
        <w:jc w:val="both"/>
        <w:textAlignment w:val="baseline"/>
        <w:rPr>
          <w:rFonts w:ascii="Gotham" w:eastAsia="Times New Roman" w:hAnsi="Gotham" w:cs="Times New Roman"/>
          <w:i/>
          <w:iCs/>
          <w:noProof/>
          <w:color w:val="000000"/>
          <w:sz w:val="20"/>
          <w:szCs w:val="20"/>
          <w:lang w:val="es-MX" w:eastAsia="es-MX"/>
        </w:rPr>
      </w:pPr>
    </w:p>
    <w:p w14:paraId="5341C989" w14:textId="77777777" w:rsidR="00DD1F3E" w:rsidRPr="001A6728" w:rsidRDefault="00DD1F3E" w:rsidP="00DD1F3E">
      <w:pPr>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sz w:val="20"/>
          <w:szCs w:val="20"/>
          <w:lang w:val="es-MX" w:eastAsia="es-MX"/>
        </w:rPr>
        <w:t>“El 4 de septiembre de 2023, S&amp;P Global Ratings confirmó sus calificaciones de deuda de largo plazo en escala nacional –CaVal– de ‘mxAAA’ de los certificados bursátiles Serie A, con clave de pizarra PROIN 10, y Serie B, con clave de pizarra PROIN 10-2, del Instituto de la Función Registral del Estado de México (IFREM; mxAA-/Estable/--). Asimismo, confirmamos la calificación de deuda de ‘mxAA+’ del crédito bancario que contrató el IFREM con el Banco Nacional de Obras y Servicios Públicos, S.N.C. (Banobras).</w:t>
      </w:r>
    </w:p>
    <w:p w14:paraId="1DDD7632" w14:textId="77777777" w:rsidR="00DD1F3E" w:rsidRPr="001A6728" w:rsidRDefault="00DD1F3E" w:rsidP="00DD1F3E">
      <w:pPr>
        <w:autoSpaceDE w:val="0"/>
        <w:autoSpaceDN w:val="0"/>
        <w:adjustRightInd w:val="0"/>
        <w:ind w:firstLine="567"/>
        <w:jc w:val="both"/>
        <w:rPr>
          <w:rFonts w:ascii="Gotham" w:eastAsia="Times New Roman" w:hAnsi="Gotham" w:cs="Times New Roman"/>
          <w:i/>
          <w:iCs/>
          <w:noProof/>
          <w:sz w:val="20"/>
          <w:szCs w:val="20"/>
          <w:lang w:val="es-MX" w:eastAsia="es-MX"/>
        </w:rPr>
      </w:pPr>
    </w:p>
    <w:p w14:paraId="540C2571" w14:textId="77777777" w:rsidR="00DD1F3E" w:rsidRPr="001A6728" w:rsidRDefault="00DD1F3E" w:rsidP="00DD1F3E">
      <w:pPr>
        <w:autoSpaceDE w:val="0"/>
        <w:autoSpaceDN w:val="0"/>
        <w:adjustRightInd w:val="0"/>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sz w:val="20"/>
          <w:szCs w:val="20"/>
          <w:lang w:val="es-MX" w:eastAsia="es-MX"/>
        </w:rPr>
        <w:t>“La perspectiva estable refleja la de la calificación del Estado de México (mxAA-/Estable/--), así como nuestra expectativa de que, en los próximos 12 a 18 meses, se mantenga la probabilidad casi cierta de apoyo extraordinario del Estado de México al IFREM. Esperamos que el instituto mantenga su vínculo integral y rol crítico con el Estado, el cual consideramos no está sujeto al riesgo de transición en la administración del Estado ante el próximo cambio de gobierno, que tendrá lugar el 16 de septiembre de 2023, considerando el nivel de institucionalización y la solidez del marco en el que opera el IFREM.</w:t>
      </w:r>
    </w:p>
    <w:p w14:paraId="7105529D" w14:textId="77777777" w:rsidR="00DD1F3E" w:rsidRPr="001A6728" w:rsidRDefault="00DD1F3E" w:rsidP="00DD1F3E">
      <w:pPr>
        <w:ind w:right="423"/>
        <w:jc w:val="both"/>
        <w:textAlignment w:val="baseline"/>
        <w:rPr>
          <w:rFonts w:ascii="Gotham" w:eastAsia="Times New Roman" w:hAnsi="Gotham" w:cs="Times New Roman"/>
          <w:i/>
          <w:iCs/>
          <w:noProof/>
          <w:sz w:val="20"/>
          <w:szCs w:val="20"/>
          <w:lang w:val="es-MX" w:eastAsia="es-MX"/>
        </w:rPr>
      </w:pPr>
    </w:p>
    <w:p w14:paraId="743F46D2" w14:textId="77777777" w:rsidR="00DD1F3E" w:rsidRPr="001A6728" w:rsidRDefault="00DD1F3E" w:rsidP="00DD1F3E">
      <w:pPr>
        <w:ind w:right="423"/>
        <w:jc w:val="both"/>
        <w:textAlignment w:val="baseline"/>
        <w:rPr>
          <w:rFonts w:ascii="Gotham" w:eastAsia="Times New Roman" w:hAnsi="Gotham" w:cs="Times New Roman"/>
          <w:i/>
          <w:iCs/>
          <w:noProof/>
          <w:color w:val="000000"/>
          <w:sz w:val="20"/>
          <w:szCs w:val="20"/>
          <w:lang w:val="es-MX" w:eastAsia="es-MX"/>
        </w:rPr>
      </w:pPr>
      <w:r w:rsidRPr="001A6728">
        <w:rPr>
          <w:rFonts w:ascii="Gotham" w:eastAsia="Times New Roman" w:hAnsi="Gotham" w:cs="Times New Roman"/>
          <w:i/>
          <w:iCs/>
          <w:noProof/>
          <w:sz w:val="20"/>
          <w:szCs w:val="20"/>
          <w:lang w:val="es-MX" w:eastAsia="es-MX"/>
        </w:rPr>
        <w:t>b)</w:t>
      </w:r>
      <w:r w:rsidRPr="001A6728">
        <w:rPr>
          <w:rFonts w:ascii="Gotham" w:eastAsia="Times New Roman" w:hAnsi="Gotham" w:cs="Times New Roman"/>
          <w:i/>
          <w:iCs/>
          <w:noProof/>
          <w:color w:val="000000"/>
          <w:sz w:val="20"/>
          <w:szCs w:val="20"/>
          <w:lang w:val="es-MX" w:eastAsia="es-MX"/>
        </w:rPr>
        <w:t xml:space="preserve"> “Fitch Ratifica la Calificación de IFREM</w:t>
      </w:r>
    </w:p>
    <w:p w14:paraId="3A8CD4CF" w14:textId="77777777" w:rsidR="00DD1F3E" w:rsidRPr="001A6728" w:rsidRDefault="00DD1F3E" w:rsidP="00DD1F3E">
      <w:pPr>
        <w:rPr>
          <w:rFonts w:ascii="Gotham" w:eastAsia="Times New Roman" w:hAnsi="Gotham" w:cs="Times New Roman"/>
          <w:i/>
          <w:iCs/>
          <w:noProof/>
          <w:sz w:val="20"/>
          <w:szCs w:val="20"/>
          <w:lang w:val="es-MX" w:eastAsia="es-MX"/>
        </w:rPr>
      </w:pPr>
    </w:p>
    <w:p w14:paraId="47CCE00A" w14:textId="77777777" w:rsidR="00DD1F3E" w:rsidRPr="001A6728" w:rsidRDefault="00DD1F3E" w:rsidP="00DD1F3E">
      <w:pPr>
        <w:spacing w:after="160"/>
        <w:ind w:left="567" w:right="423"/>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Tue 16 de Aug de 2023-17:32 ET</w:t>
      </w:r>
    </w:p>
    <w:p w14:paraId="19BBCD7B" w14:textId="77777777" w:rsidR="00DD1F3E" w:rsidRPr="001A6728" w:rsidRDefault="00DD1F3E" w:rsidP="00DD1F3E">
      <w:pPr>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Fitch Ratings - México City - 16 Aug 2023: Fitch Ratings ratificó en ‘AAA (mex)vra’ las calificaciones específicas de los financiamientos que integran la deuda directa del Instituto de la Función Registral del Estado de México (IFREM) [AA+(mex)], como se detalla a continuación (saldos al 30 de junio de 2023):</w:t>
      </w:r>
    </w:p>
    <w:p w14:paraId="54C6A619" w14:textId="77777777" w:rsidR="00DD1F3E" w:rsidRPr="001A6728" w:rsidRDefault="00DD1F3E" w:rsidP="00DD1F3E">
      <w:pPr>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--Emisión PROIN 10, monto inicial de MXN2,765 millones y saldo de MXN1,544.4 millones;</w:t>
      </w:r>
    </w:p>
    <w:p w14:paraId="63DEF2AF" w14:textId="77777777" w:rsidR="00DD1F3E" w:rsidRPr="001A6728" w:rsidRDefault="00DD1F3E" w:rsidP="00DD1F3E">
      <w:pPr>
        <w:ind w:firstLine="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--Emisión PROIN 10-2, monto inicial de MXN1,300 millones y saldo de MXN726.1 millones;</w:t>
      </w:r>
    </w:p>
    <w:p w14:paraId="7B110919" w14:textId="77777777" w:rsidR="00DD1F3E" w:rsidRPr="001A6728" w:rsidRDefault="00DD1F3E" w:rsidP="00DD1F3E">
      <w:pPr>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--Crédito Banobras 11 monto inicial de 654.2 millones de unidades de inversión (Udis) y saldo de 393.9 millones de Udis.”</w:t>
      </w:r>
    </w:p>
    <w:p w14:paraId="57970901" w14:textId="77777777" w:rsidR="00DD1F3E" w:rsidRPr="001A6728" w:rsidRDefault="00DD1F3E" w:rsidP="00DD1F3E">
      <w:pPr>
        <w:jc w:val="both"/>
        <w:rPr>
          <w:rFonts w:ascii="Gotham" w:eastAsia="Times New Roman" w:hAnsi="Gotham" w:cs="Times New Roman"/>
          <w:i/>
          <w:iCs/>
          <w:noProof/>
          <w:sz w:val="20"/>
          <w:szCs w:val="20"/>
          <w:lang w:val="es-MX" w:eastAsia="es-MX"/>
        </w:rPr>
      </w:pPr>
    </w:p>
    <w:p w14:paraId="58414E31" w14:textId="77777777" w:rsidR="00DD1F3E" w:rsidRPr="001A6728" w:rsidRDefault="00DD1F3E" w:rsidP="00DD1F3E">
      <w:pPr>
        <w:ind w:left="567"/>
        <w:jc w:val="both"/>
        <w:rPr>
          <w:rFonts w:ascii="Gotham" w:eastAsia="Times New Roman" w:hAnsi="Gotham" w:cs="Times New Roman"/>
          <w:i/>
          <w:iCs/>
          <w:noProof/>
          <w:sz w:val="20"/>
          <w:szCs w:val="20"/>
          <w:lang w:val="es-MX" w:eastAsia="es-MX"/>
        </w:rPr>
      </w:pPr>
      <w:r w:rsidRPr="001A6728">
        <w:rPr>
          <w:rFonts w:ascii="Gotham" w:eastAsia="Times New Roman" w:hAnsi="Gotham" w:cs="Times New Roman"/>
          <w:i/>
          <w:iCs/>
          <w:noProof/>
          <w:color w:val="000000"/>
          <w:sz w:val="20"/>
          <w:szCs w:val="20"/>
          <w:lang w:val="es-MX" w:eastAsia="es-MX"/>
        </w:rPr>
        <w:t>“Fitch Ratings - México City - 16 Aug 2023: Fitch Ratings afirmó en ‘AA+(mex)’ la calificación de la calidad crediticia del Instituto de la Función Registral del Estado de México (IFREM). La Perspectiva es Estable.”</w:t>
      </w:r>
    </w:p>
    <w:p w14:paraId="5C619E0B" w14:textId="77777777" w:rsidR="00DD1F3E" w:rsidRPr="001A6728" w:rsidRDefault="00DD1F3E" w:rsidP="00DD1F3E">
      <w:pPr>
        <w:rPr>
          <w:rFonts w:ascii="Gotham" w:hAnsi="Gotham"/>
          <w:noProof/>
          <w:color w:val="0563C1"/>
          <w:sz w:val="20"/>
          <w:szCs w:val="20"/>
          <w:u w:val="single"/>
          <w:lang w:val="es-MX" w:eastAsia="es-MX"/>
        </w:rPr>
      </w:pPr>
    </w:p>
    <w:p w14:paraId="27F8E995" w14:textId="77777777" w:rsidR="00DD1F3E" w:rsidRPr="001A6728" w:rsidRDefault="00000000" w:rsidP="00DD1F3E">
      <w:pPr>
        <w:rPr>
          <w:rFonts w:ascii="Gotham" w:hAnsi="Gotham"/>
          <w:noProof/>
          <w:sz w:val="20"/>
          <w:szCs w:val="20"/>
          <w:lang w:val="es-MX"/>
        </w:rPr>
      </w:pPr>
      <w:hyperlink r:id="rId32" w:history="1">
        <w:r w:rsidR="00DD1F3E" w:rsidRPr="001A6728">
          <w:rPr>
            <w:rFonts w:ascii="Gotham" w:hAnsi="Gotham"/>
            <w:noProof/>
            <w:color w:val="0563C1"/>
            <w:sz w:val="20"/>
            <w:szCs w:val="20"/>
            <w:u w:val="single"/>
            <w:lang w:val="es-MX" w:eastAsia="es-MX"/>
          </w:rPr>
          <w:t>https://www.fitchratings.com/research/es/international-public-finance/fitch-affirms-ifrems-nltr-loans-at-aaa-mex-vra-16-08-2023</w:t>
        </w:r>
      </w:hyperlink>
    </w:p>
    <w:p w14:paraId="1325CDF3" w14:textId="77777777" w:rsidR="00DD1F3E" w:rsidRPr="001A6728" w:rsidRDefault="00000000" w:rsidP="00DD1F3E">
      <w:pPr>
        <w:rPr>
          <w:rFonts w:ascii="Gotham" w:hAnsi="Gotham"/>
          <w:noProof/>
          <w:color w:val="0563C1"/>
          <w:sz w:val="20"/>
          <w:szCs w:val="20"/>
          <w:u w:val="single"/>
          <w:lang w:val="es-MX" w:eastAsia="es-MX"/>
        </w:rPr>
      </w:pPr>
      <w:hyperlink r:id="rId33" w:history="1">
        <w:r w:rsidR="00DD1F3E" w:rsidRPr="001A6728">
          <w:rPr>
            <w:rFonts w:ascii="Gotham" w:hAnsi="Gotham"/>
            <w:noProof/>
            <w:color w:val="0563C1"/>
            <w:sz w:val="20"/>
            <w:szCs w:val="20"/>
            <w:u w:val="single"/>
            <w:lang w:val="es-MX" w:eastAsia="es-MX"/>
          </w:rPr>
          <w:t>https://www.bmv.com.mx/docs-pub/eventoca/eventoca_1307933_2.pdf</w:t>
        </w:r>
      </w:hyperlink>
    </w:p>
    <w:p w14:paraId="270AC1E7" w14:textId="77777777" w:rsidR="00DD1F3E" w:rsidRPr="001A6728" w:rsidRDefault="00DD1F3E" w:rsidP="00DD1F3E">
      <w:pPr>
        <w:numPr>
          <w:ilvl w:val="0"/>
          <w:numId w:val="13"/>
        </w:numPr>
        <w:spacing w:after="160"/>
        <w:jc w:val="both"/>
        <w:textAlignment w:val="baseline"/>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lastRenderedPageBreak/>
        <w:t>Proceso de Mejora</w:t>
      </w:r>
    </w:p>
    <w:p w14:paraId="62BD8DF0" w14:textId="77777777" w:rsidR="00DD1F3E" w:rsidRPr="001A6728" w:rsidRDefault="00DD1F3E" w:rsidP="00DD1F3E">
      <w:pPr>
        <w:spacing w:before="240" w:after="160"/>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 xml:space="preserve">En abril de 2022, fue aceptada la propuesta denominada </w:t>
      </w:r>
      <w:r w:rsidRPr="001A6728">
        <w:rPr>
          <w:rFonts w:ascii="Gotham" w:eastAsia="Times New Roman" w:hAnsi="Gotham" w:cs="Times New Roman"/>
          <w:b/>
          <w:bCs/>
          <w:noProof/>
          <w:color w:val="000000"/>
          <w:sz w:val="20"/>
          <w:szCs w:val="20"/>
          <w:lang w:val="es-MX" w:eastAsia="es-MX"/>
        </w:rPr>
        <w:t xml:space="preserve">“Sistema de Gestión de Seguridad de la Información Basada en la Norma Internacional ISO IEC 27001”, </w:t>
      </w:r>
      <w:r w:rsidRPr="001A6728">
        <w:rPr>
          <w:rFonts w:ascii="Gotham" w:eastAsia="Times New Roman" w:hAnsi="Gotham" w:cs="Times New Roman"/>
          <w:noProof/>
          <w:color w:val="000000"/>
          <w:sz w:val="20"/>
          <w:szCs w:val="20"/>
          <w:lang w:val="es-MX" w:eastAsia="es-MX"/>
        </w:rPr>
        <w:t xml:space="preserve">remitida al “Catálogo de Mejores Prácticas de la Administración Pública Estatal 2021”, por el IFREM. </w:t>
      </w:r>
      <w:r w:rsidRPr="001A6728">
        <w:rPr>
          <w:rFonts w:ascii="Gotham" w:eastAsia="Times New Roman" w:hAnsi="Gotham" w:cs="Times New Roman"/>
          <w:b/>
          <w:bCs/>
          <w:noProof/>
          <w:color w:val="000000"/>
          <w:sz w:val="20"/>
          <w:szCs w:val="20"/>
          <w:lang w:val="es-MX" w:eastAsia="es-MX"/>
        </w:rPr>
        <w:t> </w:t>
      </w:r>
    </w:p>
    <w:p w14:paraId="1CFB13EB" w14:textId="77777777" w:rsidR="00DD1F3E" w:rsidRPr="001A6728" w:rsidRDefault="00DD1F3E" w:rsidP="00DD1F3E">
      <w:pPr>
        <w:spacing w:before="160"/>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 xml:space="preserve">En enero de 2020 la Unidad de Informática del IFREM, obtuvo la certificación en </w:t>
      </w:r>
      <w:r w:rsidRPr="001A6728">
        <w:rPr>
          <w:rFonts w:ascii="Gotham" w:eastAsia="Times New Roman" w:hAnsi="Gotham" w:cs="Times New Roman"/>
          <w:b/>
          <w:bCs/>
          <w:noProof/>
          <w:color w:val="000000"/>
          <w:sz w:val="20"/>
          <w:szCs w:val="20"/>
          <w:lang w:val="es-MX" w:eastAsia="es-MX"/>
        </w:rPr>
        <w:t>ISO/IEC 27001:2013</w:t>
      </w:r>
      <w:r w:rsidRPr="001A6728">
        <w:rPr>
          <w:rFonts w:ascii="Gotham" w:eastAsia="Times New Roman" w:hAnsi="Gotham" w:cs="Times New Roman"/>
          <w:noProof/>
          <w:color w:val="000000"/>
          <w:sz w:val="20"/>
          <w:szCs w:val="20"/>
          <w:lang w:val="es-MX" w:eastAsia="es-MX"/>
        </w:rPr>
        <w:t>, Sistema de Gestión de Seguridad de la Información (SGSI).</w:t>
      </w:r>
    </w:p>
    <w:p w14:paraId="6737EF24" w14:textId="77777777" w:rsidR="00DD1F3E" w:rsidRPr="001A6728" w:rsidRDefault="00DD1F3E" w:rsidP="00DD1F3E">
      <w:pPr>
        <w:spacing w:before="240" w:after="160"/>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 xml:space="preserve">A la fecha el Instituto ha mantenido la certificación bajo la norma </w:t>
      </w:r>
      <w:r w:rsidRPr="001A6728">
        <w:rPr>
          <w:rFonts w:ascii="Gotham" w:eastAsia="Times New Roman" w:hAnsi="Gotham" w:cs="Times New Roman"/>
          <w:b/>
          <w:bCs/>
          <w:noProof/>
          <w:color w:val="000000"/>
          <w:sz w:val="20"/>
          <w:szCs w:val="20"/>
          <w:lang w:val="es-MX" w:eastAsia="es-MX"/>
        </w:rPr>
        <w:t>ISO 9001:2015</w:t>
      </w:r>
      <w:r w:rsidRPr="001A6728">
        <w:rPr>
          <w:rFonts w:ascii="Gotham" w:eastAsia="Times New Roman" w:hAnsi="Gotham" w:cs="Times New Roman"/>
          <w:noProof/>
          <w:color w:val="000000"/>
          <w:sz w:val="20"/>
          <w:szCs w:val="20"/>
          <w:lang w:val="es-MX" w:eastAsia="es-MX"/>
        </w:rPr>
        <w:t>, se encuentra inmerso en el proceso de mejora continua y sigue modernizando sus procesos.</w:t>
      </w:r>
    </w:p>
    <w:p w14:paraId="67DE30EF" w14:textId="77777777" w:rsidR="00DD1F3E" w:rsidRPr="001A6728" w:rsidRDefault="00DD1F3E" w:rsidP="00DD1F3E">
      <w:pPr>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 xml:space="preserve">El Estado de México ha pasado a mostrar un avance sobresaliente en la clasificación </w:t>
      </w:r>
      <w:r w:rsidRPr="001A6728">
        <w:rPr>
          <w:rFonts w:ascii="Gotham" w:eastAsia="Times New Roman" w:hAnsi="Gotham" w:cs="Times New Roman"/>
          <w:b/>
          <w:bCs/>
          <w:noProof/>
          <w:color w:val="000000"/>
          <w:sz w:val="20"/>
          <w:szCs w:val="20"/>
          <w:lang w:val="es-MX" w:eastAsia="es-MX"/>
        </w:rPr>
        <w:t>Doing Business en México</w:t>
      </w:r>
      <w:r w:rsidRPr="001A6728">
        <w:rPr>
          <w:rFonts w:ascii="Gotham" w:eastAsia="Times New Roman" w:hAnsi="Gotham" w:cs="Times New Roman"/>
          <w:noProof/>
          <w:color w:val="000000"/>
          <w:sz w:val="20"/>
          <w:szCs w:val="20"/>
          <w:lang w:val="es-MX" w:eastAsia="es-MX"/>
        </w:rPr>
        <w:t xml:space="preserve"> de 16 posiciones con respecto al año 2012, habiéndose clasificado en ese periodo en el lugar décimo octavo de 32 entidades económicas. Ha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52084080" w14:textId="77777777" w:rsidR="00DD1F3E" w:rsidRPr="001A6728" w:rsidRDefault="00DD1F3E" w:rsidP="00DD1F3E">
      <w:pPr>
        <w:rPr>
          <w:rFonts w:ascii="Gotham" w:eastAsia="Times New Roman" w:hAnsi="Gotham" w:cs="Times New Roman"/>
          <w:noProof/>
          <w:sz w:val="20"/>
          <w:szCs w:val="20"/>
          <w:lang w:val="es-MX" w:eastAsia="es-MX"/>
        </w:rPr>
      </w:pPr>
    </w:p>
    <w:p w14:paraId="219F5C1F" w14:textId="77777777" w:rsidR="00DD1F3E" w:rsidRPr="001A6728" w:rsidRDefault="00DD1F3E" w:rsidP="00DD1F3E">
      <w:pPr>
        <w:numPr>
          <w:ilvl w:val="0"/>
          <w:numId w:val="14"/>
        </w:numPr>
        <w:spacing w:after="160"/>
        <w:jc w:val="both"/>
        <w:textAlignment w:val="baseline"/>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t>Información por Segmentos</w:t>
      </w:r>
    </w:p>
    <w:p w14:paraId="799DE122" w14:textId="77777777" w:rsidR="00DD1F3E" w:rsidRPr="001A6728" w:rsidRDefault="00DD1F3E" w:rsidP="00DD1F3E">
      <w:pPr>
        <w:jc w:val="both"/>
        <w:rPr>
          <w:rFonts w:ascii="Gotham" w:eastAsia="Times New Roman" w:hAnsi="Gotham" w:cs="Times New Roman"/>
          <w:noProof/>
          <w:sz w:val="20"/>
          <w:szCs w:val="20"/>
          <w:lang w:val="es-MX" w:eastAsia="es-MX"/>
        </w:rPr>
      </w:pPr>
      <w:r w:rsidRPr="001A6728">
        <w:rPr>
          <w:rFonts w:ascii="Gotham" w:eastAsia="Times New Roman" w:hAnsi="Gotham" w:cs="Times New Roman"/>
          <w:noProof/>
          <w:color w:val="000000"/>
          <w:sz w:val="20"/>
          <w:szCs w:val="20"/>
          <w:lang w:val="es-MX" w:eastAsia="es-MX"/>
        </w:rPr>
        <w:t>El Instituto no cuenta con información por segmentos.</w:t>
      </w:r>
    </w:p>
    <w:p w14:paraId="38D2C751" w14:textId="77777777" w:rsidR="00DD1F3E" w:rsidRPr="001A6728" w:rsidRDefault="00DD1F3E" w:rsidP="00DD1F3E">
      <w:pPr>
        <w:rPr>
          <w:rFonts w:ascii="Gotham" w:eastAsia="Times New Roman" w:hAnsi="Gotham" w:cs="Times New Roman"/>
          <w:noProof/>
          <w:sz w:val="20"/>
          <w:szCs w:val="20"/>
          <w:lang w:val="es-MX" w:eastAsia="es-MX"/>
        </w:rPr>
      </w:pPr>
    </w:p>
    <w:p w14:paraId="093552E9" w14:textId="77777777" w:rsidR="00DD1F3E" w:rsidRPr="001A6728" w:rsidRDefault="00DD1F3E" w:rsidP="00DD1F3E">
      <w:pPr>
        <w:numPr>
          <w:ilvl w:val="0"/>
          <w:numId w:val="15"/>
        </w:numPr>
        <w:spacing w:after="160"/>
        <w:jc w:val="both"/>
        <w:textAlignment w:val="baseline"/>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t>Eventos Posteriores al Cierre</w:t>
      </w:r>
    </w:p>
    <w:p w14:paraId="5DBA5802" w14:textId="77777777" w:rsidR="00DD1F3E" w:rsidRPr="001A6728" w:rsidRDefault="00DD1F3E" w:rsidP="00DD1F3E">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El Instituto no presenta eventos posteriores al cierre que pudieran tener un efecto importante en su situación financiera y resultados de operación futuros.</w:t>
      </w:r>
    </w:p>
    <w:p w14:paraId="50CF3ABD" w14:textId="77777777" w:rsidR="00DD1F3E" w:rsidRPr="001A6728" w:rsidRDefault="00DD1F3E" w:rsidP="00DD1F3E">
      <w:pPr>
        <w:jc w:val="both"/>
        <w:rPr>
          <w:rFonts w:ascii="Gotham" w:eastAsia="Times New Roman" w:hAnsi="Gotham" w:cs="Times New Roman"/>
          <w:noProof/>
          <w:sz w:val="20"/>
          <w:szCs w:val="20"/>
          <w:lang w:val="es-MX" w:eastAsia="es-MX"/>
        </w:rPr>
      </w:pPr>
    </w:p>
    <w:p w14:paraId="390D41B9" w14:textId="77777777" w:rsidR="00DD1F3E" w:rsidRPr="001A6728" w:rsidRDefault="00DD1F3E" w:rsidP="00DD1F3E">
      <w:pPr>
        <w:rPr>
          <w:rFonts w:ascii="Gotham" w:eastAsia="Times New Roman" w:hAnsi="Gotham" w:cs="Times New Roman"/>
          <w:noProof/>
          <w:sz w:val="20"/>
          <w:szCs w:val="20"/>
          <w:lang w:val="es-MX" w:eastAsia="es-MX"/>
        </w:rPr>
      </w:pPr>
    </w:p>
    <w:p w14:paraId="4C9F209C" w14:textId="77777777" w:rsidR="00DD1F3E" w:rsidRPr="001A6728" w:rsidRDefault="00DD1F3E" w:rsidP="00DD1F3E">
      <w:pPr>
        <w:numPr>
          <w:ilvl w:val="0"/>
          <w:numId w:val="16"/>
        </w:numPr>
        <w:spacing w:after="160"/>
        <w:jc w:val="both"/>
        <w:textAlignment w:val="baseline"/>
        <w:rPr>
          <w:rFonts w:ascii="Gotham" w:eastAsia="Times New Roman" w:hAnsi="Gotham" w:cs="Times New Roman"/>
          <w:b/>
          <w:bCs/>
          <w:noProof/>
          <w:color w:val="000000"/>
          <w:sz w:val="20"/>
          <w:szCs w:val="20"/>
          <w:lang w:val="es-MX" w:eastAsia="es-MX"/>
        </w:rPr>
      </w:pPr>
      <w:r w:rsidRPr="001A6728">
        <w:rPr>
          <w:rFonts w:ascii="Gotham" w:eastAsia="Times New Roman" w:hAnsi="Gotham" w:cs="Times New Roman"/>
          <w:b/>
          <w:bCs/>
          <w:noProof/>
          <w:color w:val="000000"/>
          <w:sz w:val="20"/>
          <w:szCs w:val="20"/>
          <w:lang w:val="es-MX" w:eastAsia="es-MX"/>
        </w:rPr>
        <w:t>Partes Relacionadas</w:t>
      </w:r>
    </w:p>
    <w:p w14:paraId="0FB2E8AD" w14:textId="77777777" w:rsidR="00DD1F3E" w:rsidRPr="001A6728" w:rsidRDefault="00DD1F3E" w:rsidP="00DD1F3E">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No existen partes relacionadas que pudieran ejercer influencia significativa sobre la toma de decisiones financieras y operativas en este Instituto.</w:t>
      </w:r>
    </w:p>
    <w:p w14:paraId="5D94ECD1" w14:textId="77777777" w:rsidR="00DD1F3E" w:rsidRPr="001A6728" w:rsidRDefault="00DD1F3E" w:rsidP="00DD1F3E">
      <w:pPr>
        <w:jc w:val="both"/>
        <w:rPr>
          <w:rFonts w:ascii="Gotham" w:eastAsia="Times New Roman" w:hAnsi="Gotham" w:cs="Times New Roman"/>
          <w:noProof/>
          <w:sz w:val="20"/>
          <w:szCs w:val="20"/>
          <w:lang w:val="es-MX" w:eastAsia="es-MX"/>
        </w:rPr>
      </w:pPr>
    </w:p>
    <w:p w14:paraId="354E0211" w14:textId="77777777" w:rsidR="00DD1F3E" w:rsidRPr="001A6728" w:rsidRDefault="00DD1F3E" w:rsidP="00DD1F3E">
      <w:pPr>
        <w:rPr>
          <w:rFonts w:ascii="Gotham" w:eastAsia="Times New Roman" w:hAnsi="Gotham" w:cs="Times New Roman"/>
          <w:noProof/>
          <w:sz w:val="20"/>
          <w:szCs w:val="20"/>
          <w:lang w:val="es-MX" w:eastAsia="es-MX"/>
        </w:rPr>
      </w:pPr>
    </w:p>
    <w:p w14:paraId="0CB20E7C" w14:textId="77777777" w:rsidR="00DD1F3E" w:rsidRPr="001A6728" w:rsidRDefault="00DD1F3E" w:rsidP="00DD1F3E">
      <w:pPr>
        <w:numPr>
          <w:ilvl w:val="0"/>
          <w:numId w:val="16"/>
        </w:numPr>
        <w:spacing w:after="160"/>
        <w:jc w:val="both"/>
        <w:textAlignment w:val="baseline"/>
        <w:rPr>
          <w:rFonts w:ascii="Gotham" w:hAnsi="Gotham"/>
          <w:b/>
          <w:bCs/>
          <w:noProof/>
          <w:color w:val="000000"/>
          <w:sz w:val="20"/>
          <w:szCs w:val="20"/>
          <w:lang w:val="es-MX" w:eastAsia="es-MX"/>
        </w:rPr>
      </w:pPr>
      <w:r w:rsidRPr="001A6728">
        <w:rPr>
          <w:rFonts w:ascii="Gotham" w:hAnsi="Gotham"/>
          <w:b/>
          <w:bCs/>
          <w:noProof/>
          <w:color w:val="000000"/>
          <w:sz w:val="20"/>
          <w:szCs w:val="20"/>
          <w:lang w:val="es-MX" w:eastAsia="es-MX"/>
        </w:rPr>
        <w:t>Responsabilidad Sobre la Presentación Razonable de los Estados Financieros</w:t>
      </w:r>
    </w:p>
    <w:p w14:paraId="25E26964" w14:textId="77777777" w:rsidR="00DD1F3E" w:rsidRPr="001A6728" w:rsidRDefault="00DD1F3E" w:rsidP="00DD1F3E">
      <w:pPr>
        <w:jc w:val="both"/>
        <w:rPr>
          <w:rFonts w:ascii="Gotham" w:eastAsia="Times New Roman" w:hAnsi="Gotham" w:cs="Times New Roman"/>
          <w:noProof/>
          <w:color w:val="000000"/>
          <w:sz w:val="20"/>
          <w:szCs w:val="20"/>
          <w:lang w:val="es-MX" w:eastAsia="es-MX"/>
        </w:rPr>
      </w:pPr>
      <w:r w:rsidRPr="001A6728">
        <w:rPr>
          <w:rFonts w:ascii="Gotham" w:eastAsia="Times New Roman" w:hAnsi="Gotham" w:cs="Times New Roman"/>
          <w:noProof/>
          <w:color w:val="000000"/>
          <w:sz w:val="20"/>
          <w:szCs w:val="20"/>
          <w:lang w:val="es-MX" w:eastAsia="es-MX"/>
        </w:rPr>
        <w:t>“Bajo protesta de decir verdad declaramos que los Estados Financieros y sus Notas, son razonablemente correctos y son responsabilidad del emisor”.</w:t>
      </w:r>
    </w:p>
    <w:p w14:paraId="79F1D999" w14:textId="77777777" w:rsidR="00DD1F3E" w:rsidRPr="001A6728" w:rsidRDefault="00DD1F3E" w:rsidP="00DD1F3E">
      <w:pPr>
        <w:jc w:val="both"/>
        <w:rPr>
          <w:rFonts w:ascii="Gotham" w:eastAsia="Times New Roman" w:hAnsi="Gotham" w:cs="Times New Roman"/>
          <w:noProof/>
          <w:sz w:val="20"/>
          <w:szCs w:val="20"/>
          <w:lang w:val="es-MX" w:eastAsia="es-MX"/>
        </w:rPr>
      </w:pPr>
    </w:p>
    <w:p w14:paraId="4E35AC3B" w14:textId="77777777" w:rsidR="00DD1F3E" w:rsidRPr="00B74E60" w:rsidRDefault="00DD1F3E" w:rsidP="00DD1F3E">
      <w:pPr>
        <w:jc w:val="both"/>
        <w:rPr>
          <w:rFonts w:ascii="Gotham" w:eastAsia="Times New Roman" w:hAnsi="Gotham" w:cs="Times New Roman"/>
          <w:noProof/>
          <w:sz w:val="18"/>
          <w:szCs w:val="18"/>
          <w:lang w:val="es-MX" w:eastAsia="es-MX"/>
        </w:rPr>
      </w:pPr>
    </w:p>
    <w:p w14:paraId="7C1D31C4" w14:textId="77777777" w:rsidR="00DD1F3E" w:rsidRPr="00B74E60" w:rsidRDefault="00DD1F3E" w:rsidP="00DD1F3E">
      <w:pPr>
        <w:spacing w:after="160"/>
        <w:jc w:val="center"/>
        <w:rPr>
          <w:rFonts w:ascii="Gotham" w:eastAsia="Times New Roman" w:hAnsi="Gotham" w:cs="Times New Roman"/>
          <w:b/>
          <w:bCs/>
          <w:noProof/>
          <w:color w:val="000000"/>
          <w:sz w:val="18"/>
          <w:szCs w:val="18"/>
          <w:lang w:val="es-MX" w:eastAsia="es-MX"/>
        </w:rPr>
      </w:pPr>
      <w:r w:rsidRPr="00B74E60">
        <w:rPr>
          <w:rFonts w:ascii="Gotham" w:eastAsia="Times New Roman" w:hAnsi="Gotham" w:cs="Times New Roman"/>
          <w:b/>
          <w:bCs/>
          <w:noProof/>
          <w:color w:val="000000"/>
          <w:sz w:val="18"/>
          <w:szCs w:val="18"/>
          <w:lang w:val="es-MX" w:eastAsia="es-MX"/>
        </w:rPr>
        <w:t>Firmas:</w:t>
      </w:r>
    </w:p>
    <w:p w14:paraId="070B2059" w14:textId="77777777" w:rsidR="00DD1F3E" w:rsidRPr="00B74E60" w:rsidRDefault="00DD1F3E" w:rsidP="00DD1F3E">
      <w:pPr>
        <w:spacing w:after="160"/>
        <w:jc w:val="center"/>
        <w:rPr>
          <w:rFonts w:ascii="Gotham" w:eastAsia="Times New Roman" w:hAnsi="Gotham" w:cs="Times New Roman"/>
          <w:noProof/>
          <w:sz w:val="18"/>
          <w:szCs w:val="18"/>
          <w:lang w:val="es-MX" w:eastAsia="es-MX"/>
        </w:rPr>
      </w:pPr>
    </w:p>
    <w:tbl>
      <w:tblPr>
        <w:tblpPr w:leftFromText="141" w:rightFromText="141" w:vertAnchor="text" w:horzAnchor="margin" w:tblpXSpec="center" w:tblpY="59"/>
        <w:tblW w:w="11445" w:type="dxa"/>
        <w:tblCellMar>
          <w:top w:w="15" w:type="dxa"/>
          <w:left w:w="15" w:type="dxa"/>
          <w:bottom w:w="15" w:type="dxa"/>
          <w:right w:w="15" w:type="dxa"/>
        </w:tblCellMar>
        <w:tblLook w:val="04A0" w:firstRow="1" w:lastRow="0" w:firstColumn="1" w:lastColumn="0" w:noHBand="0" w:noVBand="1"/>
      </w:tblPr>
      <w:tblGrid>
        <w:gridCol w:w="3686"/>
        <w:gridCol w:w="4010"/>
        <w:gridCol w:w="4010"/>
      </w:tblGrid>
      <w:tr w:rsidR="00DD1F3E" w:rsidRPr="001302C3" w14:paraId="4DD024A9" w14:textId="77777777" w:rsidTr="0023046A">
        <w:trPr>
          <w:trHeight w:val="816"/>
        </w:trPr>
        <w:tc>
          <w:tcPr>
            <w:tcW w:w="0" w:type="auto"/>
            <w:tcMar>
              <w:top w:w="0" w:type="dxa"/>
              <w:left w:w="115" w:type="dxa"/>
              <w:bottom w:w="0" w:type="dxa"/>
              <w:right w:w="115" w:type="dxa"/>
            </w:tcMar>
            <w:hideMark/>
          </w:tcPr>
          <w:p w14:paraId="50E4986C" w14:textId="77777777" w:rsidR="00DD1F3E" w:rsidRPr="00B74E60" w:rsidRDefault="00DD1F3E" w:rsidP="0023046A">
            <w:pPr>
              <w:rPr>
                <w:rFonts w:ascii="Gotham" w:eastAsia="Times New Roman" w:hAnsi="Gotham" w:cs="Times New Roman"/>
                <w:noProof/>
                <w:sz w:val="18"/>
                <w:szCs w:val="18"/>
                <w:lang w:val="es-MX" w:eastAsia="es-MX"/>
              </w:rPr>
            </w:pPr>
          </w:p>
          <w:p w14:paraId="6CB859DF" w14:textId="77777777" w:rsidR="00DD1F3E" w:rsidRPr="00B74E60" w:rsidRDefault="00DD1F3E" w:rsidP="0023046A">
            <w:pPr>
              <w:jc w:val="both"/>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w:t>
            </w:r>
          </w:p>
          <w:p w14:paraId="775CBCC4"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M.A.P. Antonio Hernández Tenorio</w:t>
            </w:r>
          </w:p>
          <w:p w14:paraId="3BC295AD"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Subdirector de Finanzas</w:t>
            </w:r>
          </w:p>
        </w:tc>
        <w:tc>
          <w:tcPr>
            <w:tcW w:w="0" w:type="auto"/>
            <w:tcMar>
              <w:top w:w="0" w:type="dxa"/>
              <w:left w:w="115" w:type="dxa"/>
              <w:bottom w:w="0" w:type="dxa"/>
              <w:right w:w="115" w:type="dxa"/>
            </w:tcMar>
            <w:hideMark/>
          </w:tcPr>
          <w:p w14:paraId="32F4EC09" w14:textId="77777777" w:rsidR="00DD1F3E" w:rsidRPr="00B74E60" w:rsidRDefault="00DD1F3E" w:rsidP="0023046A">
            <w:pPr>
              <w:rPr>
                <w:rFonts w:ascii="Gotham" w:eastAsia="Times New Roman" w:hAnsi="Gotham" w:cs="Times New Roman"/>
                <w:noProof/>
                <w:sz w:val="18"/>
                <w:szCs w:val="18"/>
                <w:lang w:val="es-MX" w:eastAsia="es-MX"/>
              </w:rPr>
            </w:pPr>
          </w:p>
          <w:p w14:paraId="790FD51B"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___________________________________</w:t>
            </w:r>
          </w:p>
          <w:p w14:paraId="6F6F63B8"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L.A.E. Raúl Napoleón Lazcano Martínez</w:t>
            </w:r>
          </w:p>
          <w:p w14:paraId="1F516DE0"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Director de Administración y Finanzas</w:t>
            </w:r>
          </w:p>
        </w:tc>
        <w:tc>
          <w:tcPr>
            <w:tcW w:w="0" w:type="auto"/>
            <w:tcMar>
              <w:top w:w="0" w:type="dxa"/>
              <w:left w:w="115" w:type="dxa"/>
              <w:bottom w:w="0" w:type="dxa"/>
              <w:right w:w="115" w:type="dxa"/>
            </w:tcMar>
            <w:hideMark/>
          </w:tcPr>
          <w:p w14:paraId="11F0F0BC" w14:textId="77777777" w:rsidR="00DD1F3E" w:rsidRPr="00B74E60" w:rsidRDefault="00DD1F3E" w:rsidP="0023046A">
            <w:pPr>
              <w:rPr>
                <w:rFonts w:ascii="Gotham" w:eastAsia="Times New Roman" w:hAnsi="Gotham" w:cs="Times New Roman"/>
                <w:noProof/>
                <w:sz w:val="18"/>
                <w:szCs w:val="18"/>
                <w:lang w:val="es-MX" w:eastAsia="es-MX"/>
              </w:rPr>
            </w:pPr>
          </w:p>
          <w:p w14:paraId="63502546"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___________________________________</w:t>
            </w:r>
          </w:p>
          <w:p w14:paraId="14B2EB7D" w14:textId="77777777" w:rsidR="00DD1F3E" w:rsidRPr="00B74E60"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noProof/>
                <w:color w:val="000000"/>
                <w:sz w:val="18"/>
                <w:szCs w:val="18"/>
                <w:lang w:val="es-MX" w:eastAsia="es-MX"/>
              </w:rPr>
              <w:t>L. en D. Christian Gerardo Gasca Droppert</w:t>
            </w:r>
          </w:p>
          <w:p w14:paraId="2F00D3F5" w14:textId="77777777" w:rsidR="00DD1F3E" w:rsidRPr="001302C3" w:rsidRDefault="00DD1F3E" w:rsidP="0023046A">
            <w:pPr>
              <w:jc w:val="center"/>
              <w:rPr>
                <w:rFonts w:ascii="Gotham" w:eastAsia="Times New Roman" w:hAnsi="Gotham" w:cs="Times New Roman"/>
                <w:noProof/>
                <w:sz w:val="18"/>
                <w:szCs w:val="18"/>
                <w:lang w:val="es-MX" w:eastAsia="es-MX"/>
              </w:rPr>
            </w:pPr>
            <w:r w:rsidRPr="00B74E60">
              <w:rPr>
                <w:rFonts w:ascii="Gotham" w:eastAsia="Times New Roman" w:hAnsi="Gotham" w:cs="Times New Roman"/>
                <w:b/>
                <w:bCs/>
                <w:noProof/>
                <w:color w:val="000000"/>
                <w:sz w:val="18"/>
                <w:szCs w:val="18"/>
                <w:lang w:val="es-MX" w:eastAsia="es-MX"/>
              </w:rPr>
              <w:t>Director General del IFREM</w:t>
            </w:r>
          </w:p>
        </w:tc>
      </w:tr>
    </w:tbl>
    <w:p w14:paraId="451B4C3F" w14:textId="77777777" w:rsidR="00DD1F3E" w:rsidRPr="001302C3" w:rsidRDefault="00DD1F3E" w:rsidP="00A32820">
      <w:pPr>
        <w:rPr>
          <w:rFonts w:ascii="Gotham" w:hAnsi="Gotham"/>
          <w:noProof/>
          <w:sz w:val="18"/>
          <w:szCs w:val="18"/>
          <w:lang w:val="es-MX"/>
        </w:rPr>
      </w:pPr>
    </w:p>
    <w:sectPr w:rsidR="00DD1F3E" w:rsidRPr="001302C3" w:rsidSect="00D13ED8">
      <w:headerReference w:type="default" r:id="rId34"/>
      <w:footerReference w:type="default" r:id="rId35"/>
      <w:pgSz w:w="12240" w:h="15840"/>
      <w:pgMar w:top="2552" w:right="1134" w:bottom="1701" w:left="1134" w:header="1134" w:footer="17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06CC" w14:textId="77777777" w:rsidR="00D13ED8" w:rsidRDefault="00D13ED8">
      <w:r>
        <w:separator/>
      </w:r>
    </w:p>
  </w:endnote>
  <w:endnote w:type="continuationSeparator" w:id="0">
    <w:p w14:paraId="3AFD4828" w14:textId="77777777" w:rsidR="00D13ED8" w:rsidRDefault="00D1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 w:name="HelveticaNeueLT Std Lt">
    <w:panose1 w:val="00000000000000000000"/>
    <w:charset w:val="00"/>
    <w:family w:val="swiss"/>
    <w:notTrueType/>
    <w:pitch w:val="variable"/>
    <w:sig w:usb0="800000AF" w:usb1="4000204A" w:usb2="00000000" w:usb3="00000000" w:csb0="00000001" w:csb1="00000000"/>
  </w:font>
  <w:font w:name="Montserrat ExtraBold">
    <w:altName w:val="Montserrat ExtraBold"/>
    <w:panose1 w:val="000000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37518"/>
      <w:docPartObj>
        <w:docPartGallery w:val="Page Numbers (Bottom of Page)"/>
        <w:docPartUnique/>
      </w:docPartObj>
    </w:sdtPr>
    <w:sdtContent>
      <w:p w14:paraId="32B312FD" w14:textId="21E7D292" w:rsidR="0023046A" w:rsidRDefault="0023046A">
        <w:pPr>
          <w:pStyle w:val="Piedepgina"/>
          <w:jc w:val="center"/>
        </w:pPr>
        <w:r>
          <w:fldChar w:fldCharType="begin"/>
        </w:r>
        <w:r>
          <w:instrText>PAGE   \* MERGEFORMAT</w:instrText>
        </w:r>
        <w:r>
          <w:fldChar w:fldCharType="separate"/>
        </w:r>
        <w:r w:rsidR="00A32820" w:rsidRPr="00A32820">
          <w:rPr>
            <w:noProof/>
            <w:lang w:val="es-ES"/>
          </w:rPr>
          <w:t>26</w:t>
        </w:r>
        <w:r>
          <w:fldChar w:fldCharType="end"/>
        </w:r>
        <w:r>
          <w:t>/2</w:t>
        </w:r>
        <w:r w:rsidR="00335B53">
          <w:t>8</w:t>
        </w:r>
      </w:p>
    </w:sdtContent>
  </w:sdt>
  <w:p w14:paraId="0F2F6A12" w14:textId="77777777" w:rsidR="0023046A" w:rsidRDefault="0023046A">
    <w:pPr>
      <w:pBdr>
        <w:top w:val="nil"/>
        <w:left w:val="nil"/>
        <w:bottom w:val="nil"/>
        <w:right w:val="nil"/>
        <w:between w:val="nil"/>
      </w:pBdr>
      <w:tabs>
        <w:tab w:val="center" w:pos="4419"/>
        <w:tab w:val="right" w:pos="8838"/>
      </w:tabs>
      <w:spacing w:line="288" w:lineRule="auto"/>
      <w:jc w:val="center"/>
      <w:rPr>
        <w:rFonts w:ascii="Montserrat SemiBold" w:eastAsia="Montserrat SemiBold" w:hAnsi="Montserrat SemiBold" w:cs="Montserrat SemiBold"/>
        <w:b/>
        <w:color w:val="C39852"/>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4968" w14:textId="77777777" w:rsidR="00D13ED8" w:rsidRDefault="00D13ED8">
      <w:r>
        <w:separator/>
      </w:r>
    </w:p>
  </w:footnote>
  <w:footnote w:type="continuationSeparator" w:id="0">
    <w:p w14:paraId="32306A8B" w14:textId="77777777" w:rsidR="00D13ED8" w:rsidRDefault="00D1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0AE" w14:textId="26F68DA0" w:rsidR="0023046A" w:rsidRDefault="0023046A" w:rsidP="001A15EE">
    <w:pPr>
      <w:rPr>
        <w:noProof/>
        <w:lang w:val="es-MX" w:eastAsia="es-MX"/>
      </w:rPr>
    </w:pPr>
    <w:r>
      <w:rPr>
        <w:noProof/>
        <w:lang w:val="es-MX" w:eastAsia="es-MX"/>
      </w:rPr>
      <w:drawing>
        <wp:anchor distT="0" distB="0" distL="0" distR="0" simplePos="0" relativeHeight="251658240" behindDoc="1" locked="0" layoutInCell="1" hidden="0" allowOverlap="1" wp14:anchorId="220122BB" wp14:editId="28FAB088">
          <wp:simplePos x="0" y="0"/>
          <wp:positionH relativeFrom="column">
            <wp:posOffset>-729615</wp:posOffset>
          </wp:positionH>
          <wp:positionV relativeFrom="page">
            <wp:posOffset>0</wp:posOffset>
          </wp:positionV>
          <wp:extent cx="7781290" cy="10070465"/>
          <wp:effectExtent l="0" t="0" r="0" b="6985"/>
          <wp:wrapNone/>
          <wp:docPr id="1835221966" name="image2.png"/>
          <wp:cNvGraphicFramePr/>
          <a:graphic xmlns:a="http://schemas.openxmlformats.org/drawingml/2006/main">
            <a:graphicData uri="http://schemas.openxmlformats.org/drawingml/2006/picture">
              <pic:pic xmlns:pic="http://schemas.openxmlformats.org/drawingml/2006/picture">
                <pic:nvPicPr>
                  <pic:cNvPr id="83935392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81290" cy="10070465"/>
                  </a:xfrm>
                  <a:prstGeom prst="rect">
                    <a:avLst/>
                  </a:prstGeom>
                  <a:ln/>
                </pic:spPr>
              </pic:pic>
            </a:graphicData>
          </a:graphic>
          <wp14:sizeRelH relativeFrom="margin">
            <wp14:pctWidth>0</wp14:pctWidth>
          </wp14:sizeRelH>
          <wp14:sizeRelV relativeFrom="margin">
            <wp14:pctHeight>0</wp14:pctHeight>
          </wp14:sizeRelV>
        </wp:anchor>
      </w:drawing>
    </w:r>
  </w:p>
  <w:p w14:paraId="3DFA3515" w14:textId="77777777" w:rsidR="0023046A" w:rsidRDefault="0023046A" w:rsidP="001A15EE">
    <w:pPr>
      <w:rPr>
        <w:noProof/>
        <w:lang w:val="es-MX" w:eastAsia="es-MX"/>
      </w:rPr>
    </w:pPr>
  </w:p>
  <w:p w14:paraId="3C2C5AFA" w14:textId="77777777" w:rsidR="0023046A" w:rsidRDefault="0023046A" w:rsidP="001A15EE">
    <w:pPr>
      <w:rPr>
        <w:noProof/>
        <w:lang w:val="es-MX" w:eastAsia="es-MX"/>
      </w:rPr>
    </w:pPr>
  </w:p>
  <w:p w14:paraId="13FA0874" w14:textId="77777777" w:rsidR="0023046A" w:rsidRDefault="0023046A" w:rsidP="001A15EE">
    <w:pPr>
      <w:rPr>
        <w:noProof/>
        <w:lang w:val="es-MX" w:eastAsia="es-MX"/>
      </w:rPr>
    </w:pPr>
  </w:p>
  <w:p w14:paraId="2D7F1004" w14:textId="77777777" w:rsidR="0023046A" w:rsidRDefault="0023046A" w:rsidP="001A15EE">
    <w:pPr>
      <w:rPr>
        <w:noProof/>
        <w:lang w:val="es-MX" w:eastAsia="es-MX"/>
      </w:rPr>
    </w:pPr>
  </w:p>
  <w:p w14:paraId="1B5F0B4A" w14:textId="77843BC9" w:rsidR="0023046A" w:rsidRPr="001A15EE" w:rsidRDefault="0023046A" w:rsidP="001A15EE">
    <w:pPr>
      <w:rPr>
        <w:rFonts w:ascii="Montserrat ExtraBold" w:eastAsia="Montserrat ExtraBold" w:hAnsi="Montserrat ExtraBold" w:cs="Montserrat ExtraBold"/>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7FE"/>
    <w:multiLevelType w:val="multilevel"/>
    <w:tmpl w:val="A4CA6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E610A"/>
    <w:multiLevelType w:val="multilevel"/>
    <w:tmpl w:val="F202F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F1B"/>
    <w:multiLevelType w:val="multilevel"/>
    <w:tmpl w:val="24B48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8355D"/>
    <w:multiLevelType w:val="hybridMultilevel"/>
    <w:tmpl w:val="C92899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86F04"/>
    <w:multiLevelType w:val="hybridMultilevel"/>
    <w:tmpl w:val="6F6AA640"/>
    <w:lvl w:ilvl="0" w:tplc="6CBCF408">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B0D12"/>
    <w:multiLevelType w:val="multilevel"/>
    <w:tmpl w:val="45D20D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34E74"/>
    <w:multiLevelType w:val="multilevel"/>
    <w:tmpl w:val="08E20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93A8E"/>
    <w:multiLevelType w:val="multilevel"/>
    <w:tmpl w:val="49A2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E7C0B"/>
    <w:multiLevelType w:val="multilevel"/>
    <w:tmpl w:val="F5BE3916"/>
    <w:lvl w:ilvl="0">
      <w:start w:val="1"/>
      <w:numFmt w:val="upperRoman"/>
      <w:lvlText w:val="%1."/>
      <w:lvlJc w:val="right"/>
      <w:pPr>
        <w:ind w:left="786" w:hanging="360"/>
      </w:pPr>
      <w:rPr>
        <w:b/>
      </w:rPr>
    </w:lvl>
    <w:lvl w:ilvl="1">
      <w:start w:val="1"/>
      <w:numFmt w:val="lowerLetter"/>
      <w:lvlText w:val="%2)"/>
      <w:lvlJc w:val="left"/>
      <w:pPr>
        <w:ind w:left="-336" w:hanging="360"/>
      </w:pPr>
    </w:lvl>
    <w:lvl w:ilvl="2">
      <w:start w:val="1"/>
      <w:numFmt w:val="lowerRoman"/>
      <w:lvlText w:val="%3)"/>
      <w:lvlJc w:val="left"/>
      <w:pPr>
        <w:ind w:left="24" w:hanging="360"/>
      </w:pPr>
    </w:lvl>
    <w:lvl w:ilvl="3">
      <w:start w:val="1"/>
      <w:numFmt w:val="decimal"/>
      <w:lvlText w:val="(%4)"/>
      <w:lvlJc w:val="left"/>
      <w:pPr>
        <w:ind w:left="384" w:hanging="360"/>
      </w:pPr>
    </w:lvl>
    <w:lvl w:ilvl="4">
      <w:start w:val="1"/>
      <w:numFmt w:val="lowerLetter"/>
      <w:lvlText w:val="(%5)"/>
      <w:lvlJc w:val="left"/>
      <w:pPr>
        <w:ind w:left="744" w:hanging="360"/>
      </w:pPr>
    </w:lvl>
    <w:lvl w:ilvl="5">
      <w:start w:val="1"/>
      <w:numFmt w:val="lowerRoman"/>
      <w:lvlText w:val="(%6)"/>
      <w:lvlJc w:val="left"/>
      <w:pPr>
        <w:ind w:left="1104" w:hanging="360"/>
      </w:pPr>
    </w:lvl>
    <w:lvl w:ilvl="6">
      <w:start w:val="1"/>
      <w:numFmt w:val="decimal"/>
      <w:lvlText w:val="%7."/>
      <w:lvlJc w:val="left"/>
      <w:pPr>
        <w:ind w:left="1464" w:hanging="360"/>
      </w:pPr>
    </w:lvl>
    <w:lvl w:ilvl="7">
      <w:start w:val="1"/>
      <w:numFmt w:val="lowerLetter"/>
      <w:lvlText w:val="%8."/>
      <w:lvlJc w:val="left"/>
      <w:pPr>
        <w:ind w:left="1824" w:hanging="360"/>
      </w:pPr>
    </w:lvl>
    <w:lvl w:ilvl="8">
      <w:start w:val="1"/>
      <w:numFmt w:val="lowerRoman"/>
      <w:lvlText w:val="%9."/>
      <w:lvlJc w:val="left"/>
      <w:pPr>
        <w:ind w:left="2184" w:hanging="360"/>
      </w:pPr>
    </w:lvl>
  </w:abstractNum>
  <w:abstractNum w:abstractNumId="9" w15:restartNumberingAfterBreak="0">
    <w:nsid w:val="27732AE0"/>
    <w:multiLevelType w:val="multilevel"/>
    <w:tmpl w:val="3C9C85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47E25"/>
    <w:multiLevelType w:val="multilevel"/>
    <w:tmpl w:val="5E623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8D6AC0"/>
    <w:multiLevelType w:val="multilevel"/>
    <w:tmpl w:val="3224FB40"/>
    <w:lvl w:ilvl="0">
      <w:start w:val="1"/>
      <w:numFmt w:val="decimal"/>
      <w:lvlText w:val="%1."/>
      <w:lvlJc w:val="left"/>
      <w:pPr>
        <w:tabs>
          <w:tab w:val="num" w:pos="644"/>
        </w:tabs>
        <w:ind w:left="644" w:hanging="360"/>
      </w:pPr>
      <w:rPr>
        <w:b/>
        <w:color w:val="auto"/>
      </w:r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15165"/>
    <w:multiLevelType w:val="multilevel"/>
    <w:tmpl w:val="89E248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052CD"/>
    <w:multiLevelType w:val="multilevel"/>
    <w:tmpl w:val="891EA7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76122"/>
    <w:multiLevelType w:val="multilevel"/>
    <w:tmpl w:val="6158D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5738D"/>
    <w:multiLevelType w:val="hybridMultilevel"/>
    <w:tmpl w:val="B6B83BEC"/>
    <w:lvl w:ilvl="0" w:tplc="080A0017">
      <w:start w:val="1"/>
      <w:numFmt w:val="lowerLetter"/>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ED542C"/>
    <w:multiLevelType w:val="multilevel"/>
    <w:tmpl w:val="B97093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DB1F10"/>
    <w:multiLevelType w:val="multilevel"/>
    <w:tmpl w:val="B480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095056"/>
    <w:multiLevelType w:val="multilevel"/>
    <w:tmpl w:val="7114B010"/>
    <w:lvl w:ilvl="0">
      <w:start w:val="9"/>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54946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1879566">
    <w:abstractNumId w:val="11"/>
  </w:num>
  <w:num w:numId="3" w16cid:durableId="237904868">
    <w:abstractNumId w:val="0"/>
  </w:num>
  <w:num w:numId="4" w16cid:durableId="1149249546">
    <w:abstractNumId w:val="10"/>
    <w:lvlOverride w:ilvl="0">
      <w:lvl w:ilvl="0">
        <w:numFmt w:val="decimal"/>
        <w:lvlText w:val="%1."/>
        <w:lvlJc w:val="left"/>
      </w:lvl>
    </w:lvlOverride>
  </w:num>
  <w:num w:numId="5" w16cid:durableId="1102535989">
    <w:abstractNumId w:val="17"/>
    <w:lvlOverride w:ilvl="0">
      <w:lvl w:ilvl="0">
        <w:numFmt w:val="decimal"/>
        <w:lvlText w:val="%1."/>
        <w:lvlJc w:val="left"/>
      </w:lvl>
    </w:lvlOverride>
  </w:num>
  <w:num w:numId="6" w16cid:durableId="1972126208">
    <w:abstractNumId w:val="1"/>
    <w:lvlOverride w:ilvl="0">
      <w:lvl w:ilvl="0">
        <w:numFmt w:val="decimal"/>
        <w:lvlText w:val="%1."/>
        <w:lvlJc w:val="left"/>
      </w:lvl>
    </w:lvlOverride>
  </w:num>
  <w:num w:numId="7" w16cid:durableId="1444225032">
    <w:abstractNumId w:val="14"/>
    <w:lvlOverride w:ilvl="0">
      <w:lvl w:ilvl="0">
        <w:numFmt w:val="decimal"/>
        <w:lvlText w:val="%1."/>
        <w:lvlJc w:val="left"/>
      </w:lvl>
    </w:lvlOverride>
  </w:num>
  <w:num w:numId="8" w16cid:durableId="1924141538">
    <w:abstractNumId w:val="16"/>
    <w:lvlOverride w:ilvl="0">
      <w:lvl w:ilvl="0">
        <w:numFmt w:val="decimal"/>
        <w:lvlText w:val="%1."/>
        <w:lvlJc w:val="left"/>
      </w:lvl>
    </w:lvlOverride>
  </w:num>
  <w:num w:numId="9" w16cid:durableId="1441296579">
    <w:abstractNumId w:val="6"/>
    <w:lvlOverride w:ilvl="0">
      <w:lvl w:ilvl="0">
        <w:numFmt w:val="decimal"/>
        <w:lvlText w:val="%1."/>
        <w:lvlJc w:val="left"/>
      </w:lvl>
    </w:lvlOverride>
  </w:num>
  <w:num w:numId="10" w16cid:durableId="155073564">
    <w:abstractNumId w:val="13"/>
    <w:lvlOverride w:ilvl="0">
      <w:lvl w:ilvl="0">
        <w:numFmt w:val="decimal"/>
        <w:lvlText w:val="%1."/>
        <w:lvlJc w:val="left"/>
      </w:lvl>
    </w:lvlOverride>
  </w:num>
  <w:num w:numId="11" w16cid:durableId="1353266629">
    <w:abstractNumId w:val="18"/>
    <w:lvlOverride w:ilvl="0">
      <w:lvl w:ilvl="0">
        <w:numFmt w:val="decimal"/>
        <w:lvlText w:val="%1."/>
        <w:lvlJc w:val="left"/>
      </w:lvl>
    </w:lvlOverride>
  </w:num>
  <w:num w:numId="12" w16cid:durableId="581991835">
    <w:abstractNumId w:val="2"/>
    <w:lvlOverride w:ilvl="0">
      <w:lvl w:ilvl="0">
        <w:numFmt w:val="decimal"/>
        <w:lvlText w:val="%1."/>
        <w:lvlJc w:val="left"/>
      </w:lvl>
    </w:lvlOverride>
  </w:num>
  <w:num w:numId="13" w16cid:durableId="849872739">
    <w:abstractNumId w:val="5"/>
    <w:lvlOverride w:ilvl="0">
      <w:lvl w:ilvl="0">
        <w:numFmt w:val="decimal"/>
        <w:lvlText w:val="%1."/>
        <w:lvlJc w:val="left"/>
      </w:lvl>
    </w:lvlOverride>
  </w:num>
  <w:num w:numId="14" w16cid:durableId="2126994672">
    <w:abstractNumId w:val="7"/>
    <w:lvlOverride w:ilvl="0">
      <w:lvl w:ilvl="0">
        <w:numFmt w:val="decimal"/>
        <w:lvlText w:val="%1."/>
        <w:lvlJc w:val="left"/>
      </w:lvl>
    </w:lvlOverride>
  </w:num>
  <w:num w:numId="15" w16cid:durableId="1448810107">
    <w:abstractNumId w:val="9"/>
    <w:lvlOverride w:ilvl="0">
      <w:lvl w:ilvl="0">
        <w:numFmt w:val="decimal"/>
        <w:lvlText w:val="%1."/>
        <w:lvlJc w:val="left"/>
      </w:lvl>
    </w:lvlOverride>
  </w:num>
  <w:num w:numId="16" w16cid:durableId="204173133">
    <w:abstractNumId w:val="12"/>
    <w:lvlOverride w:ilvl="0">
      <w:lvl w:ilvl="0">
        <w:numFmt w:val="decimal"/>
        <w:lvlText w:val="%1."/>
        <w:lvlJc w:val="left"/>
      </w:lvl>
    </w:lvlOverride>
  </w:num>
  <w:num w:numId="17" w16cid:durableId="1240478512">
    <w:abstractNumId w:val="3"/>
  </w:num>
  <w:num w:numId="18" w16cid:durableId="178086074">
    <w:abstractNumId w:val="15"/>
  </w:num>
  <w:num w:numId="19" w16cid:durableId="1373921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C4"/>
    <w:rsid w:val="00042DCF"/>
    <w:rsid w:val="000528A9"/>
    <w:rsid w:val="00053388"/>
    <w:rsid w:val="00061BCE"/>
    <w:rsid w:val="000670B5"/>
    <w:rsid w:val="000C2C4E"/>
    <w:rsid w:val="000D6F76"/>
    <w:rsid w:val="00115A82"/>
    <w:rsid w:val="001302C3"/>
    <w:rsid w:val="001357AB"/>
    <w:rsid w:val="00152E7E"/>
    <w:rsid w:val="001807D3"/>
    <w:rsid w:val="00181169"/>
    <w:rsid w:val="00181AF5"/>
    <w:rsid w:val="001829F8"/>
    <w:rsid w:val="001A15EE"/>
    <w:rsid w:val="001A3D5C"/>
    <w:rsid w:val="001A6728"/>
    <w:rsid w:val="001E0F41"/>
    <w:rsid w:val="001E71E8"/>
    <w:rsid w:val="0023046A"/>
    <w:rsid w:val="00262D20"/>
    <w:rsid w:val="00327872"/>
    <w:rsid w:val="00335B53"/>
    <w:rsid w:val="00354848"/>
    <w:rsid w:val="00411B0C"/>
    <w:rsid w:val="00417FBA"/>
    <w:rsid w:val="00436338"/>
    <w:rsid w:val="00443DE0"/>
    <w:rsid w:val="00453397"/>
    <w:rsid w:val="00456013"/>
    <w:rsid w:val="00484664"/>
    <w:rsid w:val="00490160"/>
    <w:rsid w:val="004C049A"/>
    <w:rsid w:val="004F54B3"/>
    <w:rsid w:val="004F5A99"/>
    <w:rsid w:val="00555929"/>
    <w:rsid w:val="005851FD"/>
    <w:rsid w:val="005A1CDC"/>
    <w:rsid w:val="005A7849"/>
    <w:rsid w:val="00603772"/>
    <w:rsid w:val="00626D09"/>
    <w:rsid w:val="00635529"/>
    <w:rsid w:val="00651294"/>
    <w:rsid w:val="00651D0C"/>
    <w:rsid w:val="006952CA"/>
    <w:rsid w:val="006B2371"/>
    <w:rsid w:val="006D4691"/>
    <w:rsid w:val="006E5E7A"/>
    <w:rsid w:val="007006C7"/>
    <w:rsid w:val="007007E3"/>
    <w:rsid w:val="00720846"/>
    <w:rsid w:val="00793A1F"/>
    <w:rsid w:val="007A36D7"/>
    <w:rsid w:val="0085201B"/>
    <w:rsid w:val="0086142A"/>
    <w:rsid w:val="00862FB0"/>
    <w:rsid w:val="008D0FC4"/>
    <w:rsid w:val="008D2BAD"/>
    <w:rsid w:val="00905512"/>
    <w:rsid w:val="009A1B73"/>
    <w:rsid w:val="009A1CC1"/>
    <w:rsid w:val="009B0380"/>
    <w:rsid w:val="00A11E63"/>
    <w:rsid w:val="00A12D73"/>
    <w:rsid w:val="00A23E84"/>
    <w:rsid w:val="00A32820"/>
    <w:rsid w:val="00A6688A"/>
    <w:rsid w:val="00A84A88"/>
    <w:rsid w:val="00AC31CE"/>
    <w:rsid w:val="00AE44CF"/>
    <w:rsid w:val="00B02BC5"/>
    <w:rsid w:val="00B27C14"/>
    <w:rsid w:val="00B43813"/>
    <w:rsid w:val="00B70C26"/>
    <w:rsid w:val="00B74E60"/>
    <w:rsid w:val="00B779E4"/>
    <w:rsid w:val="00B90498"/>
    <w:rsid w:val="00BD1E8C"/>
    <w:rsid w:val="00BF3DA3"/>
    <w:rsid w:val="00C02D8D"/>
    <w:rsid w:val="00C53C75"/>
    <w:rsid w:val="00C60F3C"/>
    <w:rsid w:val="00CB51D4"/>
    <w:rsid w:val="00CB791A"/>
    <w:rsid w:val="00D13ED8"/>
    <w:rsid w:val="00D524EF"/>
    <w:rsid w:val="00D92AD3"/>
    <w:rsid w:val="00DD0175"/>
    <w:rsid w:val="00DD1F3E"/>
    <w:rsid w:val="00E12E3A"/>
    <w:rsid w:val="00E20474"/>
    <w:rsid w:val="00E3641A"/>
    <w:rsid w:val="00E515DF"/>
    <w:rsid w:val="00E64D62"/>
    <w:rsid w:val="00E65C8E"/>
    <w:rsid w:val="00EC6535"/>
    <w:rsid w:val="00EF79CB"/>
    <w:rsid w:val="00F04D92"/>
    <w:rsid w:val="00F14746"/>
    <w:rsid w:val="00F862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67E13"/>
  <w15:docId w15:val="{5A86206A-D61A-E442-8D1B-25FB987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1F3E"/>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hyperlink" Target="https://www.bmv.com.mx/docs-pub/eventoca/eventoca_1307933_2.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frem.edomex.gob.mx/organigrama" TargetMode="External"/><Relationship Id="rId32" Type="http://schemas.openxmlformats.org/officeDocument/2006/relationships/hyperlink" Target="https://www.fitchratings.com/research/es/international-public-finance/fitch-affirms-ifrems-nltr-loans-at-aaa-mex-vra-16-08-202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xPQB3l45pVGIi1XcdhMhBSiA7A==">CgMxLjA4AHIhMS1NSzlWenJoZUdORzhGakJiSzlYdkhNZnMyd2trQ0lt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9664</Words>
  <Characters>53152</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Andrés Silva Páez</dc:creator>
  <cp:lastModifiedBy>CONTABILIDAD</cp:lastModifiedBy>
  <cp:revision>19</cp:revision>
  <cp:lastPrinted>2024-01-22T17:11:00Z</cp:lastPrinted>
  <dcterms:created xsi:type="dcterms:W3CDTF">2024-01-22T15:17:00Z</dcterms:created>
  <dcterms:modified xsi:type="dcterms:W3CDTF">2024-01-23T00:11:00Z</dcterms:modified>
</cp:coreProperties>
</file>