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D9D4" w14:textId="07A7A5E0" w:rsidR="006809B1" w:rsidRPr="00683965" w:rsidRDefault="008447BC" w:rsidP="006809B1">
      <w:pPr>
        <w:spacing w:after="101" w:line="276" w:lineRule="auto"/>
        <w:ind w:right="-1"/>
        <w:jc w:val="center"/>
        <w:rPr>
          <w:rFonts w:ascii="Gotham" w:eastAsia="Times New Roman" w:hAnsi="Gotham" w:cs="Arial"/>
          <w:b/>
          <w:sz w:val="18"/>
          <w:szCs w:val="18"/>
          <w:lang w:eastAsia="es-ES"/>
        </w:rPr>
      </w:pPr>
      <w:bookmarkStart w:id="0" w:name="_Hlk99539704"/>
      <w:r w:rsidRPr="00683965">
        <w:rPr>
          <w:rFonts w:ascii="Gotham" w:eastAsia="Times New Roman" w:hAnsi="Gotham" w:cs="Arial"/>
          <w:b/>
          <w:sz w:val="18"/>
          <w:szCs w:val="18"/>
          <w:lang w:eastAsia="es-ES"/>
        </w:rPr>
        <w:t>N</w:t>
      </w:r>
      <w:r w:rsidR="006809B1" w:rsidRPr="00683965">
        <w:rPr>
          <w:rFonts w:ascii="Gotham" w:eastAsia="Times New Roman" w:hAnsi="Gotham" w:cs="Arial"/>
          <w:b/>
          <w:sz w:val="18"/>
          <w:szCs w:val="18"/>
          <w:lang w:eastAsia="es-ES"/>
        </w:rPr>
        <w:t>OTAS A LOS ESTADOS FINANCIEROS</w:t>
      </w:r>
    </w:p>
    <w:p w14:paraId="3DCD6565" w14:textId="77777777" w:rsidR="006809B1" w:rsidRPr="00683965" w:rsidRDefault="006809B1" w:rsidP="006809B1">
      <w:pPr>
        <w:spacing w:line="276" w:lineRule="auto"/>
        <w:ind w:right="-1"/>
        <w:jc w:val="center"/>
        <w:outlineLvl w:val="0"/>
        <w:rPr>
          <w:rFonts w:ascii="Gotham" w:hAnsi="Gotham" w:cs="Times New Roman"/>
          <w:sz w:val="18"/>
          <w:szCs w:val="18"/>
          <w:lang w:eastAsia="en-US"/>
        </w:rPr>
      </w:pPr>
      <w:r w:rsidRPr="00683965">
        <w:rPr>
          <w:rFonts w:ascii="Gotham" w:hAnsi="Gotham" w:cs="Times New Roman"/>
          <w:b/>
          <w:sz w:val="18"/>
          <w:szCs w:val="18"/>
          <w:lang w:eastAsia="en-US"/>
        </w:rPr>
        <w:t xml:space="preserve">Entidad: </w:t>
      </w:r>
      <w:r w:rsidRPr="00683965">
        <w:rPr>
          <w:rFonts w:ascii="Gotham" w:hAnsi="Gotham" w:cs="Times New Roman"/>
          <w:sz w:val="18"/>
          <w:szCs w:val="18"/>
          <w:u w:val="single"/>
          <w:lang w:eastAsia="en-US"/>
        </w:rPr>
        <w:t>Instituto de la Función Registral del Estado de México</w:t>
      </w:r>
      <w:r w:rsidRPr="00683965">
        <w:rPr>
          <w:rFonts w:ascii="Gotham" w:hAnsi="Gotham" w:cs="Times New Roman"/>
          <w:sz w:val="18"/>
          <w:szCs w:val="18"/>
          <w:lang w:eastAsia="en-US"/>
        </w:rPr>
        <w:t xml:space="preserve"> (IFREM).</w:t>
      </w:r>
    </w:p>
    <w:p w14:paraId="0BB7A332" w14:textId="2A7083C7" w:rsidR="006809B1" w:rsidRPr="00683965" w:rsidRDefault="006809B1" w:rsidP="006809B1">
      <w:pPr>
        <w:spacing w:line="276" w:lineRule="auto"/>
        <w:ind w:right="-1"/>
        <w:jc w:val="center"/>
        <w:outlineLvl w:val="0"/>
        <w:rPr>
          <w:rFonts w:ascii="Gotham" w:hAnsi="Gotham" w:cs="Times New Roman"/>
          <w:sz w:val="18"/>
          <w:szCs w:val="18"/>
          <w:u w:val="single"/>
          <w:lang w:eastAsia="en-US"/>
        </w:rPr>
      </w:pPr>
      <w:r w:rsidRPr="00683965">
        <w:rPr>
          <w:rFonts w:ascii="Gotham" w:hAnsi="Gotham" w:cs="Times New Roman"/>
          <w:b/>
          <w:sz w:val="18"/>
          <w:szCs w:val="18"/>
          <w:lang w:eastAsia="en-US"/>
        </w:rPr>
        <w:t>Mes:</w:t>
      </w:r>
      <w:r w:rsidRPr="00683965">
        <w:rPr>
          <w:rFonts w:ascii="Gotham" w:hAnsi="Gotham" w:cs="Times New Roman"/>
          <w:sz w:val="18"/>
          <w:szCs w:val="18"/>
          <w:lang w:eastAsia="en-US"/>
        </w:rPr>
        <w:t xml:space="preserve"> </w:t>
      </w:r>
      <w:r w:rsidRPr="00683965">
        <w:rPr>
          <w:rFonts w:ascii="Gotham" w:hAnsi="Gotham" w:cs="Times New Roman"/>
          <w:sz w:val="18"/>
          <w:szCs w:val="18"/>
          <w:u w:val="single"/>
          <w:lang w:eastAsia="en-US"/>
        </w:rPr>
        <w:t>Septiembre</w:t>
      </w:r>
      <w:r w:rsidRPr="00683965">
        <w:rPr>
          <w:rFonts w:ascii="Gotham" w:hAnsi="Gotham" w:cs="Times New Roman"/>
          <w:sz w:val="18"/>
          <w:szCs w:val="18"/>
          <w:lang w:eastAsia="en-US"/>
        </w:rPr>
        <w:t xml:space="preserve"> </w:t>
      </w:r>
      <w:r w:rsidRPr="00683965">
        <w:rPr>
          <w:rFonts w:ascii="Gotham" w:hAnsi="Gotham" w:cs="Times New Roman"/>
          <w:b/>
          <w:sz w:val="18"/>
          <w:szCs w:val="18"/>
          <w:lang w:eastAsia="en-US"/>
        </w:rPr>
        <w:t>de</w:t>
      </w:r>
      <w:r w:rsidRPr="00683965">
        <w:rPr>
          <w:rFonts w:ascii="Gotham" w:hAnsi="Gotham" w:cs="Times New Roman"/>
          <w:sz w:val="18"/>
          <w:szCs w:val="18"/>
          <w:lang w:eastAsia="en-US"/>
        </w:rPr>
        <w:t xml:space="preserve"> </w:t>
      </w:r>
      <w:r w:rsidRPr="00683965">
        <w:rPr>
          <w:rFonts w:ascii="Gotham" w:hAnsi="Gotham" w:cs="Times New Roman"/>
          <w:sz w:val="18"/>
          <w:szCs w:val="18"/>
          <w:u w:val="single"/>
          <w:lang w:eastAsia="en-US"/>
        </w:rPr>
        <w:t>2023</w:t>
      </w:r>
    </w:p>
    <w:p w14:paraId="397C2FE0" w14:textId="27769728" w:rsidR="002A2984" w:rsidRPr="00683965" w:rsidRDefault="002A2984" w:rsidP="006809B1">
      <w:pPr>
        <w:spacing w:line="276" w:lineRule="auto"/>
        <w:ind w:right="-1"/>
        <w:jc w:val="center"/>
        <w:outlineLvl w:val="0"/>
        <w:rPr>
          <w:rFonts w:ascii="Gotham" w:hAnsi="Gotham" w:cs="Times New Roman"/>
          <w:sz w:val="18"/>
          <w:szCs w:val="18"/>
          <w:u w:val="single"/>
          <w:lang w:eastAsia="en-US"/>
        </w:rPr>
      </w:pPr>
    </w:p>
    <w:p w14:paraId="0B9195A1" w14:textId="77777777" w:rsidR="002A2984" w:rsidRPr="00683965" w:rsidRDefault="002A2984" w:rsidP="006809B1">
      <w:pPr>
        <w:spacing w:line="276" w:lineRule="auto"/>
        <w:ind w:right="-1"/>
        <w:jc w:val="center"/>
        <w:outlineLvl w:val="0"/>
        <w:rPr>
          <w:rFonts w:ascii="Gotham" w:hAnsi="Gotham" w:cs="Times New Roman"/>
          <w:sz w:val="18"/>
          <w:szCs w:val="18"/>
          <w:u w:val="single"/>
          <w:lang w:eastAsia="en-US"/>
        </w:rPr>
      </w:pPr>
    </w:p>
    <w:p w14:paraId="1EFC5DED" w14:textId="77777777" w:rsidR="006809B1" w:rsidRPr="00683965" w:rsidRDefault="006809B1" w:rsidP="006809B1">
      <w:pPr>
        <w:spacing w:line="276" w:lineRule="auto"/>
        <w:ind w:right="-1" w:firstLine="708"/>
        <w:outlineLvl w:val="0"/>
        <w:rPr>
          <w:rFonts w:ascii="Gotham" w:eastAsia="Times New Roman" w:hAnsi="Gotham" w:cs="Arial"/>
          <w:b/>
          <w:sz w:val="18"/>
          <w:szCs w:val="18"/>
        </w:rPr>
      </w:pPr>
      <w:r w:rsidRPr="00683965">
        <w:rPr>
          <w:rFonts w:ascii="Gotham" w:eastAsia="Times New Roman" w:hAnsi="Gotham" w:cs="Arial"/>
          <w:b/>
          <w:sz w:val="18"/>
          <w:szCs w:val="18"/>
        </w:rPr>
        <w:t>a) NOTAS DE DESGLOSE</w:t>
      </w:r>
    </w:p>
    <w:p w14:paraId="52AC1FBE" w14:textId="77777777" w:rsidR="006809B1" w:rsidRPr="00683965" w:rsidRDefault="006809B1" w:rsidP="006809B1">
      <w:pPr>
        <w:numPr>
          <w:ilvl w:val="0"/>
          <w:numId w:val="1"/>
        </w:numPr>
        <w:spacing w:before="240" w:after="240" w:line="276" w:lineRule="auto"/>
        <w:ind w:left="1068" w:right="-1"/>
        <w:contextualSpacing/>
        <w:outlineLvl w:val="0"/>
        <w:rPr>
          <w:rFonts w:ascii="Gotham" w:eastAsia="Times New Roman" w:hAnsi="Gotham" w:cs="Arial"/>
          <w:b/>
          <w:sz w:val="18"/>
          <w:szCs w:val="18"/>
        </w:rPr>
      </w:pPr>
      <w:r w:rsidRPr="00683965">
        <w:rPr>
          <w:rFonts w:ascii="Gotham" w:eastAsia="Times New Roman" w:hAnsi="Gotham" w:cs="Arial"/>
          <w:b/>
          <w:sz w:val="18"/>
          <w:szCs w:val="18"/>
        </w:rPr>
        <w:t>NOTAS AL ESTADO DE SITUACIÓN FINANCIERA</w:t>
      </w:r>
    </w:p>
    <w:p w14:paraId="304AA347" w14:textId="77777777" w:rsidR="006809B1" w:rsidRPr="00683965" w:rsidRDefault="006809B1" w:rsidP="006809B1">
      <w:pPr>
        <w:spacing w:before="240" w:after="240" w:line="276" w:lineRule="auto"/>
        <w:ind w:left="1068" w:right="-1"/>
        <w:contextualSpacing/>
        <w:outlineLvl w:val="0"/>
        <w:rPr>
          <w:rFonts w:ascii="Gotham" w:eastAsia="Times New Roman" w:hAnsi="Gotham" w:cs="Arial"/>
          <w:b/>
          <w:sz w:val="18"/>
          <w:szCs w:val="18"/>
        </w:rPr>
      </w:pPr>
    </w:p>
    <w:p w14:paraId="3A6699CF" w14:textId="77777777" w:rsidR="006809B1" w:rsidRPr="00683965" w:rsidRDefault="006809B1" w:rsidP="006809B1">
      <w:pPr>
        <w:spacing w:before="240" w:after="240" w:line="276" w:lineRule="auto"/>
        <w:ind w:right="-1"/>
        <w:outlineLvl w:val="0"/>
        <w:rPr>
          <w:rFonts w:ascii="Gotham" w:hAnsi="Gotham" w:cs="Arial"/>
          <w:b/>
          <w:sz w:val="18"/>
          <w:szCs w:val="18"/>
          <w:lang w:eastAsia="en-US"/>
        </w:rPr>
      </w:pPr>
      <w:r w:rsidRPr="00683965">
        <w:rPr>
          <w:rFonts w:ascii="Gotham" w:hAnsi="Gotham" w:cs="Arial"/>
          <w:b/>
          <w:sz w:val="18"/>
          <w:szCs w:val="18"/>
          <w:lang w:eastAsia="en-US"/>
        </w:rPr>
        <w:t>Activo Circulante</w:t>
      </w:r>
    </w:p>
    <w:p w14:paraId="0D276AD3" w14:textId="77777777" w:rsidR="006809B1" w:rsidRPr="00683965" w:rsidRDefault="006809B1" w:rsidP="006809B1">
      <w:pPr>
        <w:jc w:val="both"/>
        <w:rPr>
          <w:rFonts w:ascii="Gotham" w:eastAsia="Times New Roman" w:hAnsi="Gotham" w:cs="Times New Roman"/>
          <w:sz w:val="18"/>
          <w:szCs w:val="18"/>
        </w:rPr>
      </w:pPr>
      <w:r w:rsidRPr="00683965">
        <w:rPr>
          <w:rFonts w:ascii="Gotham" w:eastAsia="Times New Roman" w:hAnsi="Gotham" w:cs="Arial"/>
          <w:b/>
          <w:bCs/>
          <w:color w:val="000000"/>
          <w:sz w:val="18"/>
          <w:szCs w:val="18"/>
        </w:rPr>
        <w:t xml:space="preserve">Efectivo y Equivalentes. - </w:t>
      </w:r>
      <w:r w:rsidRPr="00683965">
        <w:rPr>
          <w:rFonts w:ascii="Gotham" w:eastAsia="Times New Roman" w:hAnsi="Gotham" w:cs="Arial"/>
          <w:color w:val="000000"/>
          <w:sz w:val="18"/>
          <w:szCs w:val="18"/>
        </w:rPr>
        <w:t xml:space="preserve">El saldo de </w:t>
      </w:r>
      <w:r w:rsidRPr="00683965">
        <w:rPr>
          <w:rFonts w:ascii="Gotham" w:eastAsia="Times New Roman" w:hAnsi="Gotham" w:cs="Arial"/>
          <w:sz w:val="18"/>
          <w:szCs w:val="18"/>
        </w:rPr>
        <w:t xml:space="preserve">225,244,655.89, </w:t>
      </w:r>
      <w:r w:rsidRPr="00683965">
        <w:rPr>
          <w:rFonts w:ascii="Gotham" w:eastAsia="Times New Roman" w:hAnsi="Gotham" w:cs="Arial"/>
          <w:color w:val="000000"/>
          <w:sz w:val="18"/>
          <w:szCs w:val="18"/>
        </w:rPr>
        <w:t>se integra con las siguientes cuentas:</w:t>
      </w:r>
    </w:p>
    <w:p w14:paraId="3C39E536" w14:textId="77777777" w:rsidR="006809B1" w:rsidRPr="00683965" w:rsidRDefault="006809B1" w:rsidP="006809B1">
      <w:pPr>
        <w:numPr>
          <w:ilvl w:val="0"/>
          <w:numId w:val="3"/>
        </w:numPr>
        <w:tabs>
          <w:tab w:val="num" w:pos="720"/>
        </w:tabs>
        <w:spacing w:after="160"/>
        <w:ind w:left="502"/>
        <w:jc w:val="both"/>
        <w:textAlignment w:val="baseline"/>
        <w:rPr>
          <w:rFonts w:ascii="Gotham" w:eastAsia="Times New Roman" w:hAnsi="Gotham" w:cs="Arial"/>
          <w:b/>
          <w:bCs/>
          <w:color w:val="000000"/>
          <w:sz w:val="18"/>
          <w:szCs w:val="18"/>
        </w:rPr>
      </w:pPr>
      <w:r w:rsidRPr="00683965">
        <w:rPr>
          <w:rFonts w:ascii="Gotham" w:eastAsia="Times New Roman" w:hAnsi="Gotham" w:cs="Arial"/>
          <w:b/>
          <w:bCs/>
          <w:color w:val="000000"/>
          <w:sz w:val="18"/>
          <w:szCs w:val="18"/>
        </w:rPr>
        <w:t xml:space="preserve">Efectivo. - </w:t>
      </w:r>
      <w:r w:rsidRPr="00683965">
        <w:rPr>
          <w:rFonts w:ascii="Gotham" w:eastAsia="Times New Roman" w:hAnsi="Gotham" w:cs="Arial"/>
          <w:color w:val="000000"/>
          <w:sz w:val="18"/>
          <w:szCs w:val="18"/>
        </w:rPr>
        <w:t>El saldo de 33,000.00, es el importe de efectivo disponible para solventar gastos menores y cubrir necesidades urgentes de gasto corriente, que se requieran en las oficinas administrativas de la Dirección General.</w:t>
      </w:r>
    </w:p>
    <w:p w14:paraId="141B2A2D" w14:textId="77777777" w:rsidR="006809B1" w:rsidRPr="00683965" w:rsidRDefault="006809B1" w:rsidP="006809B1">
      <w:pPr>
        <w:numPr>
          <w:ilvl w:val="0"/>
          <w:numId w:val="3"/>
        </w:numPr>
        <w:tabs>
          <w:tab w:val="num" w:pos="720"/>
        </w:tabs>
        <w:spacing w:after="160"/>
        <w:ind w:left="502"/>
        <w:jc w:val="both"/>
        <w:textAlignment w:val="baseline"/>
        <w:rPr>
          <w:rFonts w:ascii="Gotham" w:hAnsi="Gotham" w:cs="Times New Roman"/>
          <w:noProof/>
          <w:sz w:val="18"/>
          <w:szCs w:val="18"/>
        </w:rPr>
      </w:pPr>
      <w:r w:rsidRPr="00683965">
        <w:rPr>
          <w:rFonts w:ascii="Gotham" w:eastAsia="Times New Roman" w:hAnsi="Gotham" w:cs="Arial"/>
          <w:b/>
          <w:bCs/>
          <w:color w:val="000000"/>
          <w:sz w:val="18"/>
          <w:szCs w:val="18"/>
        </w:rPr>
        <w:t xml:space="preserve"> Bancos/Tesorería. - </w:t>
      </w:r>
      <w:r w:rsidRPr="00683965">
        <w:rPr>
          <w:rFonts w:ascii="Gotham" w:eastAsia="Times New Roman" w:hAnsi="Gotham" w:cs="Arial"/>
          <w:color w:val="000000"/>
          <w:sz w:val="18"/>
          <w:szCs w:val="18"/>
        </w:rPr>
        <w:t xml:space="preserve">El saldo de 6,405,816.60, refleja la disponibilidad financiera para cubrir los gastos por las necesidades de la operación y de inversión, con la finalidad de cumplir con los compromisos de pago en tiempo y forma. La relación de cuentas productivas especificas es la siguiente: </w:t>
      </w:r>
    </w:p>
    <w:p w14:paraId="712DC6DA" w14:textId="77777777" w:rsidR="006809B1" w:rsidRPr="00683965" w:rsidRDefault="006809B1" w:rsidP="006809B1">
      <w:pPr>
        <w:ind w:left="502"/>
        <w:jc w:val="both"/>
        <w:textAlignment w:val="baseline"/>
        <w:rPr>
          <w:rFonts w:ascii="Gotham" w:hAnsi="Gotham" w:cs="Times New Roman"/>
          <w:noProof/>
          <w:sz w:val="18"/>
          <w:szCs w:val="18"/>
        </w:rPr>
      </w:pPr>
      <w:r w:rsidRPr="00683965">
        <w:rPr>
          <w:rFonts w:ascii="Gotham" w:hAnsi="Gotham" w:cs="Times New Roman"/>
          <w:noProof/>
          <w:sz w:val="18"/>
          <w:szCs w:val="18"/>
        </w:rPr>
        <w:drawing>
          <wp:anchor distT="0" distB="0" distL="114300" distR="114300" simplePos="0" relativeHeight="251666432" behindDoc="0" locked="0" layoutInCell="1" allowOverlap="1" wp14:anchorId="3E1BFBEA" wp14:editId="529C2589">
            <wp:simplePos x="0" y="0"/>
            <wp:positionH relativeFrom="column">
              <wp:posOffset>479713</wp:posOffset>
            </wp:positionH>
            <wp:positionV relativeFrom="paragraph">
              <wp:posOffset>53711</wp:posOffset>
            </wp:positionV>
            <wp:extent cx="5404485" cy="4416425"/>
            <wp:effectExtent l="0" t="0" r="5715"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04485" cy="4416425"/>
                    </a:xfrm>
                    <a:prstGeom prst="rect">
                      <a:avLst/>
                    </a:prstGeom>
                  </pic:spPr>
                </pic:pic>
              </a:graphicData>
            </a:graphic>
            <wp14:sizeRelH relativeFrom="page">
              <wp14:pctWidth>0</wp14:pctWidth>
            </wp14:sizeRelH>
            <wp14:sizeRelV relativeFrom="page">
              <wp14:pctHeight>0</wp14:pctHeight>
            </wp14:sizeRelV>
          </wp:anchor>
        </w:drawing>
      </w:r>
    </w:p>
    <w:p w14:paraId="0432967B" w14:textId="77777777" w:rsidR="006809B1" w:rsidRPr="00683965" w:rsidRDefault="006809B1" w:rsidP="006809B1">
      <w:pPr>
        <w:ind w:left="502"/>
        <w:jc w:val="both"/>
        <w:textAlignment w:val="baseline"/>
        <w:rPr>
          <w:rFonts w:ascii="Gotham" w:hAnsi="Gotham" w:cs="Times New Roman"/>
          <w:noProof/>
          <w:sz w:val="18"/>
          <w:szCs w:val="18"/>
        </w:rPr>
      </w:pPr>
    </w:p>
    <w:p w14:paraId="23C394C6" w14:textId="03CED4DB" w:rsidR="006809B1" w:rsidRPr="00683965" w:rsidRDefault="006809B1" w:rsidP="006809B1">
      <w:pPr>
        <w:ind w:left="502"/>
        <w:jc w:val="both"/>
        <w:textAlignment w:val="baseline"/>
        <w:rPr>
          <w:rFonts w:ascii="Gotham" w:hAnsi="Gotham" w:cs="Times New Roman"/>
          <w:noProof/>
          <w:sz w:val="18"/>
          <w:szCs w:val="18"/>
        </w:rPr>
      </w:pPr>
    </w:p>
    <w:p w14:paraId="212F2A3A" w14:textId="77777777" w:rsidR="006809B1" w:rsidRPr="00683965" w:rsidRDefault="006809B1" w:rsidP="006809B1">
      <w:pPr>
        <w:ind w:left="502"/>
        <w:jc w:val="both"/>
        <w:textAlignment w:val="baseline"/>
        <w:rPr>
          <w:rFonts w:ascii="Gotham" w:hAnsi="Gotham" w:cs="Times New Roman"/>
          <w:noProof/>
          <w:sz w:val="18"/>
          <w:szCs w:val="18"/>
        </w:rPr>
      </w:pPr>
    </w:p>
    <w:p w14:paraId="2973B2B0" w14:textId="77777777" w:rsidR="006809B1" w:rsidRPr="00683965" w:rsidRDefault="006809B1" w:rsidP="006809B1">
      <w:pPr>
        <w:ind w:left="502"/>
        <w:jc w:val="both"/>
        <w:textAlignment w:val="baseline"/>
        <w:rPr>
          <w:rFonts w:ascii="Gotham" w:eastAsia="Times New Roman" w:hAnsi="Gotham" w:cs="Arial"/>
          <w:b/>
          <w:bCs/>
          <w:color w:val="000000"/>
          <w:sz w:val="18"/>
          <w:szCs w:val="18"/>
        </w:rPr>
      </w:pPr>
    </w:p>
    <w:p w14:paraId="569AC594" w14:textId="77777777" w:rsidR="006809B1" w:rsidRPr="00683965" w:rsidRDefault="006809B1" w:rsidP="006809B1">
      <w:pPr>
        <w:spacing w:line="256" w:lineRule="auto"/>
        <w:jc w:val="center"/>
        <w:rPr>
          <w:rFonts w:ascii="Gotham" w:hAnsi="Gotham" w:cs="Times New Roman"/>
          <w:noProof/>
          <w:sz w:val="18"/>
          <w:szCs w:val="18"/>
        </w:rPr>
      </w:pPr>
    </w:p>
    <w:p w14:paraId="0A9AAF16" w14:textId="77777777" w:rsidR="006809B1" w:rsidRPr="00683965" w:rsidRDefault="006809B1" w:rsidP="006809B1">
      <w:pPr>
        <w:spacing w:line="256" w:lineRule="auto"/>
        <w:jc w:val="center"/>
        <w:rPr>
          <w:rFonts w:ascii="Gotham" w:hAnsi="Gotham" w:cs="Times New Roman"/>
          <w:noProof/>
          <w:sz w:val="18"/>
          <w:szCs w:val="18"/>
        </w:rPr>
      </w:pPr>
    </w:p>
    <w:p w14:paraId="6B3B9D2E" w14:textId="77777777" w:rsidR="006809B1" w:rsidRPr="00683965" w:rsidRDefault="006809B1" w:rsidP="006809B1">
      <w:pPr>
        <w:spacing w:line="256" w:lineRule="auto"/>
        <w:jc w:val="center"/>
        <w:rPr>
          <w:rFonts w:ascii="Gotham" w:hAnsi="Gotham" w:cs="Times New Roman"/>
          <w:noProof/>
          <w:sz w:val="18"/>
          <w:szCs w:val="18"/>
        </w:rPr>
      </w:pPr>
    </w:p>
    <w:p w14:paraId="6909E4C5" w14:textId="77777777" w:rsidR="006809B1" w:rsidRPr="00683965" w:rsidRDefault="006809B1" w:rsidP="006809B1">
      <w:pPr>
        <w:spacing w:line="256" w:lineRule="auto"/>
        <w:jc w:val="center"/>
        <w:rPr>
          <w:rFonts w:ascii="Gotham" w:hAnsi="Gotham" w:cs="Times New Roman"/>
          <w:noProof/>
          <w:sz w:val="18"/>
          <w:szCs w:val="18"/>
        </w:rPr>
      </w:pPr>
    </w:p>
    <w:p w14:paraId="3B9A4B88" w14:textId="77777777" w:rsidR="006809B1" w:rsidRPr="00683965" w:rsidRDefault="006809B1" w:rsidP="006809B1">
      <w:pPr>
        <w:spacing w:line="256" w:lineRule="auto"/>
        <w:jc w:val="center"/>
        <w:rPr>
          <w:rFonts w:ascii="Gotham" w:hAnsi="Gotham" w:cs="Times New Roman"/>
          <w:noProof/>
          <w:sz w:val="18"/>
          <w:szCs w:val="18"/>
        </w:rPr>
      </w:pPr>
    </w:p>
    <w:p w14:paraId="295084D0" w14:textId="77777777" w:rsidR="006809B1" w:rsidRPr="00683965" w:rsidRDefault="006809B1" w:rsidP="006809B1">
      <w:pPr>
        <w:spacing w:line="256" w:lineRule="auto"/>
        <w:jc w:val="center"/>
        <w:rPr>
          <w:rFonts w:ascii="Gotham" w:hAnsi="Gotham" w:cs="Times New Roman"/>
          <w:noProof/>
          <w:sz w:val="18"/>
          <w:szCs w:val="18"/>
        </w:rPr>
      </w:pPr>
    </w:p>
    <w:p w14:paraId="1103E254" w14:textId="77777777" w:rsidR="006809B1" w:rsidRPr="00683965" w:rsidRDefault="006809B1" w:rsidP="006809B1">
      <w:pPr>
        <w:spacing w:line="256" w:lineRule="auto"/>
        <w:jc w:val="center"/>
        <w:rPr>
          <w:rFonts w:ascii="Gotham" w:hAnsi="Gotham" w:cs="Times New Roman"/>
          <w:noProof/>
          <w:sz w:val="18"/>
          <w:szCs w:val="18"/>
        </w:rPr>
      </w:pPr>
    </w:p>
    <w:p w14:paraId="5D0E5DEC" w14:textId="77777777" w:rsidR="006809B1" w:rsidRPr="00683965" w:rsidRDefault="006809B1" w:rsidP="006809B1">
      <w:pPr>
        <w:spacing w:line="256" w:lineRule="auto"/>
        <w:jc w:val="center"/>
        <w:rPr>
          <w:rFonts w:ascii="Gotham" w:hAnsi="Gotham" w:cs="Times New Roman"/>
          <w:noProof/>
          <w:sz w:val="18"/>
          <w:szCs w:val="18"/>
        </w:rPr>
      </w:pPr>
    </w:p>
    <w:p w14:paraId="0B36036D" w14:textId="77777777" w:rsidR="006809B1" w:rsidRPr="00683965" w:rsidRDefault="006809B1" w:rsidP="006809B1">
      <w:pPr>
        <w:spacing w:line="256" w:lineRule="auto"/>
        <w:jc w:val="center"/>
        <w:rPr>
          <w:rFonts w:ascii="Gotham" w:hAnsi="Gotham" w:cs="Times New Roman"/>
          <w:noProof/>
          <w:sz w:val="18"/>
          <w:szCs w:val="18"/>
        </w:rPr>
      </w:pPr>
    </w:p>
    <w:p w14:paraId="322E1429" w14:textId="77777777" w:rsidR="006809B1" w:rsidRPr="00683965" w:rsidRDefault="006809B1" w:rsidP="006809B1">
      <w:pPr>
        <w:spacing w:line="256" w:lineRule="auto"/>
        <w:jc w:val="center"/>
        <w:rPr>
          <w:rFonts w:ascii="Gotham" w:hAnsi="Gotham" w:cs="Times New Roman"/>
          <w:noProof/>
          <w:sz w:val="18"/>
          <w:szCs w:val="18"/>
        </w:rPr>
      </w:pPr>
    </w:p>
    <w:p w14:paraId="2CC83F23" w14:textId="23F5C28C" w:rsidR="006809B1" w:rsidRPr="00683965" w:rsidRDefault="006809B1" w:rsidP="006809B1">
      <w:pPr>
        <w:rPr>
          <w:rFonts w:ascii="Gotham" w:hAnsi="Gotham" w:cs="Times New Roman"/>
          <w:noProof/>
          <w:sz w:val="18"/>
          <w:szCs w:val="18"/>
        </w:rPr>
      </w:pPr>
      <w:r w:rsidRPr="00683965">
        <w:rPr>
          <w:rFonts w:ascii="Gotham" w:hAnsi="Gotham" w:cs="Times New Roman"/>
          <w:noProof/>
          <w:sz w:val="18"/>
          <w:szCs w:val="18"/>
        </w:rPr>
        <w:br w:type="page"/>
      </w:r>
    </w:p>
    <w:p w14:paraId="192AFE2E" w14:textId="77777777" w:rsidR="006809B1" w:rsidRPr="00683965" w:rsidRDefault="006809B1" w:rsidP="006809B1">
      <w:pPr>
        <w:numPr>
          <w:ilvl w:val="0"/>
          <w:numId w:val="3"/>
        </w:numPr>
        <w:tabs>
          <w:tab w:val="num" w:pos="720"/>
        </w:tabs>
        <w:spacing w:after="160"/>
        <w:ind w:left="502"/>
        <w:jc w:val="both"/>
        <w:textAlignment w:val="baseline"/>
        <w:rPr>
          <w:rFonts w:ascii="Gotham" w:eastAsia="Times New Roman" w:hAnsi="Gotham" w:cs="Arial"/>
          <w:color w:val="000000"/>
          <w:sz w:val="18"/>
          <w:szCs w:val="18"/>
        </w:rPr>
      </w:pPr>
      <w:r w:rsidRPr="00683965">
        <w:rPr>
          <w:rFonts w:ascii="Gotham" w:eastAsia="Times New Roman" w:hAnsi="Gotham" w:cs="Arial"/>
          <w:b/>
          <w:bCs/>
          <w:color w:val="000000"/>
          <w:sz w:val="18"/>
          <w:szCs w:val="18"/>
        </w:rPr>
        <w:lastRenderedPageBreak/>
        <w:t xml:space="preserve">Inversiones Temporales (Hasta 3 meses). - </w:t>
      </w:r>
      <w:r w:rsidRPr="00683965">
        <w:rPr>
          <w:rFonts w:ascii="Gotham" w:eastAsia="Times New Roman" w:hAnsi="Gotham" w:cs="Arial"/>
          <w:color w:val="000000"/>
          <w:sz w:val="18"/>
          <w:szCs w:val="18"/>
        </w:rPr>
        <w:t xml:space="preserve">El saldo de </w:t>
      </w:r>
      <w:bookmarkStart w:id="1" w:name="_Hlk128580981"/>
      <w:bookmarkStart w:id="2" w:name="_Hlk134009505"/>
      <w:r w:rsidRPr="00683965">
        <w:rPr>
          <w:rFonts w:ascii="Gotham" w:eastAsia="Times New Roman" w:hAnsi="Gotham" w:cs="Arial"/>
          <w:color w:val="000000"/>
          <w:sz w:val="18"/>
          <w:szCs w:val="18"/>
        </w:rPr>
        <w:t>218,805,839.</w:t>
      </w:r>
      <w:bookmarkEnd w:id="1"/>
      <w:r w:rsidRPr="00683965">
        <w:rPr>
          <w:rFonts w:ascii="Gotham" w:eastAsia="Times New Roman" w:hAnsi="Gotham" w:cs="Arial"/>
          <w:color w:val="000000"/>
          <w:sz w:val="18"/>
          <w:szCs w:val="18"/>
        </w:rPr>
        <w:t xml:space="preserve">29, </w:t>
      </w:r>
      <w:bookmarkEnd w:id="2"/>
      <w:r w:rsidRPr="00683965">
        <w:rPr>
          <w:rFonts w:ascii="Gotham" w:eastAsia="Times New Roman" w:hAnsi="Gotham" w:cs="Arial"/>
          <w:color w:val="000000"/>
          <w:sz w:val="18"/>
          <w:szCs w:val="18"/>
        </w:rPr>
        <w:t>refleja los depósitos bancarios a la vista para tener disponibilidades financieras en instrumentos de renta fija y poder cubrir con oportunidad los gastos de operación y de inversión del Instituto. Los intereses generados se registran como Ingresos de Gestión en el rubro de Productos Financieros de acuerdo con el MUCG.</w:t>
      </w:r>
    </w:p>
    <w:p w14:paraId="5A040C78" w14:textId="77777777" w:rsidR="006809B1" w:rsidRPr="00683965" w:rsidRDefault="006809B1" w:rsidP="006809B1">
      <w:pPr>
        <w:jc w:val="center"/>
        <w:rPr>
          <w:rFonts w:ascii="Gotham" w:eastAsia="Times New Roman" w:hAnsi="Gotham" w:cs="Arial"/>
          <w:sz w:val="18"/>
          <w:szCs w:val="18"/>
        </w:rPr>
      </w:pPr>
      <w:r w:rsidRPr="00683965">
        <w:rPr>
          <w:rFonts w:ascii="Gotham" w:hAnsi="Gotham"/>
          <w:noProof/>
        </w:rPr>
        <w:drawing>
          <wp:inline distT="0" distB="0" distL="0" distR="0" wp14:anchorId="4B58D754" wp14:editId="2264909D">
            <wp:extent cx="5146418" cy="2056888"/>
            <wp:effectExtent l="0" t="0" r="0" b="635"/>
            <wp:docPr id="212844403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704" cy="2064596"/>
                    </a:xfrm>
                    <a:prstGeom prst="rect">
                      <a:avLst/>
                    </a:prstGeom>
                    <a:noFill/>
                    <a:ln>
                      <a:noFill/>
                    </a:ln>
                  </pic:spPr>
                </pic:pic>
              </a:graphicData>
            </a:graphic>
          </wp:inline>
        </w:drawing>
      </w:r>
    </w:p>
    <w:p w14:paraId="685F418A" w14:textId="77777777" w:rsidR="006809B1" w:rsidRPr="00683965" w:rsidRDefault="006809B1" w:rsidP="006809B1">
      <w:pPr>
        <w:jc w:val="both"/>
        <w:rPr>
          <w:rFonts w:ascii="Gotham" w:eastAsia="Times New Roman" w:hAnsi="Gotham" w:cs="Arial"/>
          <w:sz w:val="18"/>
          <w:szCs w:val="18"/>
        </w:rPr>
      </w:pPr>
    </w:p>
    <w:p w14:paraId="29624531" w14:textId="77777777" w:rsidR="006809B1" w:rsidRPr="00683965" w:rsidRDefault="006809B1" w:rsidP="006809B1">
      <w:pPr>
        <w:jc w:val="both"/>
        <w:rPr>
          <w:rFonts w:ascii="Gotham" w:eastAsia="Times New Roman" w:hAnsi="Gotham" w:cs="Arial"/>
          <w:sz w:val="18"/>
          <w:szCs w:val="18"/>
        </w:rPr>
      </w:pPr>
      <w:r w:rsidRPr="00683965">
        <w:rPr>
          <w:rFonts w:ascii="Gotham" w:eastAsia="Times New Roman" w:hAnsi="Gotham" w:cs="Arial"/>
          <w:sz w:val="18"/>
          <w:szCs w:val="18"/>
        </w:rPr>
        <w:t>De enero a la fecha de estas notas del 2023, se tiene el siguiente desglose que permite identificar la integración en la cuenta ******813 del banco Scotiabank:</w:t>
      </w:r>
    </w:p>
    <w:p w14:paraId="3A053E85" w14:textId="77777777" w:rsidR="006809B1" w:rsidRPr="00683965" w:rsidRDefault="006809B1" w:rsidP="006809B1">
      <w:pPr>
        <w:jc w:val="center"/>
        <w:rPr>
          <w:rFonts w:ascii="Gotham" w:hAnsi="Gotham" w:cs="Times New Roman"/>
          <w:noProof/>
          <w:sz w:val="18"/>
          <w:szCs w:val="18"/>
        </w:rPr>
      </w:pPr>
    </w:p>
    <w:p w14:paraId="7C1E6DCC" w14:textId="77777777" w:rsidR="006809B1" w:rsidRPr="00683965" w:rsidRDefault="006809B1" w:rsidP="006809B1">
      <w:pPr>
        <w:jc w:val="center"/>
        <w:rPr>
          <w:rFonts w:ascii="Gotham" w:hAnsi="Gotham" w:cs="Times New Roman"/>
          <w:noProof/>
          <w:sz w:val="18"/>
          <w:szCs w:val="18"/>
        </w:rPr>
      </w:pPr>
      <w:r w:rsidRPr="00683965">
        <w:rPr>
          <w:rFonts w:ascii="Gotham" w:hAnsi="Gotham"/>
          <w:noProof/>
        </w:rPr>
        <w:drawing>
          <wp:inline distT="0" distB="0" distL="0" distR="0" wp14:anchorId="63C72478" wp14:editId="17101DF1">
            <wp:extent cx="5032741" cy="1940560"/>
            <wp:effectExtent l="0" t="0" r="0" b="2540"/>
            <wp:docPr id="73613637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7323" cy="1946183"/>
                    </a:xfrm>
                    <a:prstGeom prst="rect">
                      <a:avLst/>
                    </a:prstGeom>
                    <a:noFill/>
                    <a:ln>
                      <a:noFill/>
                    </a:ln>
                  </pic:spPr>
                </pic:pic>
              </a:graphicData>
            </a:graphic>
          </wp:inline>
        </w:drawing>
      </w:r>
    </w:p>
    <w:p w14:paraId="2F37964D" w14:textId="77777777" w:rsidR="006809B1" w:rsidRPr="00683965" w:rsidRDefault="006809B1" w:rsidP="006809B1">
      <w:pPr>
        <w:jc w:val="center"/>
        <w:rPr>
          <w:rFonts w:ascii="Gotham" w:eastAsia="Times New Roman" w:hAnsi="Gotham" w:cs="Times New Roman"/>
          <w:noProof/>
          <w:sz w:val="18"/>
          <w:szCs w:val="18"/>
        </w:rPr>
      </w:pPr>
    </w:p>
    <w:p w14:paraId="335773BA" w14:textId="77777777" w:rsidR="006809B1" w:rsidRPr="00683965" w:rsidRDefault="006809B1" w:rsidP="006809B1">
      <w:pPr>
        <w:numPr>
          <w:ilvl w:val="0"/>
          <w:numId w:val="3"/>
        </w:numPr>
        <w:contextualSpacing/>
        <w:jc w:val="both"/>
        <w:textAlignment w:val="baseline"/>
        <w:rPr>
          <w:rFonts w:ascii="Gotham" w:eastAsia="Times New Roman" w:hAnsi="Gotham" w:cs="Arial"/>
          <w:bCs/>
          <w:sz w:val="18"/>
          <w:szCs w:val="18"/>
        </w:rPr>
      </w:pPr>
      <w:r w:rsidRPr="00683965">
        <w:rPr>
          <w:rFonts w:ascii="Gotham" w:eastAsia="Times New Roman" w:hAnsi="Gotham" w:cs="Arial"/>
          <w:b/>
          <w:bCs/>
          <w:sz w:val="18"/>
          <w:szCs w:val="18"/>
        </w:rPr>
        <w:t>Deudores Diversos por Cobrar a Corto Plazo.</w:t>
      </w:r>
      <w:r w:rsidRPr="00683965">
        <w:rPr>
          <w:rFonts w:ascii="Gotham" w:eastAsia="Times New Roman" w:hAnsi="Gotham" w:cs="Arial"/>
          <w:sz w:val="18"/>
          <w:szCs w:val="18"/>
        </w:rPr>
        <w:t xml:space="preserve"> El saldo de 9,376.98, corresponden a los anticipos para gastos a comprobar por servidores públicos en el desempeño de sus funciones.</w:t>
      </w:r>
    </w:p>
    <w:p w14:paraId="3CFF76BE" w14:textId="77777777" w:rsidR="006809B1" w:rsidRPr="00683965" w:rsidRDefault="006809B1" w:rsidP="006809B1">
      <w:pPr>
        <w:contextualSpacing/>
        <w:jc w:val="both"/>
        <w:textAlignment w:val="baseline"/>
        <w:rPr>
          <w:rFonts w:ascii="Gotham" w:eastAsia="Times New Roman" w:hAnsi="Gotham" w:cs="Arial"/>
          <w:bCs/>
          <w:sz w:val="18"/>
          <w:szCs w:val="18"/>
        </w:rPr>
      </w:pPr>
    </w:p>
    <w:p w14:paraId="2F7B3E80" w14:textId="77777777" w:rsidR="006809B1" w:rsidRPr="00683965" w:rsidRDefault="006809B1" w:rsidP="006809B1">
      <w:pPr>
        <w:spacing w:line="256" w:lineRule="auto"/>
        <w:jc w:val="both"/>
        <w:textAlignment w:val="baseline"/>
        <w:rPr>
          <w:rFonts w:ascii="Gotham" w:hAnsi="Gotham" w:cs="Arial"/>
          <w:bCs/>
          <w:sz w:val="18"/>
          <w:szCs w:val="18"/>
          <w:lang w:eastAsia="en-US"/>
        </w:rPr>
      </w:pPr>
      <w:r w:rsidRPr="00683965">
        <w:rPr>
          <w:rFonts w:ascii="Gotham" w:hAnsi="Gotham" w:cs="Arial"/>
          <w:b/>
          <w:bCs/>
          <w:color w:val="000000"/>
          <w:sz w:val="18"/>
          <w:szCs w:val="18"/>
          <w:lang w:eastAsia="en-US"/>
        </w:rPr>
        <w:t>Activo No Circulante</w:t>
      </w:r>
    </w:p>
    <w:p w14:paraId="2619886C" w14:textId="77777777" w:rsidR="006809B1" w:rsidRPr="00683965" w:rsidRDefault="006809B1" w:rsidP="006809B1">
      <w:pPr>
        <w:spacing w:line="256" w:lineRule="auto"/>
        <w:jc w:val="both"/>
        <w:textAlignment w:val="baseline"/>
        <w:rPr>
          <w:rFonts w:ascii="Gotham" w:hAnsi="Gotham" w:cs="Arial"/>
          <w:color w:val="000000"/>
          <w:sz w:val="18"/>
          <w:szCs w:val="18"/>
          <w:lang w:eastAsia="en-US"/>
        </w:rPr>
      </w:pPr>
      <w:r w:rsidRPr="00683965">
        <w:rPr>
          <w:rFonts w:ascii="Gotham" w:hAnsi="Gotham" w:cs="Arial"/>
          <w:b/>
          <w:bCs/>
          <w:color w:val="000000"/>
          <w:sz w:val="18"/>
          <w:szCs w:val="18"/>
          <w:lang w:eastAsia="en-US"/>
        </w:rPr>
        <w:t xml:space="preserve">Inversiones Financieras a Largo Plazo. - </w:t>
      </w:r>
      <w:r w:rsidRPr="00683965">
        <w:rPr>
          <w:rFonts w:ascii="Gotham" w:hAnsi="Gotham" w:cs="Arial"/>
          <w:color w:val="000000"/>
          <w:sz w:val="18"/>
          <w:szCs w:val="18"/>
          <w:lang w:eastAsia="en-US"/>
        </w:rPr>
        <w:t>El saldo se integra con la siguiente cuenta</w:t>
      </w:r>
      <w:r w:rsidRPr="00683965">
        <w:rPr>
          <w:rFonts w:ascii="Gotham" w:hAnsi="Gotham" w:cs="Arial"/>
          <w:b/>
          <w:bCs/>
          <w:color w:val="000000"/>
          <w:sz w:val="18"/>
          <w:szCs w:val="18"/>
          <w:lang w:eastAsia="en-US"/>
        </w:rPr>
        <w:t>:</w:t>
      </w:r>
      <w:r w:rsidRPr="00683965">
        <w:rPr>
          <w:rFonts w:ascii="Gotham" w:hAnsi="Gotham" w:cs="Arial"/>
          <w:color w:val="000000"/>
          <w:sz w:val="18"/>
          <w:szCs w:val="18"/>
          <w:lang w:eastAsia="en-US"/>
        </w:rPr>
        <w:t> </w:t>
      </w:r>
    </w:p>
    <w:p w14:paraId="3C935B7F" w14:textId="77777777" w:rsidR="006809B1" w:rsidRPr="00683965" w:rsidRDefault="006809B1" w:rsidP="006809B1">
      <w:pPr>
        <w:spacing w:line="256" w:lineRule="auto"/>
        <w:jc w:val="both"/>
        <w:textAlignment w:val="baseline"/>
        <w:rPr>
          <w:rFonts w:ascii="Gotham" w:hAnsi="Gotham" w:cs="Arial"/>
          <w:bCs/>
          <w:sz w:val="18"/>
          <w:szCs w:val="18"/>
          <w:lang w:eastAsia="en-US"/>
        </w:rPr>
      </w:pPr>
    </w:p>
    <w:p w14:paraId="7C29DCD1" w14:textId="77777777" w:rsidR="006809B1" w:rsidRPr="00683965" w:rsidRDefault="006809B1" w:rsidP="006809B1">
      <w:pPr>
        <w:numPr>
          <w:ilvl w:val="0"/>
          <w:numId w:val="3"/>
        </w:numPr>
        <w:contextualSpacing/>
        <w:jc w:val="both"/>
        <w:textAlignment w:val="baseline"/>
        <w:rPr>
          <w:rFonts w:ascii="Gotham" w:eastAsia="Times New Roman" w:hAnsi="Gotham" w:cs="Arial"/>
          <w:sz w:val="18"/>
          <w:szCs w:val="18"/>
        </w:rPr>
      </w:pPr>
      <w:r w:rsidRPr="00683965">
        <w:rPr>
          <w:rFonts w:ascii="Gotham" w:eastAsia="Times New Roman" w:hAnsi="Gotham" w:cs="Arial"/>
          <w:b/>
          <w:bCs/>
          <w:sz w:val="18"/>
          <w:szCs w:val="18"/>
        </w:rPr>
        <w:t>Fideicomisos, Mandatos y Contratos Análogos</w:t>
      </w:r>
      <w:r w:rsidRPr="00683965">
        <w:rPr>
          <w:rFonts w:ascii="Gotham" w:eastAsia="Times New Roman" w:hAnsi="Gotham" w:cs="Arial"/>
          <w:sz w:val="18"/>
          <w:szCs w:val="18"/>
        </w:rPr>
        <w:t>. - El saldo por las aportaciones realizadas al Fideicomiso de Cobranza de esta cuenta, al mes que se informa, es por 6,560,867,858.68, que refleja los recursos transferidos a la fiduciaria, menos los pagos por amortización de capital y las remesas al Instituto, que corresponden a las siguientes cantidades, al RPP por 6,549,841,204.11, y al RPC por 11,026,654.57.</w:t>
      </w:r>
    </w:p>
    <w:p w14:paraId="6D093B47" w14:textId="77777777" w:rsidR="006809B1" w:rsidRPr="00683965" w:rsidRDefault="006809B1" w:rsidP="006809B1">
      <w:pPr>
        <w:rPr>
          <w:rFonts w:ascii="Gotham" w:eastAsia="Times New Roman" w:hAnsi="Gotham" w:cs="Arial"/>
          <w:sz w:val="18"/>
          <w:szCs w:val="18"/>
        </w:rPr>
      </w:pPr>
    </w:p>
    <w:p w14:paraId="16340EA7" w14:textId="77777777" w:rsidR="006809B1" w:rsidRDefault="006809B1" w:rsidP="006809B1">
      <w:pPr>
        <w:rPr>
          <w:rFonts w:ascii="Gotham" w:eastAsia="Times New Roman" w:hAnsi="Gotham" w:cs="Arial"/>
          <w:color w:val="000000"/>
          <w:sz w:val="18"/>
          <w:szCs w:val="18"/>
        </w:rPr>
      </w:pPr>
      <w:r w:rsidRPr="00683965">
        <w:rPr>
          <w:rFonts w:ascii="Gotham" w:eastAsia="Times New Roman" w:hAnsi="Gotham" w:cs="Arial"/>
          <w:b/>
          <w:bCs/>
          <w:sz w:val="18"/>
          <w:szCs w:val="18"/>
        </w:rPr>
        <w:t>Bienes Inmuebles, Infraestructura y Construcciones en Proceso.</w:t>
      </w:r>
      <w:r w:rsidRPr="00683965">
        <w:rPr>
          <w:rFonts w:ascii="Gotham" w:eastAsia="Times New Roman" w:hAnsi="Gotham" w:cs="Arial"/>
          <w:b/>
          <w:bCs/>
          <w:color w:val="000000"/>
          <w:sz w:val="18"/>
          <w:szCs w:val="18"/>
        </w:rPr>
        <w:t xml:space="preserve"> - </w:t>
      </w:r>
      <w:r w:rsidRPr="00683965">
        <w:rPr>
          <w:rFonts w:ascii="Gotham" w:eastAsia="Times New Roman" w:hAnsi="Gotham" w:cs="Arial"/>
          <w:color w:val="000000"/>
          <w:sz w:val="18"/>
          <w:szCs w:val="18"/>
        </w:rPr>
        <w:t xml:space="preserve">El saldo de </w:t>
      </w:r>
      <w:r w:rsidRPr="00683965">
        <w:rPr>
          <w:rFonts w:ascii="Gotham" w:eastAsia="Times New Roman" w:hAnsi="Gotham" w:cs="Arial"/>
          <w:sz w:val="18"/>
          <w:szCs w:val="18"/>
        </w:rPr>
        <w:t>124,015,004.58</w:t>
      </w:r>
      <w:r w:rsidRPr="00683965">
        <w:rPr>
          <w:rFonts w:ascii="Gotham" w:eastAsia="Times New Roman" w:hAnsi="Gotham" w:cs="Arial"/>
          <w:color w:val="000000"/>
          <w:sz w:val="18"/>
          <w:szCs w:val="18"/>
        </w:rPr>
        <w:t>, se integra con las siguientes cuentas:</w:t>
      </w:r>
    </w:p>
    <w:p w14:paraId="55113959" w14:textId="77777777" w:rsidR="00D260A7" w:rsidRDefault="00D260A7" w:rsidP="006809B1">
      <w:pPr>
        <w:rPr>
          <w:rFonts w:ascii="Gotham" w:eastAsia="Times New Roman" w:hAnsi="Gotham" w:cs="Arial"/>
          <w:color w:val="000000"/>
          <w:sz w:val="18"/>
          <w:szCs w:val="18"/>
        </w:rPr>
      </w:pPr>
    </w:p>
    <w:p w14:paraId="62B2D3BA" w14:textId="77777777" w:rsidR="00D260A7" w:rsidRDefault="00D260A7" w:rsidP="006809B1">
      <w:pPr>
        <w:rPr>
          <w:rFonts w:ascii="Gotham" w:eastAsia="Times New Roman" w:hAnsi="Gotham" w:cs="Arial"/>
          <w:color w:val="000000"/>
          <w:sz w:val="18"/>
          <w:szCs w:val="18"/>
        </w:rPr>
      </w:pPr>
    </w:p>
    <w:p w14:paraId="3E839A12" w14:textId="77777777" w:rsidR="003D5825" w:rsidRDefault="003D5825" w:rsidP="006809B1">
      <w:pPr>
        <w:rPr>
          <w:rFonts w:ascii="Gotham" w:eastAsia="Times New Roman" w:hAnsi="Gotham" w:cs="Arial"/>
          <w:color w:val="000000"/>
          <w:sz w:val="18"/>
          <w:szCs w:val="18"/>
        </w:rPr>
      </w:pPr>
    </w:p>
    <w:p w14:paraId="794F627D" w14:textId="77777777" w:rsidR="00D260A7" w:rsidRPr="00683965" w:rsidRDefault="00D260A7" w:rsidP="006809B1">
      <w:pPr>
        <w:rPr>
          <w:rFonts w:ascii="Gotham" w:eastAsia="Times New Roman" w:hAnsi="Gotham" w:cs="Arial"/>
          <w:color w:val="000000"/>
          <w:sz w:val="18"/>
          <w:szCs w:val="18"/>
        </w:rPr>
      </w:pPr>
    </w:p>
    <w:p w14:paraId="6622D9E2" w14:textId="77777777" w:rsidR="006809B1" w:rsidRPr="00683965" w:rsidRDefault="006809B1" w:rsidP="006809B1">
      <w:pPr>
        <w:rPr>
          <w:rFonts w:ascii="Gotham" w:eastAsia="Times New Roman" w:hAnsi="Gotham" w:cs="Arial"/>
          <w:color w:val="000000"/>
          <w:sz w:val="18"/>
          <w:szCs w:val="18"/>
        </w:rPr>
      </w:pPr>
    </w:p>
    <w:p w14:paraId="620D9C4D" w14:textId="215336A3" w:rsidR="006809B1" w:rsidRPr="00683965" w:rsidRDefault="006809B1" w:rsidP="006809B1">
      <w:pPr>
        <w:numPr>
          <w:ilvl w:val="0"/>
          <w:numId w:val="3"/>
        </w:numPr>
        <w:contextualSpacing/>
        <w:jc w:val="both"/>
        <w:textAlignment w:val="baseline"/>
        <w:rPr>
          <w:rFonts w:ascii="Gotham" w:eastAsia="Times New Roman" w:hAnsi="Gotham" w:cs="Times New Roman"/>
          <w:b/>
          <w:bCs/>
          <w:color w:val="000000"/>
          <w:sz w:val="18"/>
          <w:szCs w:val="18"/>
        </w:rPr>
      </w:pPr>
      <w:r w:rsidRPr="00683965">
        <w:rPr>
          <w:rFonts w:ascii="Gotham" w:eastAsia="Times New Roman" w:hAnsi="Gotham" w:cs="Arial"/>
          <w:b/>
          <w:bCs/>
          <w:color w:val="000000"/>
          <w:sz w:val="18"/>
          <w:szCs w:val="18"/>
        </w:rPr>
        <w:lastRenderedPageBreak/>
        <w:t>Terrenos.</w:t>
      </w:r>
      <w:r w:rsidRPr="00683965">
        <w:rPr>
          <w:rFonts w:ascii="Gotham" w:eastAsia="Times New Roman" w:hAnsi="Gotham" w:cs="Times New Roman"/>
          <w:b/>
          <w:bCs/>
          <w:color w:val="000000"/>
          <w:sz w:val="18"/>
          <w:szCs w:val="18"/>
        </w:rPr>
        <w:t xml:space="preserve"> – </w:t>
      </w:r>
      <w:r w:rsidRPr="00683965">
        <w:rPr>
          <w:rFonts w:ascii="Gotham" w:eastAsia="Times New Roman" w:hAnsi="Gotham" w:cs="Arial"/>
          <w:color w:val="000000"/>
          <w:sz w:val="18"/>
          <w:szCs w:val="18"/>
        </w:rPr>
        <w:t>A la fecha de análisis, se cuenta con un valor de 2,793,209.00, los cuales corresponde a las donaciones a este Instituto, en las Oficinas Registrales de Tenango d</w:t>
      </w:r>
      <w:r w:rsidR="00D76B68" w:rsidRPr="00683965">
        <w:rPr>
          <w:rFonts w:ascii="Gotham" w:eastAsia="Times New Roman" w:hAnsi="Gotham" w:cs="Arial"/>
          <w:color w:val="000000"/>
          <w:sz w:val="18"/>
          <w:szCs w:val="18"/>
        </w:rPr>
        <w:t>el Valle, Otumba, Ixtlahuaca y E</w:t>
      </w:r>
      <w:r w:rsidRPr="00683965">
        <w:rPr>
          <w:rFonts w:ascii="Gotham" w:eastAsia="Times New Roman" w:hAnsi="Gotham" w:cs="Arial"/>
          <w:color w:val="000000"/>
          <w:sz w:val="18"/>
          <w:szCs w:val="18"/>
        </w:rPr>
        <w:t>l Oro.</w:t>
      </w:r>
    </w:p>
    <w:p w14:paraId="3F3210B6" w14:textId="3C8F28B8" w:rsidR="006809B1" w:rsidRPr="00683965" w:rsidRDefault="006809B1" w:rsidP="006809B1">
      <w:pPr>
        <w:contextualSpacing/>
        <w:jc w:val="both"/>
        <w:textAlignment w:val="baseline"/>
        <w:rPr>
          <w:rFonts w:ascii="Gotham" w:eastAsia="Times New Roman" w:hAnsi="Gotham" w:cs="Times New Roman"/>
          <w:b/>
          <w:bCs/>
          <w:color w:val="000000"/>
          <w:sz w:val="18"/>
          <w:szCs w:val="18"/>
        </w:rPr>
      </w:pPr>
    </w:p>
    <w:p w14:paraId="5B19EEE9" w14:textId="77777777" w:rsidR="008447BC" w:rsidRPr="00683965" w:rsidRDefault="008447BC" w:rsidP="006809B1">
      <w:pPr>
        <w:contextualSpacing/>
        <w:jc w:val="both"/>
        <w:textAlignment w:val="baseline"/>
        <w:rPr>
          <w:rFonts w:ascii="Gotham" w:eastAsia="Times New Roman" w:hAnsi="Gotham" w:cs="Times New Roman"/>
          <w:b/>
          <w:bCs/>
          <w:color w:val="000000"/>
          <w:sz w:val="18"/>
          <w:szCs w:val="18"/>
        </w:rPr>
      </w:pPr>
    </w:p>
    <w:p w14:paraId="7EB7EEAE" w14:textId="77777777" w:rsidR="006809B1" w:rsidRPr="00683965" w:rsidRDefault="006809B1" w:rsidP="006809B1">
      <w:pPr>
        <w:numPr>
          <w:ilvl w:val="0"/>
          <w:numId w:val="3"/>
        </w:numPr>
        <w:contextualSpacing/>
        <w:jc w:val="both"/>
        <w:textAlignment w:val="baseline"/>
        <w:rPr>
          <w:rFonts w:ascii="Gotham" w:eastAsia="Times New Roman" w:hAnsi="Gotham" w:cs="Arial"/>
          <w:b/>
          <w:bCs/>
          <w:color w:val="000000"/>
          <w:sz w:val="18"/>
          <w:szCs w:val="18"/>
        </w:rPr>
      </w:pPr>
      <w:r w:rsidRPr="00683965">
        <w:rPr>
          <w:rFonts w:ascii="Gotham" w:eastAsia="Times New Roman" w:hAnsi="Gotham" w:cs="Arial"/>
          <w:b/>
          <w:bCs/>
          <w:color w:val="000000"/>
          <w:sz w:val="18"/>
          <w:szCs w:val="18"/>
        </w:rPr>
        <w:t>Edificios no Habitacionales.</w:t>
      </w:r>
      <w:r w:rsidRPr="00683965">
        <w:rPr>
          <w:rFonts w:ascii="Gotham" w:eastAsia="Times New Roman" w:hAnsi="Gotham" w:cs="Times New Roman"/>
          <w:b/>
          <w:bCs/>
          <w:color w:val="000000"/>
          <w:sz w:val="18"/>
          <w:szCs w:val="18"/>
        </w:rPr>
        <w:t xml:space="preserve"> - </w:t>
      </w:r>
      <w:r w:rsidRPr="00683965">
        <w:rPr>
          <w:rFonts w:ascii="Gotham" w:eastAsia="Times New Roman" w:hAnsi="Gotham" w:cs="Arial"/>
          <w:color w:val="000000"/>
          <w:sz w:val="18"/>
          <w:szCs w:val="18"/>
        </w:rPr>
        <w:t xml:space="preserve">A la fecha de estas notas, presentaron un valor histórico de 121,221,795.58, la depreciación acumulada al mes fue de 13,970,263.98, se afecta contra el resultado del ejercicio por lo que se determina un </w:t>
      </w:r>
      <w:r w:rsidRPr="00683965">
        <w:rPr>
          <w:rFonts w:ascii="Gotham" w:eastAsia="Times New Roman" w:hAnsi="Gotham" w:cs="Arial"/>
          <w:sz w:val="18"/>
          <w:szCs w:val="18"/>
        </w:rPr>
        <w:t xml:space="preserve">valor neto </w:t>
      </w:r>
      <w:r w:rsidRPr="00683965">
        <w:rPr>
          <w:rFonts w:ascii="Gotham" w:eastAsia="Times New Roman" w:hAnsi="Gotham" w:cs="Arial"/>
          <w:color w:val="000000"/>
          <w:sz w:val="18"/>
          <w:szCs w:val="18"/>
        </w:rPr>
        <w:t xml:space="preserve">en libros de 107,251,531.60. </w:t>
      </w:r>
    </w:p>
    <w:p w14:paraId="714C7DDF" w14:textId="77777777" w:rsidR="006809B1" w:rsidRPr="00683965" w:rsidRDefault="006809B1" w:rsidP="006809B1">
      <w:pPr>
        <w:ind w:left="720"/>
        <w:contextualSpacing/>
        <w:rPr>
          <w:rFonts w:ascii="Gotham" w:eastAsia="Times New Roman" w:hAnsi="Gotham" w:cs="Arial"/>
          <w:b/>
          <w:bCs/>
          <w:color w:val="000000"/>
          <w:sz w:val="18"/>
          <w:szCs w:val="18"/>
        </w:rPr>
      </w:pPr>
    </w:p>
    <w:p w14:paraId="1E85CD2C" w14:textId="77777777" w:rsidR="006809B1" w:rsidRPr="00683965" w:rsidRDefault="006809B1" w:rsidP="006809B1">
      <w:pPr>
        <w:numPr>
          <w:ilvl w:val="0"/>
          <w:numId w:val="3"/>
        </w:numPr>
        <w:contextualSpacing/>
        <w:jc w:val="both"/>
        <w:textAlignment w:val="baseline"/>
        <w:rPr>
          <w:rFonts w:ascii="Gotham" w:eastAsia="Times New Roman" w:hAnsi="Gotham" w:cs="Arial"/>
          <w:color w:val="000000"/>
          <w:sz w:val="18"/>
          <w:szCs w:val="18"/>
        </w:rPr>
      </w:pPr>
      <w:r w:rsidRPr="00683965">
        <w:rPr>
          <w:rFonts w:ascii="Gotham" w:eastAsia="Times New Roman" w:hAnsi="Gotham" w:cs="Arial"/>
          <w:b/>
          <w:bCs/>
          <w:color w:val="000000"/>
          <w:sz w:val="18"/>
          <w:szCs w:val="18"/>
        </w:rPr>
        <w:t xml:space="preserve">Bienes Muebles. - </w:t>
      </w:r>
      <w:r w:rsidRPr="00683965">
        <w:rPr>
          <w:rFonts w:ascii="Gotham" w:eastAsia="Times New Roman" w:hAnsi="Gotham" w:cs="Arial"/>
          <w:color w:val="000000"/>
          <w:sz w:val="18"/>
          <w:szCs w:val="18"/>
        </w:rPr>
        <w:t xml:space="preserve">El saldo de </w:t>
      </w:r>
      <w:r w:rsidRPr="00683965">
        <w:rPr>
          <w:rFonts w:ascii="Gotham" w:eastAsia="Times New Roman" w:hAnsi="Gotham" w:cs="Arial"/>
          <w:sz w:val="18"/>
          <w:szCs w:val="18"/>
        </w:rPr>
        <w:t>335,948,677.99</w:t>
      </w:r>
      <w:r w:rsidRPr="00683965">
        <w:rPr>
          <w:rFonts w:ascii="Gotham" w:eastAsia="Times New Roman" w:hAnsi="Gotham" w:cs="Arial"/>
          <w:color w:val="000000"/>
          <w:sz w:val="18"/>
          <w:szCs w:val="18"/>
        </w:rPr>
        <w:t>, de acuerdo con el Análisis de Movimientos del Activo No Circulante y su Depreciación se puede observar en el siguiente:  </w:t>
      </w:r>
    </w:p>
    <w:p w14:paraId="0E1CDFE3" w14:textId="77777777" w:rsidR="006809B1" w:rsidRPr="00683965" w:rsidRDefault="006809B1" w:rsidP="006809B1">
      <w:pPr>
        <w:ind w:left="644"/>
        <w:contextualSpacing/>
        <w:jc w:val="both"/>
        <w:textAlignment w:val="baseline"/>
        <w:rPr>
          <w:rFonts w:ascii="Gotham" w:eastAsia="Times New Roman" w:hAnsi="Gotham" w:cs="Arial"/>
          <w:color w:val="000000"/>
          <w:sz w:val="18"/>
          <w:szCs w:val="18"/>
        </w:rPr>
      </w:pPr>
      <w:r w:rsidRPr="00683965">
        <w:rPr>
          <w:rFonts w:ascii="Gotham" w:hAnsi="Gotham"/>
          <w:noProof/>
        </w:rPr>
        <w:drawing>
          <wp:anchor distT="0" distB="0" distL="114300" distR="114300" simplePos="0" relativeHeight="251667456" behindDoc="0" locked="0" layoutInCell="1" allowOverlap="1" wp14:anchorId="43AA044E" wp14:editId="6C73F688">
            <wp:simplePos x="0" y="0"/>
            <wp:positionH relativeFrom="margin">
              <wp:posOffset>-148590</wp:posOffset>
            </wp:positionH>
            <wp:positionV relativeFrom="paragraph">
              <wp:posOffset>158749</wp:posOffset>
            </wp:positionV>
            <wp:extent cx="6753225" cy="2371725"/>
            <wp:effectExtent l="0" t="0" r="9525" b="9525"/>
            <wp:wrapNone/>
            <wp:docPr id="86404456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3225"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C5C536" w14:textId="77777777" w:rsidR="006809B1" w:rsidRPr="00683965" w:rsidRDefault="006809B1" w:rsidP="006809B1">
      <w:pPr>
        <w:ind w:left="644"/>
        <w:contextualSpacing/>
        <w:jc w:val="both"/>
        <w:textAlignment w:val="baseline"/>
        <w:rPr>
          <w:rFonts w:ascii="Gotham" w:eastAsia="Times New Roman" w:hAnsi="Gotham" w:cs="Arial"/>
          <w:color w:val="000000"/>
          <w:sz w:val="18"/>
          <w:szCs w:val="18"/>
        </w:rPr>
      </w:pPr>
    </w:p>
    <w:p w14:paraId="322B4F82" w14:textId="77777777" w:rsidR="006809B1" w:rsidRPr="00683965" w:rsidRDefault="006809B1" w:rsidP="006809B1">
      <w:pPr>
        <w:ind w:left="644"/>
        <w:contextualSpacing/>
        <w:jc w:val="center"/>
        <w:textAlignment w:val="baseline"/>
        <w:rPr>
          <w:rFonts w:ascii="Gotham" w:eastAsia="Times New Roman" w:hAnsi="Gotham" w:cs="Arial"/>
          <w:color w:val="000000"/>
          <w:sz w:val="18"/>
          <w:szCs w:val="18"/>
        </w:rPr>
      </w:pPr>
    </w:p>
    <w:p w14:paraId="4295EC1E" w14:textId="77777777" w:rsidR="006809B1" w:rsidRPr="00683965" w:rsidRDefault="006809B1" w:rsidP="006809B1">
      <w:pPr>
        <w:ind w:left="644"/>
        <w:contextualSpacing/>
        <w:jc w:val="both"/>
        <w:textAlignment w:val="baseline"/>
        <w:rPr>
          <w:rFonts w:ascii="Gotham" w:eastAsia="Times New Roman" w:hAnsi="Gotham" w:cs="Arial"/>
          <w:color w:val="000000"/>
          <w:sz w:val="18"/>
          <w:szCs w:val="18"/>
        </w:rPr>
      </w:pPr>
    </w:p>
    <w:p w14:paraId="0C901617" w14:textId="77777777" w:rsidR="006809B1" w:rsidRPr="00683965" w:rsidRDefault="006809B1" w:rsidP="006809B1">
      <w:pPr>
        <w:ind w:left="644"/>
        <w:contextualSpacing/>
        <w:jc w:val="both"/>
        <w:textAlignment w:val="baseline"/>
        <w:rPr>
          <w:rFonts w:ascii="Gotham" w:eastAsia="Times New Roman" w:hAnsi="Gotham" w:cs="Arial"/>
          <w:color w:val="000000"/>
          <w:sz w:val="18"/>
          <w:szCs w:val="18"/>
        </w:rPr>
      </w:pPr>
    </w:p>
    <w:p w14:paraId="0EAC2602" w14:textId="77777777" w:rsidR="006809B1" w:rsidRPr="00683965" w:rsidRDefault="006809B1" w:rsidP="006809B1">
      <w:pPr>
        <w:ind w:left="644"/>
        <w:contextualSpacing/>
        <w:jc w:val="both"/>
        <w:textAlignment w:val="baseline"/>
        <w:rPr>
          <w:rFonts w:ascii="Gotham" w:eastAsia="Times New Roman" w:hAnsi="Gotham" w:cs="Arial"/>
          <w:color w:val="000000"/>
          <w:sz w:val="18"/>
          <w:szCs w:val="18"/>
        </w:rPr>
      </w:pPr>
    </w:p>
    <w:p w14:paraId="7D3AD04C" w14:textId="77777777" w:rsidR="006809B1" w:rsidRPr="00683965" w:rsidRDefault="006809B1" w:rsidP="006809B1">
      <w:pPr>
        <w:ind w:left="644"/>
        <w:contextualSpacing/>
        <w:jc w:val="both"/>
        <w:textAlignment w:val="baseline"/>
        <w:rPr>
          <w:rFonts w:ascii="Gotham" w:eastAsia="Times New Roman" w:hAnsi="Gotham" w:cs="Arial"/>
          <w:color w:val="000000"/>
          <w:sz w:val="18"/>
          <w:szCs w:val="18"/>
        </w:rPr>
      </w:pPr>
    </w:p>
    <w:p w14:paraId="5455EEF1" w14:textId="77777777" w:rsidR="006809B1" w:rsidRPr="00683965" w:rsidRDefault="006809B1" w:rsidP="006809B1">
      <w:pPr>
        <w:ind w:left="644"/>
        <w:contextualSpacing/>
        <w:jc w:val="both"/>
        <w:textAlignment w:val="baseline"/>
        <w:rPr>
          <w:rFonts w:ascii="Gotham" w:eastAsia="Times New Roman" w:hAnsi="Gotham" w:cs="Arial"/>
          <w:color w:val="000000"/>
          <w:sz w:val="18"/>
          <w:szCs w:val="18"/>
        </w:rPr>
      </w:pPr>
    </w:p>
    <w:p w14:paraId="7FBC6CC9" w14:textId="77777777" w:rsidR="006809B1" w:rsidRPr="00683965" w:rsidRDefault="006809B1" w:rsidP="006809B1">
      <w:pPr>
        <w:ind w:left="644"/>
        <w:contextualSpacing/>
        <w:jc w:val="both"/>
        <w:textAlignment w:val="baseline"/>
        <w:rPr>
          <w:rFonts w:ascii="Gotham" w:eastAsia="Times New Roman" w:hAnsi="Gotham" w:cs="Arial"/>
          <w:color w:val="000000"/>
          <w:sz w:val="18"/>
          <w:szCs w:val="18"/>
        </w:rPr>
      </w:pPr>
    </w:p>
    <w:p w14:paraId="7AA66808" w14:textId="77777777" w:rsidR="006809B1" w:rsidRPr="00683965" w:rsidRDefault="006809B1" w:rsidP="006809B1">
      <w:pPr>
        <w:ind w:left="644"/>
        <w:contextualSpacing/>
        <w:jc w:val="both"/>
        <w:textAlignment w:val="baseline"/>
        <w:rPr>
          <w:rFonts w:ascii="Gotham" w:eastAsia="Times New Roman" w:hAnsi="Gotham" w:cs="Arial"/>
          <w:color w:val="000000"/>
          <w:sz w:val="18"/>
          <w:szCs w:val="18"/>
        </w:rPr>
      </w:pPr>
    </w:p>
    <w:p w14:paraId="5CF1F56A" w14:textId="77777777" w:rsidR="006809B1" w:rsidRPr="00683965" w:rsidRDefault="006809B1" w:rsidP="006809B1">
      <w:pPr>
        <w:ind w:left="644"/>
        <w:contextualSpacing/>
        <w:jc w:val="both"/>
        <w:textAlignment w:val="baseline"/>
        <w:rPr>
          <w:rFonts w:ascii="Gotham" w:eastAsia="Times New Roman" w:hAnsi="Gotham" w:cs="Arial"/>
          <w:color w:val="000000"/>
          <w:sz w:val="18"/>
          <w:szCs w:val="18"/>
        </w:rPr>
      </w:pPr>
    </w:p>
    <w:p w14:paraId="4960BCBF" w14:textId="77777777" w:rsidR="006809B1" w:rsidRPr="00683965" w:rsidRDefault="006809B1" w:rsidP="006809B1">
      <w:pPr>
        <w:ind w:left="644"/>
        <w:contextualSpacing/>
        <w:jc w:val="both"/>
        <w:textAlignment w:val="baseline"/>
        <w:rPr>
          <w:rFonts w:ascii="Gotham" w:eastAsia="Times New Roman" w:hAnsi="Gotham" w:cs="Arial"/>
          <w:color w:val="000000"/>
          <w:sz w:val="18"/>
          <w:szCs w:val="18"/>
        </w:rPr>
      </w:pPr>
    </w:p>
    <w:p w14:paraId="1F35D20A" w14:textId="77777777" w:rsidR="006809B1" w:rsidRPr="00683965" w:rsidRDefault="006809B1" w:rsidP="006809B1">
      <w:pPr>
        <w:jc w:val="both"/>
        <w:textAlignment w:val="baseline"/>
        <w:rPr>
          <w:rFonts w:ascii="Gotham" w:eastAsia="Times New Roman" w:hAnsi="Gotham" w:cs="Arial"/>
          <w:color w:val="000000"/>
          <w:sz w:val="18"/>
          <w:szCs w:val="18"/>
        </w:rPr>
      </w:pPr>
      <w:bookmarkStart w:id="3" w:name="_Hlk140051149"/>
    </w:p>
    <w:p w14:paraId="6EC79DA0" w14:textId="77777777" w:rsidR="006809B1" w:rsidRPr="00683965" w:rsidRDefault="006809B1" w:rsidP="006809B1">
      <w:pPr>
        <w:jc w:val="both"/>
        <w:textAlignment w:val="baseline"/>
        <w:rPr>
          <w:rFonts w:ascii="Gotham" w:eastAsia="Times New Roman" w:hAnsi="Gotham" w:cs="Arial"/>
          <w:color w:val="000000"/>
          <w:sz w:val="18"/>
          <w:szCs w:val="18"/>
        </w:rPr>
      </w:pPr>
    </w:p>
    <w:p w14:paraId="7AF6F4B7" w14:textId="77777777" w:rsidR="006809B1" w:rsidRPr="00683965" w:rsidRDefault="006809B1" w:rsidP="006809B1">
      <w:pPr>
        <w:jc w:val="both"/>
        <w:textAlignment w:val="baseline"/>
        <w:rPr>
          <w:rFonts w:ascii="Gotham" w:eastAsia="Times New Roman" w:hAnsi="Gotham" w:cs="Arial"/>
          <w:color w:val="000000"/>
          <w:sz w:val="18"/>
          <w:szCs w:val="18"/>
        </w:rPr>
      </w:pPr>
    </w:p>
    <w:p w14:paraId="6F16F867" w14:textId="77777777" w:rsidR="006809B1" w:rsidRPr="00683965" w:rsidRDefault="006809B1" w:rsidP="006809B1">
      <w:pPr>
        <w:jc w:val="both"/>
        <w:textAlignment w:val="baseline"/>
        <w:rPr>
          <w:rFonts w:ascii="Gotham" w:eastAsia="Times New Roman" w:hAnsi="Gotham" w:cs="Arial"/>
          <w:color w:val="000000"/>
          <w:sz w:val="18"/>
          <w:szCs w:val="18"/>
        </w:rPr>
      </w:pPr>
    </w:p>
    <w:p w14:paraId="5F448539" w14:textId="77777777" w:rsidR="006809B1" w:rsidRPr="00683965" w:rsidRDefault="006809B1" w:rsidP="006809B1">
      <w:pPr>
        <w:jc w:val="both"/>
        <w:textAlignment w:val="baseline"/>
        <w:rPr>
          <w:rFonts w:ascii="Gotham" w:eastAsia="Times New Roman" w:hAnsi="Gotham" w:cs="Arial"/>
          <w:color w:val="000000"/>
          <w:sz w:val="18"/>
          <w:szCs w:val="18"/>
        </w:rPr>
      </w:pPr>
    </w:p>
    <w:p w14:paraId="62B7B4A5" w14:textId="77777777" w:rsidR="006809B1" w:rsidRPr="00683965" w:rsidRDefault="006809B1" w:rsidP="006809B1">
      <w:pPr>
        <w:jc w:val="both"/>
        <w:textAlignment w:val="baseline"/>
        <w:rPr>
          <w:rFonts w:ascii="Gotham" w:eastAsia="Times New Roman" w:hAnsi="Gotham" w:cs="Arial"/>
          <w:color w:val="000000"/>
          <w:sz w:val="18"/>
          <w:szCs w:val="18"/>
        </w:rPr>
      </w:pPr>
    </w:p>
    <w:p w14:paraId="3C9A0F15" w14:textId="77777777" w:rsidR="006809B1" w:rsidRPr="00683965" w:rsidRDefault="006809B1" w:rsidP="006809B1">
      <w:pPr>
        <w:jc w:val="both"/>
        <w:textAlignment w:val="baseline"/>
        <w:rPr>
          <w:rFonts w:ascii="Gotham" w:eastAsia="Times New Roman" w:hAnsi="Gotham" w:cs="Arial"/>
          <w:color w:val="000000"/>
          <w:sz w:val="18"/>
          <w:szCs w:val="18"/>
        </w:rPr>
      </w:pPr>
    </w:p>
    <w:p w14:paraId="7D417D1B" w14:textId="77777777" w:rsidR="006809B1" w:rsidRPr="00683965" w:rsidRDefault="006809B1" w:rsidP="006809B1">
      <w:pPr>
        <w:jc w:val="both"/>
        <w:textAlignment w:val="baseline"/>
        <w:rPr>
          <w:rFonts w:ascii="Gotham" w:eastAsia="Times New Roman" w:hAnsi="Gotham" w:cs="Arial"/>
          <w:color w:val="000000"/>
          <w:sz w:val="18"/>
          <w:szCs w:val="18"/>
        </w:rPr>
      </w:pPr>
    </w:p>
    <w:p w14:paraId="546964E7" w14:textId="77777777" w:rsidR="006809B1" w:rsidRPr="00683965" w:rsidRDefault="006809B1" w:rsidP="006809B1">
      <w:pPr>
        <w:jc w:val="both"/>
        <w:textAlignment w:val="baseline"/>
        <w:rPr>
          <w:rFonts w:ascii="Gotham" w:eastAsia="Times New Roman" w:hAnsi="Gotham" w:cs="Arial"/>
          <w:color w:val="000000"/>
          <w:sz w:val="18"/>
          <w:szCs w:val="18"/>
        </w:rPr>
      </w:pPr>
    </w:p>
    <w:p w14:paraId="6A50C191" w14:textId="77777777" w:rsidR="006809B1" w:rsidRPr="00683965" w:rsidRDefault="006809B1" w:rsidP="006809B1">
      <w:pPr>
        <w:jc w:val="both"/>
        <w:textAlignment w:val="baseline"/>
        <w:rPr>
          <w:rFonts w:ascii="Gotham" w:eastAsia="Times New Roman" w:hAnsi="Gotham" w:cs="Arial"/>
          <w:color w:val="000000"/>
          <w:sz w:val="18"/>
          <w:szCs w:val="18"/>
        </w:rPr>
      </w:pPr>
    </w:p>
    <w:p w14:paraId="371EB4BD" w14:textId="77777777" w:rsidR="006809B1" w:rsidRPr="00683965" w:rsidRDefault="006809B1" w:rsidP="006809B1">
      <w:pPr>
        <w:jc w:val="both"/>
        <w:textAlignment w:val="baseline"/>
        <w:rPr>
          <w:rFonts w:ascii="Gotham" w:hAnsi="Gotham" w:cs="Times New Roman"/>
          <w:i/>
          <w:sz w:val="18"/>
          <w:szCs w:val="18"/>
          <w:lang w:eastAsia="en-US"/>
        </w:rPr>
      </w:pPr>
      <w:r w:rsidRPr="00683965">
        <w:rPr>
          <w:rFonts w:ascii="Gotham" w:eastAsia="Times New Roman" w:hAnsi="Gotham" w:cs="Arial"/>
          <w:color w:val="000000"/>
          <w:sz w:val="18"/>
          <w:szCs w:val="18"/>
        </w:rPr>
        <w:t xml:space="preserve">Referente al importe de 34,896,060.39, se refiere al traspaso de la cuenta “Construcciones en Proceso en Bienes propios” a la cuenta “Edificios No Habitacionales”, de acuerdo con el </w:t>
      </w:r>
      <w:r w:rsidRPr="00683965">
        <w:rPr>
          <w:rFonts w:ascii="Gotham" w:hAnsi="Gotham" w:cs="Arial"/>
          <w:sz w:val="18"/>
          <w:szCs w:val="18"/>
          <w:lang w:eastAsia="en-US"/>
        </w:rPr>
        <w:t>“</w:t>
      </w:r>
      <w:r w:rsidRPr="00683965">
        <w:rPr>
          <w:rFonts w:ascii="Gotham" w:hAnsi="Gotham" w:cs="Arial"/>
          <w:b/>
          <w:i/>
          <w:iCs/>
          <w:sz w:val="18"/>
          <w:szCs w:val="18"/>
          <w:lang w:eastAsia="en-US"/>
        </w:rPr>
        <w:t>ACTA DE ENTREGA RECEPCIÓN DE OBRA</w:t>
      </w:r>
      <w:r w:rsidRPr="00683965">
        <w:rPr>
          <w:rFonts w:ascii="Gotham" w:hAnsi="Gotham" w:cs="Arial"/>
          <w:sz w:val="18"/>
          <w:szCs w:val="18"/>
          <w:lang w:eastAsia="en-US"/>
        </w:rPr>
        <w:t xml:space="preserve">” </w:t>
      </w:r>
      <w:r w:rsidRPr="00683965">
        <w:rPr>
          <w:rFonts w:ascii="Gotham" w:eastAsia="Times New Roman" w:hAnsi="Gotham" w:cs="Times New Roman"/>
          <w:bCs/>
          <w:color w:val="000000"/>
          <w:sz w:val="18"/>
          <w:szCs w:val="18"/>
        </w:rPr>
        <w:t>“</w:t>
      </w:r>
      <w:r w:rsidRPr="00683965">
        <w:rPr>
          <w:rFonts w:ascii="Gotham" w:hAnsi="Gotham" w:cs="Arial"/>
          <w:b/>
          <w:bCs/>
          <w:i/>
          <w:iCs/>
          <w:sz w:val="18"/>
          <w:szCs w:val="18"/>
          <w:lang w:eastAsia="en-US"/>
        </w:rPr>
        <w:t>Construcción y Equipamiento de la Segunda Etapa del Archivo General de Notarías (Conclusión) (Obra nueva)”</w:t>
      </w:r>
      <w:r w:rsidRPr="00683965">
        <w:rPr>
          <w:rFonts w:ascii="Gotham" w:eastAsia="Times New Roman" w:hAnsi="Gotham" w:cs="Times New Roman"/>
          <w:bCs/>
          <w:color w:val="000000"/>
          <w:sz w:val="18"/>
          <w:szCs w:val="18"/>
        </w:rPr>
        <w:t>,</w:t>
      </w:r>
      <w:r w:rsidRPr="00683965">
        <w:rPr>
          <w:rFonts w:ascii="Gotham" w:eastAsia="Times New Roman" w:hAnsi="Gotham" w:cs="Arial"/>
          <w:color w:val="000000"/>
          <w:sz w:val="18"/>
          <w:szCs w:val="18"/>
        </w:rPr>
        <w:t xml:space="preserve"> de fecha 03 de marzo del presente año. Asimismo, se realizaron dos reclasificaciones de bienes muebles a Control Administrativo; de la cuenta de Equipo de Cómputo y de Tecnologías de la Información por un importe de 452,400.14 que corresponde a 116 fuentes de energía y de la cuenta de Muebles de Oficina y Estantería por un importe de 1,327,052.00, que integran 406 bienes, en cumplimiento al apartado 6. Políticas de Registro, inciso 9) Adquisición de Bienes Muebles e Inmuebles, cuarto párrafo del Manual Único de Contabilidad Gubernamental para las Dependencias y Entidades Públicas del Gobierno y Municipios del Estado de México, (vigente), en el que se señala que, </w:t>
      </w:r>
      <w:r w:rsidRPr="00683965">
        <w:rPr>
          <w:rFonts w:ascii="Gotham" w:eastAsia="Times New Roman" w:hAnsi="Gotham" w:cs="Arial"/>
          <w:i/>
          <w:color w:val="000000"/>
          <w:sz w:val="18"/>
          <w:szCs w:val="18"/>
        </w:rPr>
        <w:t>“…</w:t>
      </w:r>
      <w:r w:rsidRPr="00683965">
        <w:rPr>
          <w:rFonts w:ascii="Gotham" w:hAnsi="Gotham" w:cs="Times New Roman"/>
          <w:i/>
          <w:sz w:val="18"/>
          <w:szCs w:val="18"/>
          <w:lang w:eastAsia="en-US"/>
        </w:rPr>
        <w:t>Para efectos del control administrativo, las adquisiciones de Bienes muebles, con un costo igual o mayor a 35 veces el valor diario de la UMA pero menor de 70 veces el valor diario de la UMA, también deberán incorporarse al sistema de control patrimonial, no así para la conciliación contable. Los Bienes muebles adquiridos con un costo menor a 35 veces el valor diario de la UMA, se deberán considerar bienes no inventariables y no requerirán de control administrativo alguno”.</w:t>
      </w:r>
    </w:p>
    <w:p w14:paraId="30088111" w14:textId="77777777" w:rsidR="006809B1" w:rsidRPr="00683965" w:rsidRDefault="006809B1" w:rsidP="006809B1">
      <w:pPr>
        <w:jc w:val="both"/>
        <w:textAlignment w:val="baseline"/>
        <w:rPr>
          <w:rFonts w:ascii="Gotham" w:eastAsia="Times New Roman" w:hAnsi="Gotham" w:cs="Arial"/>
          <w:color w:val="000000"/>
          <w:sz w:val="18"/>
          <w:szCs w:val="18"/>
        </w:rPr>
      </w:pPr>
    </w:p>
    <w:bookmarkEnd w:id="3"/>
    <w:p w14:paraId="72134BE5" w14:textId="77777777" w:rsidR="006809B1" w:rsidRPr="00683965" w:rsidRDefault="006809B1" w:rsidP="006809B1">
      <w:pPr>
        <w:rPr>
          <w:rFonts w:ascii="Gotham" w:eastAsia="Times New Roman" w:hAnsi="Gotham" w:cs="Arial"/>
          <w:color w:val="000000"/>
          <w:sz w:val="18"/>
          <w:szCs w:val="18"/>
        </w:rPr>
      </w:pPr>
      <w:r w:rsidRPr="00683965">
        <w:rPr>
          <w:rFonts w:ascii="Gotham" w:eastAsia="Times New Roman" w:hAnsi="Gotham" w:cs="Arial"/>
          <w:bCs/>
          <w:color w:val="000000"/>
          <w:sz w:val="18"/>
          <w:szCs w:val="18"/>
        </w:rPr>
        <w:t>A</w:t>
      </w:r>
      <w:r w:rsidRPr="00683965">
        <w:rPr>
          <w:rFonts w:ascii="Gotham" w:eastAsia="Times New Roman" w:hAnsi="Gotham" w:cs="Arial"/>
          <w:b/>
          <w:bCs/>
          <w:color w:val="000000"/>
          <w:sz w:val="18"/>
          <w:szCs w:val="18"/>
        </w:rPr>
        <w:t>ctivos Diferidos. -</w:t>
      </w:r>
      <w:r w:rsidRPr="00683965">
        <w:rPr>
          <w:rFonts w:ascii="Gotham" w:eastAsia="Times New Roman" w:hAnsi="Gotham" w:cs="Arial"/>
          <w:color w:val="000000"/>
          <w:sz w:val="18"/>
          <w:szCs w:val="18"/>
        </w:rPr>
        <w:t xml:space="preserve"> El saldo </w:t>
      </w:r>
      <w:r w:rsidRPr="00683965">
        <w:rPr>
          <w:rFonts w:ascii="Gotham" w:eastAsia="Times New Roman" w:hAnsi="Gotham" w:cs="Arial"/>
          <w:sz w:val="18"/>
          <w:szCs w:val="18"/>
        </w:rPr>
        <w:t xml:space="preserve">de 64,761.00, </w:t>
      </w:r>
      <w:r w:rsidRPr="00683965">
        <w:rPr>
          <w:rFonts w:ascii="Gotham" w:eastAsia="Times New Roman" w:hAnsi="Gotham" w:cs="Arial"/>
          <w:color w:val="000000"/>
          <w:sz w:val="18"/>
          <w:szCs w:val="18"/>
        </w:rPr>
        <w:t xml:space="preserve">se integra por la siguiente cuenta: </w:t>
      </w:r>
    </w:p>
    <w:p w14:paraId="69538454" w14:textId="77777777" w:rsidR="006809B1" w:rsidRPr="00683965" w:rsidRDefault="006809B1" w:rsidP="006809B1">
      <w:pPr>
        <w:rPr>
          <w:rFonts w:ascii="Gotham" w:eastAsia="Times New Roman" w:hAnsi="Gotham" w:cs="Arial"/>
          <w:color w:val="000000"/>
          <w:sz w:val="18"/>
          <w:szCs w:val="18"/>
        </w:rPr>
      </w:pPr>
    </w:p>
    <w:p w14:paraId="44087956" w14:textId="77777777" w:rsidR="006809B1" w:rsidRPr="00683965" w:rsidRDefault="006809B1" w:rsidP="006809B1">
      <w:pPr>
        <w:numPr>
          <w:ilvl w:val="0"/>
          <w:numId w:val="3"/>
        </w:numPr>
        <w:contextualSpacing/>
        <w:jc w:val="both"/>
        <w:textAlignment w:val="baseline"/>
        <w:rPr>
          <w:rFonts w:ascii="Gotham" w:eastAsia="Times New Roman" w:hAnsi="Gotham" w:cs="Arial"/>
          <w:color w:val="000000"/>
          <w:sz w:val="18"/>
          <w:szCs w:val="18"/>
        </w:rPr>
      </w:pPr>
      <w:r w:rsidRPr="00683965">
        <w:rPr>
          <w:rFonts w:ascii="Gotham" w:eastAsia="Times New Roman" w:hAnsi="Gotham" w:cs="Arial"/>
          <w:b/>
          <w:color w:val="000000"/>
          <w:sz w:val="18"/>
          <w:szCs w:val="18"/>
        </w:rPr>
        <w:t>Otros</w:t>
      </w:r>
      <w:r w:rsidRPr="00683965">
        <w:rPr>
          <w:rFonts w:ascii="Gotham" w:eastAsia="Times New Roman" w:hAnsi="Gotham" w:cs="Arial"/>
          <w:b/>
          <w:bCs/>
          <w:color w:val="000000"/>
          <w:sz w:val="18"/>
          <w:szCs w:val="18"/>
        </w:rPr>
        <w:t xml:space="preserve"> Activos Diferidos. -</w:t>
      </w:r>
      <w:r w:rsidRPr="00683965">
        <w:rPr>
          <w:rFonts w:ascii="Gotham" w:eastAsia="Times New Roman" w:hAnsi="Gotham" w:cs="Arial"/>
          <w:color w:val="000000"/>
          <w:sz w:val="18"/>
          <w:szCs w:val="18"/>
        </w:rPr>
        <w:t xml:space="preserve"> Su saldo representa los depósitos en garantía que se han otorgado a la Comisión Federal de Electricidad (CFE) para prestar el servicio de energía eléctrica.</w:t>
      </w:r>
    </w:p>
    <w:p w14:paraId="1423A486" w14:textId="263C172B" w:rsidR="006809B1" w:rsidRPr="00683965" w:rsidRDefault="006809B1" w:rsidP="006809B1">
      <w:pPr>
        <w:rPr>
          <w:rFonts w:ascii="Gotham" w:eastAsia="Times New Roman" w:hAnsi="Gotham" w:cs="Arial"/>
          <w:color w:val="000000"/>
          <w:sz w:val="18"/>
          <w:szCs w:val="18"/>
        </w:rPr>
      </w:pPr>
    </w:p>
    <w:p w14:paraId="6A518617" w14:textId="77777777" w:rsidR="008447BC" w:rsidRDefault="008447BC" w:rsidP="006809B1">
      <w:pPr>
        <w:rPr>
          <w:rFonts w:ascii="Gotham" w:eastAsia="Times New Roman" w:hAnsi="Gotham" w:cs="Arial"/>
          <w:color w:val="000000"/>
          <w:sz w:val="18"/>
          <w:szCs w:val="18"/>
        </w:rPr>
      </w:pPr>
    </w:p>
    <w:p w14:paraId="092B8017" w14:textId="77777777" w:rsidR="00071B49" w:rsidRDefault="00071B49" w:rsidP="006809B1">
      <w:pPr>
        <w:rPr>
          <w:rFonts w:ascii="Gotham" w:eastAsia="Times New Roman" w:hAnsi="Gotham" w:cs="Arial"/>
          <w:color w:val="000000"/>
          <w:sz w:val="18"/>
          <w:szCs w:val="18"/>
        </w:rPr>
      </w:pPr>
    </w:p>
    <w:p w14:paraId="269169A8" w14:textId="77777777" w:rsidR="00071B49" w:rsidRDefault="00071B49" w:rsidP="006809B1">
      <w:pPr>
        <w:rPr>
          <w:rFonts w:ascii="Gotham" w:eastAsia="Times New Roman" w:hAnsi="Gotham" w:cs="Arial"/>
          <w:color w:val="000000"/>
          <w:sz w:val="18"/>
          <w:szCs w:val="18"/>
        </w:rPr>
      </w:pPr>
    </w:p>
    <w:p w14:paraId="12C187A8" w14:textId="77777777" w:rsidR="00071B49" w:rsidRDefault="00071B49" w:rsidP="006809B1">
      <w:pPr>
        <w:rPr>
          <w:rFonts w:ascii="Gotham" w:eastAsia="Times New Roman" w:hAnsi="Gotham" w:cs="Arial"/>
          <w:color w:val="000000"/>
          <w:sz w:val="18"/>
          <w:szCs w:val="18"/>
        </w:rPr>
      </w:pPr>
    </w:p>
    <w:p w14:paraId="6DB1CA03" w14:textId="77777777" w:rsidR="00071B49" w:rsidRDefault="00071B49" w:rsidP="006809B1">
      <w:pPr>
        <w:rPr>
          <w:rFonts w:ascii="Gotham" w:eastAsia="Times New Roman" w:hAnsi="Gotham" w:cs="Arial"/>
          <w:color w:val="000000"/>
          <w:sz w:val="18"/>
          <w:szCs w:val="18"/>
        </w:rPr>
      </w:pPr>
    </w:p>
    <w:p w14:paraId="05E07A58" w14:textId="77777777" w:rsidR="00071B49" w:rsidRDefault="00071B49" w:rsidP="006809B1">
      <w:pPr>
        <w:rPr>
          <w:rFonts w:ascii="Gotham" w:eastAsia="Times New Roman" w:hAnsi="Gotham" w:cs="Arial"/>
          <w:color w:val="000000"/>
          <w:sz w:val="18"/>
          <w:szCs w:val="18"/>
        </w:rPr>
      </w:pPr>
    </w:p>
    <w:p w14:paraId="272D57BC" w14:textId="77777777" w:rsidR="00071B49" w:rsidRDefault="00071B49" w:rsidP="006809B1">
      <w:pPr>
        <w:rPr>
          <w:rFonts w:ascii="Gotham" w:eastAsia="Times New Roman" w:hAnsi="Gotham" w:cs="Arial"/>
          <w:color w:val="000000"/>
          <w:sz w:val="18"/>
          <w:szCs w:val="18"/>
        </w:rPr>
      </w:pPr>
    </w:p>
    <w:p w14:paraId="349D6E4B" w14:textId="77777777" w:rsidR="00071B49" w:rsidRDefault="00071B49" w:rsidP="006809B1">
      <w:pPr>
        <w:rPr>
          <w:rFonts w:ascii="Gotham" w:eastAsia="Times New Roman" w:hAnsi="Gotham" w:cs="Arial"/>
          <w:color w:val="000000"/>
          <w:sz w:val="18"/>
          <w:szCs w:val="18"/>
        </w:rPr>
      </w:pPr>
    </w:p>
    <w:p w14:paraId="208D87DE" w14:textId="77777777" w:rsidR="00071B49" w:rsidRDefault="00071B49" w:rsidP="006809B1">
      <w:pPr>
        <w:rPr>
          <w:rFonts w:ascii="Gotham" w:eastAsia="Times New Roman" w:hAnsi="Gotham" w:cs="Arial"/>
          <w:color w:val="000000"/>
          <w:sz w:val="18"/>
          <w:szCs w:val="18"/>
        </w:rPr>
      </w:pPr>
    </w:p>
    <w:p w14:paraId="13F40211" w14:textId="77777777" w:rsidR="00071B49" w:rsidRPr="00683965" w:rsidRDefault="00071B49" w:rsidP="006809B1">
      <w:pPr>
        <w:rPr>
          <w:rFonts w:ascii="Gotham" w:eastAsia="Times New Roman" w:hAnsi="Gotham" w:cs="Arial"/>
          <w:color w:val="000000"/>
          <w:sz w:val="18"/>
          <w:szCs w:val="18"/>
        </w:rPr>
      </w:pPr>
    </w:p>
    <w:p w14:paraId="366B58B6" w14:textId="77777777" w:rsidR="006809B1" w:rsidRPr="00683965" w:rsidRDefault="006809B1" w:rsidP="006809B1">
      <w:pPr>
        <w:rPr>
          <w:rFonts w:ascii="Gotham" w:eastAsia="Times New Roman" w:hAnsi="Gotham" w:cs="Arial"/>
          <w:b/>
          <w:bCs/>
          <w:color w:val="000000"/>
          <w:sz w:val="18"/>
          <w:szCs w:val="18"/>
        </w:rPr>
      </w:pPr>
      <w:r w:rsidRPr="00683965">
        <w:rPr>
          <w:rFonts w:ascii="Gotham" w:eastAsia="Times New Roman" w:hAnsi="Gotham" w:cs="Arial"/>
          <w:b/>
          <w:bCs/>
          <w:color w:val="000000"/>
          <w:sz w:val="18"/>
          <w:szCs w:val="18"/>
        </w:rPr>
        <w:lastRenderedPageBreak/>
        <w:t>Pasivo Circulante</w:t>
      </w:r>
    </w:p>
    <w:p w14:paraId="4F370227" w14:textId="77777777" w:rsidR="006809B1" w:rsidRPr="00683965" w:rsidRDefault="006809B1" w:rsidP="006809B1">
      <w:pPr>
        <w:rPr>
          <w:rFonts w:ascii="Gotham" w:eastAsia="Times New Roman" w:hAnsi="Gotham" w:cs="Arial"/>
          <w:b/>
          <w:bCs/>
          <w:color w:val="000000"/>
          <w:sz w:val="18"/>
          <w:szCs w:val="18"/>
        </w:rPr>
      </w:pPr>
    </w:p>
    <w:p w14:paraId="16962384" w14:textId="12FFF3A9" w:rsidR="00040B09" w:rsidRPr="00683965" w:rsidRDefault="006809B1" w:rsidP="006809B1">
      <w:pPr>
        <w:jc w:val="both"/>
        <w:textAlignment w:val="baseline"/>
        <w:rPr>
          <w:rFonts w:ascii="Gotham" w:eastAsia="Times New Roman" w:hAnsi="Gotham" w:cs="Arial"/>
          <w:color w:val="000000"/>
          <w:sz w:val="18"/>
          <w:szCs w:val="18"/>
        </w:rPr>
      </w:pPr>
      <w:r w:rsidRPr="00683965">
        <w:rPr>
          <w:rFonts w:ascii="Gotham" w:eastAsia="Times New Roman" w:hAnsi="Gotham" w:cs="Arial"/>
          <w:b/>
          <w:bCs/>
          <w:color w:val="000000"/>
          <w:sz w:val="18"/>
          <w:szCs w:val="18"/>
        </w:rPr>
        <w:t xml:space="preserve">Cuentas por Pagar a Corto Plazo. - </w:t>
      </w:r>
      <w:r w:rsidRPr="00683965">
        <w:rPr>
          <w:rFonts w:ascii="Gotham" w:eastAsia="Times New Roman" w:hAnsi="Gotham" w:cs="Arial"/>
          <w:color w:val="000000"/>
          <w:sz w:val="18"/>
          <w:szCs w:val="18"/>
        </w:rPr>
        <w:t xml:space="preserve">El saldo de este rubro </w:t>
      </w:r>
      <w:r w:rsidRPr="00683965">
        <w:rPr>
          <w:rFonts w:ascii="Gotham" w:eastAsia="Times New Roman" w:hAnsi="Gotham" w:cs="Arial"/>
          <w:sz w:val="18"/>
          <w:szCs w:val="18"/>
        </w:rPr>
        <w:t>por</w:t>
      </w:r>
      <w:r w:rsidRPr="00683965">
        <w:rPr>
          <w:rFonts w:ascii="Gotham" w:eastAsia="Times New Roman" w:hAnsi="Gotham" w:cs="Times New Roman"/>
          <w:sz w:val="18"/>
          <w:szCs w:val="18"/>
        </w:rPr>
        <w:t xml:space="preserve"> </w:t>
      </w:r>
      <w:r w:rsidRPr="00683965">
        <w:rPr>
          <w:rFonts w:ascii="Gotham" w:eastAsia="Times New Roman" w:hAnsi="Gotham" w:cs="Arial"/>
          <w:sz w:val="18"/>
          <w:szCs w:val="18"/>
        </w:rPr>
        <w:t xml:space="preserve">3,309,385.24 se integra </w:t>
      </w:r>
      <w:r w:rsidRPr="00683965">
        <w:rPr>
          <w:rFonts w:ascii="Gotham" w:eastAsia="Times New Roman" w:hAnsi="Gotham" w:cs="Arial"/>
          <w:color w:val="000000"/>
          <w:sz w:val="18"/>
          <w:szCs w:val="18"/>
        </w:rPr>
        <w:t>de la forma y con la antigüedad de saldos siguientes:</w:t>
      </w:r>
    </w:p>
    <w:p w14:paraId="309C417B" w14:textId="0EF2F809" w:rsidR="007F221D" w:rsidRPr="00683965" w:rsidRDefault="007F221D" w:rsidP="006809B1">
      <w:pPr>
        <w:jc w:val="both"/>
        <w:textAlignment w:val="baseline"/>
        <w:rPr>
          <w:rFonts w:ascii="Gotham" w:eastAsia="Times New Roman" w:hAnsi="Gotham" w:cs="Arial"/>
          <w:color w:val="000000"/>
          <w:sz w:val="18"/>
          <w:szCs w:val="18"/>
        </w:rPr>
      </w:pPr>
    </w:p>
    <w:p w14:paraId="2DF4C767" w14:textId="77777777" w:rsidR="007F221D" w:rsidRPr="00683965" w:rsidRDefault="007F221D" w:rsidP="006809B1">
      <w:pPr>
        <w:jc w:val="both"/>
        <w:textAlignment w:val="baseline"/>
        <w:rPr>
          <w:rFonts w:ascii="Gotham" w:eastAsia="Times New Roman" w:hAnsi="Gotham" w:cs="Arial"/>
          <w:color w:val="000000"/>
          <w:sz w:val="18"/>
          <w:szCs w:val="18"/>
        </w:rPr>
      </w:pPr>
    </w:p>
    <w:p w14:paraId="6827F061" w14:textId="77777777" w:rsidR="006809B1" w:rsidRPr="00683965" w:rsidRDefault="006809B1" w:rsidP="006809B1">
      <w:pPr>
        <w:numPr>
          <w:ilvl w:val="0"/>
          <w:numId w:val="3"/>
        </w:numPr>
        <w:spacing w:after="160"/>
        <w:contextualSpacing/>
        <w:jc w:val="both"/>
        <w:textAlignment w:val="baseline"/>
        <w:rPr>
          <w:rFonts w:ascii="Gotham" w:eastAsia="Times New Roman" w:hAnsi="Gotham" w:cs="Arial"/>
          <w:bCs/>
          <w:color w:val="000000"/>
          <w:sz w:val="18"/>
          <w:szCs w:val="18"/>
        </w:rPr>
      </w:pPr>
      <w:r w:rsidRPr="00683965">
        <w:rPr>
          <w:rFonts w:ascii="Gotham" w:eastAsia="Times New Roman" w:hAnsi="Gotham" w:cs="Arial"/>
          <w:b/>
          <w:bCs/>
          <w:color w:val="000000"/>
          <w:sz w:val="18"/>
          <w:szCs w:val="18"/>
        </w:rPr>
        <w:t xml:space="preserve">Proveedores por Pagar a Corto Plazo. - </w:t>
      </w:r>
      <w:r w:rsidRPr="00683965">
        <w:rPr>
          <w:rFonts w:ascii="Gotham" w:eastAsia="Times New Roman" w:hAnsi="Gotham" w:cs="Arial"/>
          <w:bCs/>
          <w:color w:val="000000"/>
          <w:sz w:val="18"/>
          <w:szCs w:val="18"/>
        </w:rPr>
        <w:t xml:space="preserve">El saldo de </w:t>
      </w:r>
      <w:r w:rsidRPr="00683965">
        <w:rPr>
          <w:rFonts w:ascii="Gotham" w:eastAsia="Times New Roman" w:hAnsi="Gotham" w:cs="Arial"/>
          <w:bCs/>
          <w:sz w:val="18"/>
          <w:szCs w:val="18"/>
        </w:rPr>
        <w:t>706,470.32</w:t>
      </w:r>
      <w:r w:rsidRPr="00683965">
        <w:rPr>
          <w:rFonts w:ascii="Gotham" w:eastAsia="Times New Roman" w:hAnsi="Gotham" w:cs="Arial"/>
          <w:bCs/>
          <w:color w:val="000000"/>
          <w:sz w:val="18"/>
          <w:szCs w:val="18"/>
        </w:rPr>
        <w:t>, en este mes representa los adeudos a Proveedores de Bienes y Servicios, ésta se describe en el cuadro siguiente:</w:t>
      </w:r>
    </w:p>
    <w:p w14:paraId="5F3DA057" w14:textId="77777777" w:rsidR="006809B1" w:rsidRPr="00683965" w:rsidRDefault="006809B1" w:rsidP="006809B1">
      <w:pPr>
        <w:contextualSpacing/>
        <w:jc w:val="both"/>
        <w:textAlignment w:val="baseline"/>
        <w:rPr>
          <w:rFonts w:ascii="Gotham" w:eastAsia="Times New Roman" w:hAnsi="Gotham" w:cs="Arial"/>
          <w:bCs/>
          <w:color w:val="000000"/>
          <w:sz w:val="18"/>
          <w:szCs w:val="18"/>
        </w:rPr>
      </w:pPr>
    </w:p>
    <w:p w14:paraId="715E0239" w14:textId="77777777" w:rsidR="006809B1" w:rsidRPr="00683965" w:rsidRDefault="006809B1" w:rsidP="006809B1">
      <w:pPr>
        <w:ind w:left="644"/>
        <w:contextualSpacing/>
        <w:textAlignment w:val="baseline"/>
        <w:rPr>
          <w:rFonts w:ascii="Gotham" w:eastAsia="Times New Roman" w:hAnsi="Gotham" w:cs="Arial"/>
          <w:bCs/>
          <w:color w:val="000000"/>
          <w:sz w:val="18"/>
          <w:szCs w:val="18"/>
        </w:rPr>
      </w:pPr>
      <w:r w:rsidRPr="00683965">
        <w:rPr>
          <w:rFonts w:ascii="Gotham" w:hAnsi="Gotham"/>
          <w:noProof/>
        </w:rPr>
        <w:drawing>
          <wp:inline distT="0" distB="0" distL="0" distR="0" wp14:anchorId="37C5A336" wp14:editId="3413265C">
            <wp:extent cx="5895082" cy="1225685"/>
            <wp:effectExtent l="0" t="0" r="0" b="0"/>
            <wp:docPr id="119311942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2856" cy="1229380"/>
                    </a:xfrm>
                    <a:prstGeom prst="rect">
                      <a:avLst/>
                    </a:prstGeom>
                    <a:noFill/>
                    <a:ln>
                      <a:noFill/>
                    </a:ln>
                  </pic:spPr>
                </pic:pic>
              </a:graphicData>
            </a:graphic>
          </wp:inline>
        </w:drawing>
      </w:r>
    </w:p>
    <w:p w14:paraId="3E882EE1" w14:textId="77777777" w:rsidR="006809B1" w:rsidRPr="00683965" w:rsidRDefault="006809B1" w:rsidP="006809B1">
      <w:pPr>
        <w:ind w:left="644"/>
        <w:contextualSpacing/>
        <w:jc w:val="both"/>
        <w:textAlignment w:val="baseline"/>
        <w:rPr>
          <w:rFonts w:ascii="Gotham" w:eastAsia="Times New Roman" w:hAnsi="Gotham" w:cs="Arial"/>
          <w:bCs/>
          <w:color w:val="000000"/>
          <w:sz w:val="18"/>
          <w:szCs w:val="18"/>
        </w:rPr>
      </w:pPr>
    </w:p>
    <w:p w14:paraId="097B566B" w14:textId="77777777" w:rsidR="006809B1" w:rsidRPr="00683965" w:rsidRDefault="006809B1" w:rsidP="006809B1">
      <w:pPr>
        <w:numPr>
          <w:ilvl w:val="0"/>
          <w:numId w:val="3"/>
        </w:numPr>
        <w:contextualSpacing/>
        <w:jc w:val="both"/>
        <w:textAlignment w:val="baseline"/>
        <w:rPr>
          <w:rFonts w:ascii="Gotham" w:eastAsia="Times New Roman" w:hAnsi="Gotham" w:cs="Arial"/>
          <w:color w:val="000000"/>
          <w:sz w:val="18"/>
          <w:szCs w:val="18"/>
        </w:rPr>
      </w:pPr>
      <w:r w:rsidRPr="00683965">
        <w:rPr>
          <w:rFonts w:ascii="Gotham" w:eastAsia="Times New Roman" w:hAnsi="Gotham" w:cs="Arial"/>
          <w:b/>
          <w:bCs/>
          <w:color w:val="000000"/>
          <w:sz w:val="18"/>
          <w:szCs w:val="18"/>
        </w:rPr>
        <w:t>Retenciones y Contribuciones por Pagar a Corto Plazo</w:t>
      </w:r>
      <w:r w:rsidRPr="00683965">
        <w:rPr>
          <w:rFonts w:ascii="Gotham" w:eastAsia="Times New Roman" w:hAnsi="Gotham" w:cs="Times New Roman"/>
          <w:b/>
          <w:bCs/>
          <w:color w:val="000000"/>
          <w:sz w:val="18"/>
          <w:szCs w:val="18"/>
        </w:rPr>
        <w:t xml:space="preserve">. </w:t>
      </w:r>
      <w:r w:rsidRPr="00683965">
        <w:rPr>
          <w:rFonts w:ascii="Gotham" w:eastAsia="Times New Roman" w:hAnsi="Gotham" w:cs="Times New Roman"/>
          <w:bCs/>
          <w:color w:val="000000"/>
          <w:sz w:val="18"/>
          <w:szCs w:val="18"/>
        </w:rPr>
        <w:t>-</w:t>
      </w:r>
      <w:r w:rsidRPr="00683965">
        <w:rPr>
          <w:rFonts w:ascii="Gotham" w:eastAsia="Times New Roman" w:hAnsi="Gotham" w:cs="Times New Roman"/>
          <w:b/>
          <w:bCs/>
          <w:color w:val="000000"/>
          <w:sz w:val="18"/>
          <w:szCs w:val="18"/>
        </w:rPr>
        <w:t xml:space="preserve"> </w:t>
      </w:r>
      <w:r w:rsidRPr="00683965">
        <w:rPr>
          <w:rFonts w:ascii="Gotham" w:eastAsia="Times New Roman" w:hAnsi="Gotham" w:cs="Arial"/>
          <w:color w:val="000000"/>
          <w:sz w:val="18"/>
          <w:szCs w:val="18"/>
        </w:rPr>
        <w:t xml:space="preserve">El saldo de </w:t>
      </w:r>
      <w:r w:rsidRPr="00683965">
        <w:rPr>
          <w:rFonts w:ascii="Gotham" w:eastAsia="Times New Roman" w:hAnsi="Gotham" w:cs="Arial"/>
          <w:sz w:val="18"/>
          <w:szCs w:val="18"/>
        </w:rPr>
        <w:t>1,403,963.83</w:t>
      </w:r>
      <w:r w:rsidRPr="00683965">
        <w:rPr>
          <w:rFonts w:ascii="Gotham" w:eastAsia="Times New Roman" w:hAnsi="Gotham" w:cs="Arial"/>
          <w:color w:val="000000"/>
          <w:sz w:val="18"/>
          <w:szCs w:val="18"/>
        </w:rPr>
        <w:t>, en este mes representa Retenciones por pagar a SUTEYM, Retenciones por servicio de limpieza, Retenciones de ISR por pagar al Sistema de Administración Tributaria (SAT).</w:t>
      </w:r>
    </w:p>
    <w:p w14:paraId="5BAEF0D4" w14:textId="77777777" w:rsidR="006809B1" w:rsidRPr="00683965" w:rsidRDefault="006809B1" w:rsidP="006809B1">
      <w:pPr>
        <w:ind w:left="644"/>
        <w:contextualSpacing/>
        <w:jc w:val="both"/>
        <w:textAlignment w:val="baseline"/>
        <w:rPr>
          <w:rFonts w:ascii="Gotham" w:eastAsia="Times New Roman" w:hAnsi="Gotham" w:cs="Arial"/>
          <w:b/>
          <w:bCs/>
          <w:color w:val="000000"/>
          <w:sz w:val="18"/>
          <w:szCs w:val="18"/>
        </w:rPr>
      </w:pPr>
    </w:p>
    <w:p w14:paraId="6159EA6D" w14:textId="77777777" w:rsidR="006809B1" w:rsidRPr="00683965" w:rsidRDefault="006809B1" w:rsidP="006809B1">
      <w:pPr>
        <w:ind w:left="644"/>
        <w:contextualSpacing/>
        <w:jc w:val="both"/>
        <w:textAlignment w:val="baseline"/>
        <w:rPr>
          <w:rFonts w:ascii="Gotham" w:eastAsia="Times New Roman" w:hAnsi="Gotham" w:cs="Arial"/>
          <w:b/>
          <w:bCs/>
          <w:color w:val="000000"/>
          <w:sz w:val="18"/>
          <w:szCs w:val="18"/>
        </w:rPr>
      </w:pPr>
      <w:r w:rsidRPr="00683965">
        <w:rPr>
          <w:rFonts w:ascii="Gotham" w:hAnsi="Gotham"/>
          <w:noProof/>
        </w:rPr>
        <w:drawing>
          <wp:inline distT="0" distB="0" distL="0" distR="0" wp14:anchorId="5DB365CC" wp14:editId="46551CCC">
            <wp:extent cx="6036231" cy="4231532"/>
            <wp:effectExtent l="0" t="0" r="3175" b="0"/>
            <wp:docPr id="159181156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4769" cy="4265558"/>
                    </a:xfrm>
                    <a:prstGeom prst="rect">
                      <a:avLst/>
                    </a:prstGeom>
                    <a:noFill/>
                    <a:ln>
                      <a:noFill/>
                    </a:ln>
                  </pic:spPr>
                </pic:pic>
              </a:graphicData>
            </a:graphic>
          </wp:inline>
        </w:drawing>
      </w:r>
    </w:p>
    <w:p w14:paraId="518349A3" w14:textId="77777777" w:rsidR="006809B1" w:rsidRPr="00683965" w:rsidRDefault="006809B1" w:rsidP="006809B1">
      <w:pPr>
        <w:contextualSpacing/>
        <w:jc w:val="both"/>
        <w:textAlignment w:val="baseline"/>
        <w:rPr>
          <w:rFonts w:ascii="Gotham" w:eastAsia="Times New Roman" w:hAnsi="Gotham" w:cs="Arial"/>
          <w:color w:val="000000"/>
          <w:sz w:val="18"/>
          <w:szCs w:val="18"/>
        </w:rPr>
      </w:pPr>
    </w:p>
    <w:p w14:paraId="23C381B4" w14:textId="2266D1F6" w:rsidR="008447BC" w:rsidRPr="00683965" w:rsidRDefault="008447BC" w:rsidP="006809B1">
      <w:pPr>
        <w:contextualSpacing/>
        <w:jc w:val="both"/>
        <w:textAlignment w:val="baseline"/>
        <w:rPr>
          <w:rFonts w:ascii="Gotham" w:eastAsia="Times New Roman" w:hAnsi="Gotham" w:cs="Arial"/>
          <w:color w:val="000000"/>
          <w:sz w:val="18"/>
          <w:szCs w:val="18"/>
        </w:rPr>
      </w:pPr>
    </w:p>
    <w:p w14:paraId="6E1E9B37" w14:textId="467FC9F7" w:rsidR="008447BC" w:rsidRPr="00683965" w:rsidRDefault="008447BC" w:rsidP="006809B1">
      <w:pPr>
        <w:contextualSpacing/>
        <w:jc w:val="both"/>
        <w:textAlignment w:val="baseline"/>
        <w:rPr>
          <w:rFonts w:ascii="Gotham" w:eastAsia="Times New Roman" w:hAnsi="Gotham" w:cs="Arial"/>
          <w:color w:val="000000"/>
          <w:sz w:val="18"/>
          <w:szCs w:val="18"/>
        </w:rPr>
      </w:pPr>
    </w:p>
    <w:p w14:paraId="2F73EAF6" w14:textId="752B4CAC" w:rsidR="008447BC" w:rsidRPr="00683965" w:rsidRDefault="008447BC" w:rsidP="006809B1">
      <w:pPr>
        <w:contextualSpacing/>
        <w:jc w:val="both"/>
        <w:textAlignment w:val="baseline"/>
        <w:rPr>
          <w:rFonts w:ascii="Gotham" w:eastAsia="Times New Roman" w:hAnsi="Gotham" w:cs="Arial"/>
          <w:color w:val="000000"/>
          <w:sz w:val="18"/>
          <w:szCs w:val="18"/>
        </w:rPr>
      </w:pPr>
    </w:p>
    <w:p w14:paraId="14F5E449" w14:textId="77777777" w:rsidR="006809B1" w:rsidRPr="00683965" w:rsidRDefault="006809B1" w:rsidP="006809B1">
      <w:pPr>
        <w:numPr>
          <w:ilvl w:val="0"/>
          <w:numId w:val="3"/>
        </w:numPr>
        <w:contextualSpacing/>
        <w:jc w:val="both"/>
        <w:textAlignment w:val="baseline"/>
        <w:rPr>
          <w:rFonts w:ascii="Gotham" w:eastAsia="Times New Roman" w:hAnsi="Gotham" w:cs="Arial"/>
          <w:color w:val="000000"/>
          <w:sz w:val="18"/>
          <w:szCs w:val="18"/>
        </w:rPr>
      </w:pPr>
      <w:r w:rsidRPr="00683965">
        <w:rPr>
          <w:rFonts w:ascii="Gotham" w:hAnsi="Gotham" w:cs="Arial"/>
          <w:b/>
          <w:bCs/>
          <w:color w:val="000000"/>
          <w:sz w:val="18"/>
          <w:szCs w:val="18"/>
          <w:lang w:eastAsia="en-US"/>
        </w:rPr>
        <w:t xml:space="preserve">Otras Cuentas por Pagar a Corto Plazo. </w:t>
      </w:r>
      <w:r w:rsidRPr="00683965">
        <w:rPr>
          <w:rFonts w:ascii="Gotham" w:hAnsi="Gotham" w:cs="Arial"/>
          <w:color w:val="000000"/>
          <w:sz w:val="18"/>
          <w:szCs w:val="18"/>
          <w:lang w:eastAsia="en-US"/>
        </w:rPr>
        <w:t xml:space="preserve">- El saldo de </w:t>
      </w:r>
      <w:r w:rsidRPr="00683965">
        <w:rPr>
          <w:rFonts w:ascii="Gotham" w:hAnsi="Gotham" w:cs="Arial"/>
          <w:sz w:val="18"/>
          <w:szCs w:val="18"/>
          <w:lang w:eastAsia="en-US"/>
        </w:rPr>
        <w:t>1,198,951.09</w:t>
      </w:r>
      <w:r w:rsidRPr="00683965">
        <w:rPr>
          <w:rFonts w:ascii="Gotham" w:hAnsi="Gotham" w:cs="Arial"/>
          <w:color w:val="000000"/>
          <w:sz w:val="18"/>
          <w:szCs w:val="18"/>
          <w:lang w:eastAsia="en-US"/>
        </w:rPr>
        <w:t xml:space="preserve">, se representa principalmente, </w:t>
      </w:r>
      <w:r w:rsidRPr="00683965">
        <w:rPr>
          <w:rFonts w:ascii="Gotham" w:hAnsi="Gotham" w:cs="Arial"/>
          <w:sz w:val="18"/>
          <w:szCs w:val="18"/>
          <w:lang w:eastAsia="en-US"/>
        </w:rPr>
        <w:t>ISERTP 3% Sobre Nóminas, Servicios Personales (Finiquitos), Aportaciones ISSEMYM, Prestaciones Sociales y Estímulos, Cheques en tránsito cancelados y devoluciones de ingresos indebidos.</w:t>
      </w:r>
    </w:p>
    <w:p w14:paraId="38437752" w14:textId="77777777" w:rsidR="006809B1" w:rsidRPr="00683965" w:rsidRDefault="006809B1" w:rsidP="006809B1">
      <w:pPr>
        <w:contextualSpacing/>
        <w:jc w:val="center"/>
        <w:textAlignment w:val="baseline"/>
        <w:rPr>
          <w:rFonts w:ascii="Gotham" w:eastAsia="Times New Roman" w:hAnsi="Gotham" w:cs="Arial"/>
          <w:color w:val="000000"/>
          <w:sz w:val="18"/>
          <w:szCs w:val="18"/>
        </w:rPr>
      </w:pPr>
    </w:p>
    <w:p w14:paraId="6A4231ED" w14:textId="0F5D9E72" w:rsidR="006809B1" w:rsidRPr="00683965" w:rsidRDefault="006809B1" w:rsidP="006809B1">
      <w:pPr>
        <w:contextualSpacing/>
        <w:jc w:val="center"/>
        <w:textAlignment w:val="baseline"/>
        <w:rPr>
          <w:rFonts w:ascii="Gotham" w:eastAsia="Times New Roman" w:hAnsi="Gotham" w:cs="Arial"/>
          <w:color w:val="000000"/>
          <w:sz w:val="18"/>
          <w:szCs w:val="18"/>
        </w:rPr>
      </w:pPr>
      <w:r w:rsidRPr="00683965">
        <w:rPr>
          <w:rFonts w:ascii="Gotham" w:eastAsia="Times New Roman" w:hAnsi="Gotham" w:cs="Arial"/>
          <w:noProof/>
          <w:color w:val="000000"/>
          <w:sz w:val="18"/>
          <w:szCs w:val="18"/>
        </w:rPr>
        <w:drawing>
          <wp:inline distT="0" distB="0" distL="0" distR="0" wp14:anchorId="4A3EA835" wp14:editId="708FD5BB">
            <wp:extent cx="5866037" cy="4804564"/>
            <wp:effectExtent l="0" t="0" r="1905" b="0"/>
            <wp:docPr id="207374935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9526" cy="4807422"/>
                    </a:xfrm>
                    <a:prstGeom prst="rect">
                      <a:avLst/>
                    </a:prstGeom>
                    <a:noFill/>
                  </pic:spPr>
                </pic:pic>
              </a:graphicData>
            </a:graphic>
          </wp:inline>
        </w:drawing>
      </w:r>
    </w:p>
    <w:p w14:paraId="7D0AB6FE" w14:textId="34D218A7" w:rsidR="006809B1" w:rsidRPr="00683965" w:rsidRDefault="006809B1" w:rsidP="006809B1">
      <w:pPr>
        <w:contextualSpacing/>
        <w:jc w:val="center"/>
        <w:textAlignment w:val="baseline"/>
        <w:rPr>
          <w:rFonts w:ascii="Gotham" w:eastAsia="Times New Roman" w:hAnsi="Gotham" w:cs="Arial"/>
          <w:color w:val="000000"/>
          <w:sz w:val="18"/>
          <w:szCs w:val="18"/>
        </w:rPr>
      </w:pPr>
    </w:p>
    <w:p w14:paraId="1F1B28B5" w14:textId="5E356120" w:rsidR="006809B1" w:rsidRPr="00683965" w:rsidRDefault="006809B1" w:rsidP="006809B1">
      <w:pPr>
        <w:numPr>
          <w:ilvl w:val="0"/>
          <w:numId w:val="3"/>
        </w:numPr>
        <w:contextualSpacing/>
        <w:jc w:val="both"/>
        <w:textAlignment w:val="baseline"/>
        <w:rPr>
          <w:rFonts w:ascii="Gotham" w:eastAsia="Times New Roman" w:hAnsi="Gotham" w:cs="Times New Roman"/>
          <w:sz w:val="18"/>
          <w:szCs w:val="18"/>
        </w:rPr>
      </w:pPr>
      <w:r w:rsidRPr="00683965">
        <w:rPr>
          <w:rFonts w:ascii="Gotham" w:hAnsi="Gotham" w:cs="Arial"/>
          <w:b/>
          <w:bCs/>
          <w:color w:val="000000"/>
          <w:sz w:val="18"/>
          <w:szCs w:val="18"/>
          <w:lang w:eastAsia="en-US"/>
        </w:rPr>
        <w:t>Porción a Corto Plazo de la Deuda Pública Interna.</w:t>
      </w:r>
      <w:r w:rsidRPr="00683965">
        <w:rPr>
          <w:rFonts w:ascii="Gotham" w:hAnsi="Gotham" w:cs="Arial"/>
          <w:color w:val="000000"/>
          <w:sz w:val="18"/>
          <w:szCs w:val="18"/>
          <w:lang w:eastAsia="en-US"/>
        </w:rPr>
        <w:t xml:space="preserve"> – </w:t>
      </w:r>
      <w:r w:rsidRPr="00683965">
        <w:rPr>
          <w:rFonts w:ascii="Gotham" w:hAnsi="Gotham" w:cs="Arial"/>
          <w:sz w:val="18"/>
          <w:szCs w:val="18"/>
          <w:lang w:eastAsia="en-US"/>
        </w:rPr>
        <w:t xml:space="preserve">En el mes que se reporta se realizó el pago del segundo semestre de los certificados Bursátiles de la Serie C.  </w:t>
      </w:r>
    </w:p>
    <w:p w14:paraId="6FF57A19" w14:textId="62BE5DE4" w:rsidR="006809B1" w:rsidRPr="00683965" w:rsidRDefault="006809B1" w:rsidP="006809B1">
      <w:pPr>
        <w:ind w:left="644"/>
        <w:contextualSpacing/>
        <w:jc w:val="both"/>
        <w:textAlignment w:val="baseline"/>
        <w:rPr>
          <w:rFonts w:ascii="Gotham" w:eastAsia="Times New Roman" w:hAnsi="Gotham" w:cs="Times New Roman"/>
          <w:sz w:val="18"/>
          <w:szCs w:val="18"/>
        </w:rPr>
      </w:pPr>
    </w:p>
    <w:p w14:paraId="375A02D3" w14:textId="0039F328" w:rsidR="006809B1" w:rsidRPr="00683965" w:rsidRDefault="006809B1" w:rsidP="006809B1">
      <w:pPr>
        <w:ind w:left="644"/>
        <w:contextualSpacing/>
        <w:jc w:val="both"/>
        <w:textAlignment w:val="baseline"/>
        <w:rPr>
          <w:rFonts w:ascii="Gotham" w:eastAsia="Times New Roman" w:hAnsi="Gotham" w:cs="Times New Roman"/>
          <w:sz w:val="18"/>
          <w:szCs w:val="18"/>
        </w:rPr>
      </w:pPr>
    </w:p>
    <w:p w14:paraId="00329279" w14:textId="1036CA91" w:rsidR="007F221D" w:rsidRPr="00683965" w:rsidRDefault="007F221D" w:rsidP="006809B1">
      <w:pPr>
        <w:ind w:left="644"/>
        <w:contextualSpacing/>
        <w:jc w:val="both"/>
        <w:textAlignment w:val="baseline"/>
        <w:rPr>
          <w:rFonts w:ascii="Gotham" w:eastAsia="Times New Roman" w:hAnsi="Gotham" w:cs="Times New Roman"/>
          <w:sz w:val="18"/>
          <w:szCs w:val="18"/>
        </w:rPr>
      </w:pPr>
    </w:p>
    <w:p w14:paraId="0C014233" w14:textId="0FF0CF90" w:rsidR="007F221D" w:rsidRPr="00683965" w:rsidRDefault="007F221D" w:rsidP="006809B1">
      <w:pPr>
        <w:ind w:left="644"/>
        <w:contextualSpacing/>
        <w:jc w:val="both"/>
        <w:textAlignment w:val="baseline"/>
        <w:rPr>
          <w:rFonts w:ascii="Gotham" w:eastAsia="Times New Roman" w:hAnsi="Gotham" w:cs="Times New Roman"/>
          <w:sz w:val="18"/>
          <w:szCs w:val="18"/>
        </w:rPr>
      </w:pPr>
    </w:p>
    <w:p w14:paraId="56831EE1" w14:textId="097D6EBD" w:rsidR="007F221D" w:rsidRPr="00683965" w:rsidRDefault="007F221D" w:rsidP="006809B1">
      <w:pPr>
        <w:ind w:left="644"/>
        <w:contextualSpacing/>
        <w:jc w:val="both"/>
        <w:textAlignment w:val="baseline"/>
        <w:rPr>
          <w:rFonts w:ascii="Gotham" w:eastAsia="Times New Roman" w:hAnsi="Gotham" w:cs="Times New Roman"/>
          <w:sz w:val="18"/>
          <w:szCs w:val="18"/>
        </w:rPr>
      </w:pPr>
    </w:p>
    <w:p w14:paraId="061F8498" w14:textId="4260E1F6" w:rsidR="007F221D" w:rsidRPr="00683965" w:rsidRDefault="007F221D" w:rsidP="006809B1">
      <w:pPr>
        <w:ind w:left="644"/>
        <w:contextualSpacing/>
        <w:jc w:val="both"/>
        <w:textAlignment w:val="baseline"/>
        <w:rPr>
          <w:rFonts w:ascii="Gotham" w:eastAsia="Times New Roman" w:hAnsi="Gotham" w:cs="Times New Roman"/>
          <w:sz w:val="18"/>
          <w:szCs w:val="18"/>
        </w:rPr>
      </w:pPr>
    </w:p>
    <w:p w14:paraId="0E9EB75F" w14:textId="54EC4B05" w:rsidR="007F221D" w:rsidRPr="00683965" w:rsidRDefault="007F221D" w:rsidP="006809B1">
      <w:pPr>
        <w:ind w:left="644"/>
        <w:contextualSpacing/>
        <w:jc w:val="both"/>
        <w:textAlignment w:val="baseline"/>
        <w:rPr>
          <w:rFonts w:ascii="Gotham" w:eastAsia="Times New Roman" w:hAnsi="Gotham" w:cs="Times New Roman"/>
          <w:sz w:val="18"/>
          <w:szCs w:val="18"/>
        </w:rPr>
      </w:pPr>
    </w:p>
    <w:p w14:paraId="0806CFE4" w14:textId="608EB183" w:rsidR="007F221D" w:rsidRPr="00683965" w:rsidRDefault="007F221D" w:rsidP="006809B1">
      <w:pPr>
        <w:ind w:left="644"/>
        <w:contextualSpacing/>
        <w:jc w:val="both"/>
        <w:textAlignment w:val="baseline"/>
        <w:rPr>
          <w:rFonts w:ascii="Gotham" w:eastAsia="Times New Roman" w:hAnsi="Gotham" w:cs="Times New Roman"/>
          <w:sz w:val="18"/>
          <w:szCs w:val="18"/>
        </w:rPr>
      </w:pPr>
    </w:p>
    <w:p w14:paraId="5D3CC6A1" w14:textId="46FCABA3" w:rsidR="007F221D" w:rsidRPr="00683965" w:rsidRDefault="007F221D" w:rsidP="006809B1">
      <w:pPr>
        <w:ind w:left="644"/>
        <w:contextualSpacing/>
        <w:jc w:val="both"/>
        <w:textAlignment w:val="baseline"/>
        <w:rPr>
          <w:rFonts w:ascii="Gotham" w:eastAsia="Times New Roman" w:hAnsi="Gotham" w:cs="Times New Roman"/>
          <w:sz w:val="18"/>
          <w:szCs w:val="18"/>
        </w:rPr>
      </w:pPr>
    </w:p>
    <w:p w14:paraId="665157F7" w14:textId="13D769E6" w:rsidR="007F221D" w:rsidRDefault="007F221D" w:rsidP="006809B1">
      <w:pPr>
        <w:ind w:left="644"/>
        <w:contextualSpacing/>
        <w:jc w:val="both"/>
        <w:textAlignment w:val="baseline"/>
        <w:rPr>
          <w:rFonts w:ascii="Gotham" w:eastAsia="Times New Roman" w:hAnsi="Gotham" w:cs="Times New Roman"/>
          <w:sz w:val="18"/>
          <w:szCs w:val="18"/>
        </w:rPr>
      </w:pPr>
    </w:p>
    <w:p w14:paraId="4CB7C4BE" w14:textId="77777777" w:rsidR="00071B49" w:rsidRPr="00683965" w:rsidRDefault="00071B49" w:rsidP="006809B1">
      <w:pPr>
        <w:ind w:left="644"/>
        <w:contextualSpacing/>
        <w:jc w:val="both"/>
        <w:textAlignment w:val="baseline"/>
        <w:rPr>
          <w:rFonts w:ascii="Gotham" w:eastAsia="Times New Roman" w:hAnsi="Gotham" w:cs="Times New Roman"/>
          <w:sz w:val="18"/>
          <w:szCs w:val="18"/>
        </w:rPr>
      </w:pPr>
    </w:p>
    <w:p w14:paraId="4A06684F" w14:textId="051D03FE" w:rsidR="007F221D" w:rsidRPr="00683965" w:rsidRDefault="007F221D" w:rsidP="006809B1">
      <w:pPr>
        <w:ind w:left="644"/>
        <w:contextualSpacing/>
        <w:jc w:val="both"/>
        <w:textAlignment w:val="baseline"/>
        <w:rPr>
          <w:rFonts w:ascii="Gotham" w:eastAsia="Times New Roman" w:hAnsi="Gotham" w:cs="Times New Roman"/>
          <w:sz w:val="18"/>
          <w:szCs w:val="18"/>
        </w:rPr>
      </w:pPr>
    </w:p>
    <w:p w14:paraId="452EDB46" w14:textId="7923D2C1" w:rsidR="007F221D" w:rsidRPr="00683965" w:rsidRDefault="007F221D" w:rsidP="006809B1">
      <w:pPr>
        <w:ind w:left="644"/>
        <w:contextualSpacing/>
        <w:jc w:val="both"/>
        <w:textAlignment w:val="baseline"/>
        <w:rPr>
          <w:rFonts w:ascii="Gotham" w:eastAsia="Times New Roman" w:hAnsi="Gotham" w:cs="Times New Roman"/>
          <w:sz w:val="18"/>
          <w:szCs w:val="18"/>
        </w:rPr>
      </w:pPr>
    </w:p>
    <w:p w14:paraId="6E592AED" w14:textId="3066DAEF" w:rsidR="007F221D" w:rsidRPr="00683965" w:rsidRDefault="007F221D" w:rsidP="006809B1">
      <w:pPr>
        <w:ind w:left="644"/>
        <w:contextualSpacing/>
        <w:jc w:val="both"/>
        <w:textAlignment w:val="baseline"/>
        <w:rPr>
          <w:rFonts w:ascii="Gotham" w:eastAsia="Times New Roman" w:hAnsi="Gotham" w:cs="Times New Roman"/>
          <w:sz w:val="18"/>
          <w:szCs w:val="18"/>
        </w:rPr>
      </w:pPr>
    </w:p>
    <w:p w14:paraId="74E9DD2F" w14:textId="77777777" w:rsidR="007F221D" w:rsidRPr="00683965" w:rsidRDefault="007F221D" w:rsidP="006809B1">
      <w:pPr>
        <w:ind w:left="644"/>
        <w:contextualSpacing/>
        <w:jc w:val="both"/>
        <w:textAlignment w:val="baseline"/>
        <w:rPr>
          <w:rFonts w:ascii="Gotham" w:eastAsia="Times New Roman" w:hAnsi="Gotham" w:cs="Times New Roman"/>
          <w:sz w:val="18"/>
          <w:szCs w:val="18"/>
        </w:rPr>
      </w:pPr>
    </w:p>
    <w:p w14:paraId="38DE175B" w14:textId="13593659" w:rsidR="006809B1" w:rsidRPr="00683965" w:rsidRDefault="006809B1" w:rsidP="006809B1">
      <w:pPr>
        <w:jc w:val="both"/>
        <w:rPr>
          <w:rFonts w:ascii="Gotham" w:eastAsia="Times New Roman" w:hAnsi="Gotham" w:cs="Times New Roman"/>
          <w:sz w:val="18"/>
          <w:szCs w:val="18"/>
        </w:rPr>
      </w:pPr>
      <w:r w:rsidRPr="00683965">
        <w:rPr>
          <w:rFonts w:ascii="Gotham" w:eastAsia="Times New Roman" w:hAnsi="Gotham" w:cs="Arial"/>
          <w:b/>
          <w:bCs/>
          <w:sz w:val="18"/>
          <w:szCs w:val="18"/>
        </w:rPr>
        <w:t>Pasivo No Circulante</w:t>
      </w:r>
    </w:p>
    <w:p w14:paraId="3B32CC36" w14:textId="77777777" w:rsidR="006809B1" w:rsidRPr="00683965" w:rsidRDefault="006809B1" w:rsidP="006809B1">
      <w:pPr>
        <w:jc w:val="both"/>
        <w:rPr>
          <w:rFonts w:ascii="Gotham" w:eastAsia="Times New Roman" w:hAnsi="Gotham" w:cs="Arial"/>
          <w:color w:val="000000"/>
          <w:sz w:val="18"/>
          <w:szCs w:val="18"/>
        </w:rPr>
      </w:pPr>
      <w:r w:rsidRPr="00683965">
        <w:rPr>
          <w:rFonts w:ascii="Gotham" w:eastAsia="Times New Roman" w:hAnsi="Gotham" w:cs="Arial"/>
          <w:b/>
          <w:bCs/>
          <w:color w:val="000000"/>
          <w:sz w:val="18"/>
          <w:szCs w:val="18"/>
        </w:rPr>
        <w:t xml:space="preserve">Documentos por Pagar a Largo Plazo. - </w:t>
      </w:r>
      <w:r w:rsidRPr="00683965">
        <w:rPr>
          <w:rFonts w:ascii="Gotham" w:eastAsia="Times New Roman" w:hAnsi="Gotham" w:cs="Arial"/>
          <w:color w:val="000000"/>
          <w:sz w:val="18"/>
          <w:szCs w:val="18"/>
        </w:rPr>
        <w:t>Se integra por:</w:t>
      </w:r>
    </w:p>
    <w:p w14:paraId="26D0F867" w14:textId="77777777" w:rsidR="006809B1" w:rsidRPr="00683965" w:rsidRDefault="006809B1" w:rsidP="006809B1">
      <w:pPr>
        <w:jc w:val="both"/>
        <w:rPr>
          <w:rFonts w:ascii="Gotham" w:eastAsia="Times New Roman" w:hAnsi="Gotham" w:cs="Arial"/>
          <w:color w:val="000000"/>
          <w:sz w:val="18"/>
          <w:szCs w:val="18"/>
        </w:rPr>
      </w:pPr>
    </w:p>
    <w:p w14:paraId="39D65784" w14:textId="676B6931" w:rsidR="006809B1" w:rsidRPr="00683965" w:rsidRDefault="006809B1" w:rsidP="006809B1">
      <w:pPr>
        <w:numPr>
          <w:ilvl w:val="0"/>
          <w:numId w:val="3"/>
        </w:numPr>
        <w:contextualSpacing/>
        <w:jc w:val="both"/>
        <w:textAlignment w:val="baseline"/>
        <w:rPr>
          <w:rFonts w:ascii="Gotham" w:eastAsia="Times New Roman" w:hAnsi="Gotham" w:cs="Arial"/>
          <w:sz w:val="18"/>
          <w:szCs w:val="18"/>
        </w:rPr>
      </w:pPr>
      <w:r w:rsidRPr="00683965">
        <w:rPr>
          <w:rFonts w:ascii="Gotham" w:eastAsia="Times New Roman" w:hAnsi="Gotham" w:cs="Arial"/>
          <w:b/>
          <w:bCs/>
          <w:sz w:val="18"/>
          <w:szCs w:val="18"/>
        </w:rPr>
        <w:t>Documentos Comerciales por Pagar a Largo Plazo</w:t>
      </w:r>
      <w:r w:rsidRPr="00683965">
        <w:rPr>
          <w:rFonts w:ascii="Gotham" w:eastAsia="Times New Roman" w:hAnsi="Gotham" w:cs="Times New Roman"/>
          <w:b/>
          <w:bCs/>
          <w:sz w:val="18"/>
          <w:szCs w:val="18"/>
        </w:rPr>
        <w:t>.-</w:t>
      </w:r>
      <w:r w:rsidRPr="00683965">
        <w:rPr>
          <w:rFonts w:ascii="Gotham" w:eastAsia="Times New Roman" w:hAnsi="Gotham" w:cs="Times New Roman"/>
          <w:sz w:val="18"/>
          <w:szCs w:val="18"/>
        </w:rPr>
        <w:t xml:space="preserve"> </w:t>
      </w:r>
      <w:r w:rsidRPr="00683965">
        <w:rPr>
          <w:rFonts w:ascii="Gotham" w:eastAsia="Times New Roman" w:hAnsi="Gotham" w:cs="Arial"/>
          <w:sz w:val="18"/>
          <w:szCs w:val="18"/>
        </w:rPr>
        <w:t>El saldo de 5,133,864,912.86, corresponde al pasivo a Largo Plazo,  en los que se comprometen los ingresos presentes y futuros por concepto de Registro Público de la Propiedad (RPP) del IFREM, de acuerdo al Decreto de Autorización No. 79 publicado en la Gaceta del Gobierno de fecha 12 de mayo del 2010; por el Fideicomiso de Cobranza con el contrato irrevocable número 80615, de fecha 29 de julio en el ejercicio 2010; correspondiente a los Certificados Bursátiles Fiduciarios Serie A por 1,544,482,354.45 y</w:t>
      </w:r>
      <w:r w:rsidRPr="00683965">
        <w:rPr>
          <w:rFonts w:ascii="Gotham" w:eastAsia="Times New Roman" w:hAnsi="Gotham" w:cs="Times New Roman"/>
          <w:sz w:val="18"/>
          <w:szCs w:val="18"/>
        </w:rPr>
        <w:t xml:space="preserve"> </w:t>
      </w:r>
      <w:r w:rsidRPr="00683965">
        <w:rPr>
          <w:rFonts w:ascii="Gotham" w:eastAsia="Times New Roman" w:hAnsi="Gotham" w:cs="Arial"/>
          <w:sz w:val="18"/>
          <w:szCs w:val="18"/>
        </w:rPr>
        <w:t>Certificados Bursátiles Fiduciarios Serie B por 726,158,069.00; así mismo, por el contrato del Fideicomiso Irrevocable número F/1426, de fecha 10 de marzo de 2011, con un saldo por pagar de</w:t>
      </w:r>
      <w:r w:rsidRPr="00683965">
        <w:rPr>
          <w:rFonts w:ascii="Gotham" w:eastAsia="Times New Roman" w:hAnsi="Gotham" w:cs="Arial"/>
          <w:b/>
          <w:sz w:val="18"/>
          <w:szCs w:val="18"/>
        </w:rPr>
        <w:t xml:space="preserve"> </w:t>
      </w:r>
      <w:r w:rsidRPr="00683965">
        <w:rPr>
          <w:rFonts w:ascii="Gotham" w:eastAsia="Times New Roman" w:hAnsi="Gotham" w:cs="Arial"/>
          <w:sz w:val="18"/>
          <w:szCs w:val="18"/>
        </w:rPr>
        <w:t>2,8</w:t>
      </w:r>
      <w:r w:rsidR="0069529F" w:rsidRPr="00683965">
        <w:rPr>
          <w:rFonts w:ascii="Gotham" w:eastAsia="Times New Roman" w:hAnsi="Gotham" w:cs="Arial"/>
          <w:sz w:val="18"/>
          <w:szCs w:val="18"/>
        </w:rPr>
        <w:t>63</w:t>
      </w:r>
      <w:r w:rsidRPr="00683965">
        <w:rPr>
          <w:rFonts w:ascii="Gotham" w:eastAsia="Times New Roman" w:hAnsi="Gotham" w:cs="Arial"/>
          <w:sz w:val="18"/>
          <w:szCs w:val="18"/>
        </w:rPr>
        <w:t>,</w:t>
      </w:r>
      <w:r w:rsidR="0069529F" w:rsidRPr="00683965">
        <w:rPr>
          <w:rFonts w:ascii="Gotham" w:eastAsia="Times New Roman" w:hAnsi="Gotham" w:cs="Arial"/>
          <w:sz w:val="18"/>
          <w:szCs w:val="18"/>
        </w:rPr>
        <w:t>224</w:t>
      </w:r>
      <w:r w:rsidRPr="00683965">
        <w:rPr>
          <w:rFonts w:ascii="Gotham" w:eastAsia="Times New Roman" w:hAnsi="Gotham" w:cs="Arial"/>
          <w:sz w:val="18"/>
          <w:szCs w:val="18"/>
        </w:rPr>
        <w:t>,</w:t>
      </w:r>
      <w:r w:rsidR="0069529F" w:rsidRPr="00683965">
        <w:rPr>
          <w:rFonts w:ascii="Gotham" w:eastAsia="Times New Roman" w:hAnsi="Gotham" w:cs="Arial"/>
          <w:sz w:val="18"/>
          <w:szCs w:val="18"/>
        </w:rPr>
        <w:t>489</w:t>
      </w:r>
      <w:r w:rsidRPr="00683965">
        <w:rPr>
          <w:rFonts w:ascii="Gotham" w:eastAsia="Times New Roman" w:hAnsi="Gotham" w:cs="Arial"/>
          <w:sz w:val="18"/>
          <w:szCs w:val="18"/>
        </w:rPr>
        <w:t>.</w:t>
      </w:r>
      <w:r w:rsidR="0069529F" w:rsidRPr="00683965">
        <w:rPr>
          <w:rFonts w:ascii="Gotham" w:eastAsia="Times New Roman" w:hAnsi="Gotham" w:cs="Arial"/>
          <w:sz w:val="18"/>
          <w:szCs w:val="18"/>
        </w:rPr>
        <w:t>41</w:t>
      </w:r>
      <w:r w:rsidRPr="00683965">
        <w:rPr>
          <w:rFonts w:ascii="Gotham" w:eastAsia="Times New Roman" w:hAnsi="Gotham" w:cs="Arial"/>
          <w:sz w:val="18"/>
          <w:szCs w:val="18"/>
        </w:rPr>
        <w:t>, más lo comentado en el párrafo anterior se tiene un saldo por pagar a la fecha como sigue:</w:t>
      </w:r>
    </w:p>
    <w:p w14:paraId="6EE84375" w14:textId="66720300" w:rsidR="006809B1" w:rsidRPr="00683965" w:rsidRDefault="006809B1" w:rsidP="006809B1">
      <w:pPr>
        <w:ind w:left="644"/>
        <w:contextualSpacing/>
        <w:jc w:val="both"/>
        <w:textAlignment w:val="baseline"/>
        <w:rPr>
          <w:rFonts w:ascii="Gotham" w:eastAsia="Times New Roman" w:hAnsi="Gotham" w:cs="Arial"/>
          <w:b/>
          <w:bCs/>
          <w:sz w:val="18"/>
          <w:szCs w:val="18"/>
        </w:rPr>
      </w:pPr>
    </w:p>
    <w:p w14:paraId="5F70DDE8" w14:textId="7B02D413" w:rsidR="006809B1" w:rsidRPr="00683965" w:rsidRDefault="006809B1" w:rsidP="006809B1">
      <w:pPr>
        <w:ind w:left="644"/>
        <w:contextualSpacing/>
        <w:jc w:val="both"/>
        <w:textAlignment w:val="baseline"/>
        <w:rPr>
          <w:rFonts w:ascii="Gotham" w:eastAsia="Times New Roman" w:hAnsi="Gotham" w:cs="Arial"/>
          <w:sz w:val="18"/>
          <w:szCs w:val="18"/>
        </w:rPr>
      </w:pPr>
    </w:p>
    <w:p w14:paraId="57D7AEE7" w14:textId="4A320718" w:rsidR="001D1469" w:rsidRPr="00683965" w:rsidRDefault="001F418E" w:rsidP="006809B1">
      <w:pPr>
        <w:ind w:left="644"/>
        <w:contextualSpacing/>
        <w:jc w:val="both"/>
        <w:textAlignment w:val="baseline"/>
        <w:rPr>
          <w:rFonts w:ascii="Gotham" w:eastAsia="Times New Roman" w:hAnsi="Gotham" w:cs="Arial"/>
          <w:sz w:val="18"/>
          <w:szCs w:val="18"/>
        </w:rPr>
      </w:pPr>
      <w:r w:rsidRPr="00683965">
        <w:rPr>
          <w:rFonts w:ascii="Gotham" w:hAnsi="Gotham"/>
          <w:noProof/>
        </w:rPr>
        <w:drawing>
          <wp:anchor distT="0" distB="0" distL="114300" distR="114300" simplePos="0" relativeHeight="251676672" behindDoc="0" locked="0" layoutInCell="1" allowOverlap="1" wp14:anchorId="3539E0A1" wp14:editId="1462C46D">
            <wp:simplePos x="0" y="0"/>
            <wp:positionH relativeFrom="margin">
              <wp:posOffset>435854</wp:posOffset>
            </wp:positionH>
            <wp:positionV relativeFrom="paragraph">
              <wp:posOffset>15143</wp:posOffset>
            </wp:positionV>
            <wp:extent cx="5758848" cy="1150869"/>
            <wp:effectExtent l="0" t="0" r="0" b="0"/>
            <wp:wrapNone/>
            <wp:docPr id="169327768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8848" cy="11508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FA5AF" w14:textId="3ABB3F64" w:rsidR="001D1469" w:rsidRPr="00683965" w:rsidRDefault="001D1469" w:rsidP="006809B1">
      <w:pPr>
        <w:ind w:left="644"/>
        <w:contextualSpacing/>
        <w:jc w:val="both"/>
        <w:textAlignment w:val="baseline"/>
        <w:rPr>
          <w:rFonts w:ascii="Gotham" w:eastAsia="Times New Roman" w:hAnsi="Gotham" w:cs="Arial"/>
          <w:sz w:val="18"/>
          <w:szCs w:val="18"/>
        </w:rPr>
      </w:pPr>
    </w:p>
    <w:p w14:paraId="4F160591" w14:textId="743FCB62" w:rsidR="001D1469" w:rsidRPr="00683965" w:rsidRDefault="001D1469" w:rsidP="006809B1">
      <w:pPr>
        <w:ind w:left="644"/>
        <w:contextualSpacing/>
        <w:jc w:val="both"/>
        <w:textAlignment w:val="baseline"/>
        <w:rPr>
          <w:rFonts w:ascii="Gotham" w:eastAsia="Times New Roman" w:hAnsi="Gotham" w:cs="Arial"/>
          <w:sz w:val="18"/>
          <w:szCs w:val="18"/>
        </w:rPr>
      </w:pPr>
    </w:p>
    <w:p w14:paraId="7762FD59" w14:textId="21DE8AAD" w:rsidR="001D1469" w:rsidRPr="00683965" w:rsidRDefault="001D1469" w:rsidP="006809B1">
      <w:pPr>
        <w:ind w:left="644"/>
        <w:contextualSpacing/>
        <w:jc w:val="both"/>
        <w:textAlignment w:val="baseline"/>
        <w:rPr>
          <w:rFonts w:ascii="Gotham" w:eastAsia="Times New Roman" w:hAnsi="Gotham" w:cs="Arial"/>
          <w:sz w:val="18"/>
          <w:szCs w:val="18"/>
        </w:rPr>
      </w:pPr>
    </w:p>
    <w:p w14:paraId="27AEB21D" w14:textId="5084CA60" w:rsidR="001D1469" w:rsidRPr="00683965" w:rsidRDefault="001D1469" w:rsidP="006809B1">
      <w:pPr>
        <w:ind w:left="644"/>
        <w:contextualSpacing/>
        <w:jc w:val="both"/>
        <w:textAlignment w:val="baseline"/>
        <w:rPr>
          <w:rFonts w:ascii="Gotham" w:eastAsia="Times New Roman" w:hAnsi="Gotham" w:cs="Arial"/>
          <w:sz w:val="18"/>
          <w:szCs w:val="18"/>
        </w:rPr>
      </w:pPr>
    </w:p>
    <w:p w14:paraId="4BAB38E4" w14:textId="3113C133" w:rsidR="001D1469" w:rsidRPr="00683965" w:rsidRDefault="001D1469" w:rsidP="006809B1">
      <w:pPr>
        <w:ind w:left="644"/>
        <w:contextualSpacing/>
        <w:jc w:val="both"/>
        <w:textAlignment w:val="baseline"/>
        <w:rPr>
          <w:rFonts w:ascii="Gotham" w:eastAsia="Times New Roman" w:hAnsi="Gotham" w:cs="Arial"/>
          <w:sz w:val="18"/>
          <w:szCs w:val="18"/>
        </w:rPr>
      </w:pPr>
    </w:p>
    <w:p w14:paraId="138F8A21" w14:textId="7C55CB03" w:rsidR="001D1469" w:rsidRPr="00683965" w:rsidRDefault="001D1469" w:rsidP="006809B1">
      <w:pPr>
        <w:ind w:left="644"/>
        <w:contextualSpacing/>
        <w:jc w:val="both"/>
        <w:textAlignment w:val="baseline"/>
        <w:rPr>
          <w:rFonts w:ascii="Gotham" w:eastAsia="Times New Roman" w:hAnsi="Gotham" w:cs="Arial"/>
          <w:sz w:val="18"/>
          <w:szCs w:val="18"/>
        </w:rPr>
      </w:pPr>
    </w:p>
    <w:p w14:paraId="6A24C870" w14:textId="2B56F4F9" w:rsidR="001D1469" w:rsidRPr="00683965" w:rsidRDefault="001D1469" w:rsidP="006809B1">
      <w:pPr>
        <w:ind w:left="644"/>
        <w:contextualSpacing/>
        <w:jc w:val="both"/>
        <w:textAlignment w:val="baseline"/>
        <w:rPr>
          <w:rFonts w:ascii="Gotham" w:eastAsia="Times New Roman" w:hAnsi="Gotham" w:cs="Arial"/>
          <w:sz w:val="18"/>
          <w:szCs w:val="18"/>
        </w:rPr>
      </w:pPr>
    </w:p>
    <w:p w14:paraId="4B9D716E" w14:textId="39912EE4" w:rsidR="001D1469" w:rsidRPr="00683965" w:rsidRDefault="001D1469" w:rsidP="006809B1">
      <w:pPr>
        <w:ind w:left="644"/>
        <w:contextualSpacing/>
        <w:jc w:val="both"/>
        <w:textAlignment w:val="baseline"/>
        <w:rPr>
          <w:rFonts w:ascii="Gotham" w:eastAsia="Times New Roman" w:hAnsi="Gotham" w:cs="Arial"/>
          <w:sz w:val="18"/>
          <w:szCs w:val="18"/>
        </w:rPr>
      </w:pPr>
    </w:p>
    <w:p w14:paraId="50F7A523" w14:textId="58D7ED98" w:rsidR="001D1469" w:rsidRPr="00683965" w:rsidRDefault="001D1469" w:rsidP="001D1469">
      <w:pPr>
        <w:spacing w:after="160"/>
        <w:jc w:val="both"/>
        <w:textAlignment w:val="baseline"/>
        <w:rPr>
          <w:rFonts w:ascii="Gotham" w:eastAsia="Times New Roman" w:hAnsi="Gotham" w:cs="Arial"/>
          <w:sz w:val="18"/>
          <w:szCs w:val="18"/>
        </w:rPr>
      </w:pPr>
    </w:p>
    <w:p w14:paraId="47870E33" w14:textId="1B2E75FC" w:rsidR="001D1469" w:rsidRPr="00683965" w:rsidRDefault="001D1469" w:rsidP="001D1469">
      <w:pPr>
        <w:numPr>
          <w:ilvl w:val="0"/>
          <w:numId w:val="1"/>
        </w:numPr>
        <w:spacing w:before="240" w:after="240" w:line="276" w:lineRule="auto"/>
        <w:ind w:left="1068" w:right="-1"/>
        <w:contextualSpacing/>
        <w:outlineLvl w:val="0"/>
        <w:rPr>
          <w:rFonts w:ascii="Gotham" w:eastAsia="Times New Roman" w:hAnsi="Gotham" w:cs="Arial"/>
          <w:sz w:val="18"/>
          <w:szCs w:val="18"/>
        </w:rPr>
      </w:pPr>
      <w:r w:rsidRPr="00683965">
        <w:rPr>
          <w:rFonts w:ascii="Gotham" w:eastAsia="Times New Roman" w:hAnsi="Gotham" w:cs="Arial"/>
          <w:b/>
          <w:bCs/>
          <w:color w:val="000000"/>
          <w:sz w:val="18"/>
          <w:szCs w:val="18"/>
        </w:rPr>
        <w:t>NOTAS AL ESTADO DE ACTIVIDADES</w:t>
      </w:r>
    </w:p>
    <w:p w14:paraId="2338963E" w14:textId="0809FF8D" w:rsidR="001D1469" w:rsidRPr="00683965" w:rsidRDefault="001D1469" w:rsidP="001D1469">
      <w:pPr>
        <w:spacing w:before="240" w:after="240" w:line="276" w:lineRule="auto"/>
        <w:ind w:left="1068" w:right="-1"/>
        <w:contextualSpacing/>
        <w:outlineLvl w:val="0"/>
        <w:rPr>
          <w:rFonts w:ascii="Gotham" w:eastAsia="Times New Roman" w:hAnsi="Gotham" w:cs="Arial"/>
          <w:sz w:val="18"/>
          <w:szCs w:val="18"/>
        </w:rPr>
      </w:pPr>
    </w:p>
    <w:p w14:paraId="4CE88896" w14:textId="610B009C" w:rsidR="001D1469" w:rsidRPr="00683965" w:rsidRDefault="001D1469" w:rsidP="001D1469">
      <w:pPr>
        <w:spacing w:after="160" w:line="259" w:lineRule="auto"/>
        <w:rPr>
          <w:rFonts w:ascii="Gotham" w:eastAsia="Times New Roman" w:hAnsi="Gotham" w:cs="Arial"/>
          <w:b/>
          <w:sz w:val="18"/>
          <w:szCs w:val="18"/>
        </w:rPr>
      </w:pPr>
      <w:r w:rsidRPr="00683965">
        <w:rPr>
          <w:rFonts w:ascii="Gotham" w:eastAsia="Times New Roman" w:hAnsi="Gotham" w:cs="Arial"/>
          <w:b/>
          <w:sz w:val="18"/>
          <w:szCs w:val="18"/>
        </w:rPr>
        <w:t>INGRESOS Y OTROS BENEFICIOS</w:t>
      </w:r>
    </w:p>
    <w:p w14:paraId="0FCCC7F3" w14:textId="7E7E1E87" w:rsidR="001D1469" w:rsidRPr="00683965" w:rsidRDefault="001D1469" w:rsidP="001D1469">
      <w:pPr>
        <w:numPr>
          <w:ilvl w:val="0"/>
          <w:numId w:val="3"/>
        </w:numPr>
        <w:spacing w:after="160" w:line="259" w:lineRule="auto"/>
        <w:contextualSpacing/>
        <w:jc w:val="both"/>
        <w:textAlignment w:val="baseline"/>
        <w:rPr>
          <w:rFonts w:ascii="Gotham" w:eastAsia="Times New Roman" w:hAnsi="Gotham" w:cs="Times New Roman"/>
          <w:sz w:val="18"/>
          <w:szCs w:val="18"/>
        </w:rPr>
      </w:pPr>
      <w:r w:rsidRPr="00683965">
        <w:rPr>
          <w:rFonts w:ascii="Gotham" w:eastAsia="Times New Roman" w:hAnsi="Gotham" w:cs="Arial"/>
          <w:b/>
          <w:bCs/>
          <w:color w:val="000000"/>
          <w:sz w:val="18"/>
          <w:szCs w:val="18"/>
        </w:rPr>
        <w:t>Derechos.</w:t>
      </w:r>
      <w:r w:rsidRPr="00683965">
        <w:rPr>
          <w:rFonts w:ascii="Gotham" w:eastAsia="Times New Roman" w:hAnsi="Gotham" w:cs="Times New Roman"/>
          <w:b/>
          <w:bCs/>
          <w:color w:val="000000"/>
          <w:sz w:val="18"/>
          <w:szCs w:val="18"/>
        </w:rPr>
        <w:t xml:space="preserve"> - </w:t>
      </w:r>
      <w:r w:rsidRPr="00683965">
        <w:rPr>
          <w:rFonts w:ascii="Gotham" w:hAnsi="Gotham" w:cs="Arial"/>
          <w:color w:val="000000"/>
          <w:sz w:val="18"/>
          <w:szCs w:val="18"/>
          <w:lang w:eastAsia="en-US"/>
        </w:rPr>
        <w:t>Los Ingresos de Gestión por los Derechos de los servicios prestados por el Instituto, en el mes fueron por la cantidad de 166,510,580.00 obteniendo una recaudación en los recursos del Registro Público de la Propiedad (RPP) por 163,832,396.00 y los recursos del Registro Público del Comercio (RPC) por 2,678,184.00. Al mes se lleva un total acumulado por 1,381,316,553.00.</w:t>
      </w:r>
    </w:p>
    <w:p w14:paraId="3E1F6681" w14:textId="2DEF6E9A" w:rsidR="001D1469" w:rsidRPr="00683965" w:rsidRDefault="001D1469" w:rsidP="001D1469">
      <w:pPr>
        <w:ind w:left="644"/>
        <w:contextualSpacing/>
        <w:jc w:val="both"/>
        <w:textAlignment w:val="baseline"/>
        <w:rPr>
          <w:rFonts w:ascii="Gotham" w:eastAsia="Times New Roman" w:hAnsi="Gotham" w:cs="Times New Roman"/>
          <w:sz w:val="18"/>
          <w:szCs w:val="18"/>
        </w:rPr>
      </w:pPr>
    </w:p>
    <w:p w14:paraId="55AC49AA" w14:textId="6B00E386" w:rsidR="001D1469" w:rsidRPr="00683965" w:rsidRDefault="001D1469" w:rsidP="001D1469">
      <w:pPr>
        <w:numPr>
          <w:ilvl w:val="0"/>
          <w:numId w:val="3"/>
        </w:numPr>
        <w:spacing w:after="160" w:line="259" w:lineRule="auto"/>
        <w:jc w:val="both"/>
        <w:textAlignment w:val="baseline"/>
        <w:rPr>
          <w:rFonts w:ascii="Gotham" w:eastAsia="Times New Roman" w:hAnsi="Gotham" w:cs="Arial"/>
          <w:sz w:val="18"/>
          <w:szCs w:val="18"/>
        </w:rPr>
      </w:pPr>
      <w:r w:rsidRPr="00683965">
        <w:rPr>
          <w:rFonts w:ascii="Gotham" w:eastAsia="Times New Roman" w:hAnsi="Gotham" w:cs="Arial"/>
          <w:b/>
          <w:bCs/>
          <w:sz w:val="18"/>
          <w:szCs w:val="18"/>
        </w:rPr>
        <w:t>Productos.</w:t>
      </w:r>
      <w:r w:rsidRPr="00683965">
        <w:rPr>
          <w:rFonts w:ascii="Gotham" w:eastAsia="Times New Roman" w:hAnsi="Gotham" w:cs="Times New Roman"/>
          <w:b/>
          <w:bCs/>
          <w:sz w:val="18"/>
          <w:szCs w:val="18"/>
        </w:rPr>
        <w:t xml:space="preserve"> – </w:t>
      </w:r>
      <w:r w:rsidRPr="00683965">
        <w:rPr>
          <w:rFonts w:ascii="Gotham" w:eastAsia="Times New Roman" w:hAnsi="Gotham" w:cs="Arial"/>
          <w:sz w:val="18"/>
          <w:szCs w:val="18"/>
        </w:rPr>
        <w:t>Estos ingresos corresponden a los ingresos financieros del mes por la cantidad de</w:t>
      </w:r>
      <w:r w:rsidRPr="00683965">
        <w:rPr>
          <w:rFonts w:ascii="Gotham" w:hAnsi="Gotham" w:cs="Times New Roman"/>
          <w:sz w:val="18"/>
          <w:szCs w:val="18"/>
          <w:lang w:eastAsia="en-US"/>
        </w:rPr>
        <w:t xml:space="preserve"> </w:t>
      </w:r>
      <w:r w:rsidRPr="00683965">
        <w:rPr>
          <w:rFonts w:ascii="Gotham" w:eastAsia="Times New Roman" w:hAnsi="Gotham" w:cs="Arial"/>
          <w:sz w:val="18"/>
          <w:szCs w:val="18"/>
        </w:rPr>
        <w:t>96,263,075.99, integrados por Productos Financieros de Tipo Corriente. Al mes se lleva total acumulado por 425,007,093.73, de los cuales</w:t>
      </w:r>
      <w:r w:rsidRPr="00683965">
        <w:rPr>
          <w:rFonts w:ascii="Gotham" w:hAnsi="Gotham" w:cs="Times New Roman"/>
          <w:sz w:val="18"/>
          <w:szCs w:val="18"/>
          <w:lang w:eastAsia="en-US"/>
        </w:rPr>
        <w:t xml:space="preserve"> </w:t>
      </w:r>
      <w:r w:rsidRPr="00683965">
        <w:rPr>
          <w:rFonts w:ascii="Gotham" w:eastAsia="Times New Roman" w:hAnsi="Gotham" w:cs="Arial"/>
          <w:sz w:val="18"/>
          <w:szCs w:val="18"/>
        </w:rPr>
        <w:t>403,945,864.87, corresponden a los intereses de la deuda pública.</w:t>
      </w:r>
    </w:p>
    <w:p w14:paraId="4D92E0B0" w14:textId="77777777" w:rsidR="001D1469" w:rsidRPr="00683965" w:rsidRDefault="001D1469" w:rsidP="001D1469">
      <w:pPr>
        <w:ind w:left="720"/>
        <w:contextualSpacing/>
        <w:rPr>
          <w:rFonts w:ascii="Gotham" w:eastAsia="Times New Roman" w:hAnsi="Gotham" w:cs="Arial"/>
          <w:sz w:val="18"/>
          <w:szCs w:val="18"/>
        </w:rPr>
      </w:pPr>
    </w:p>
    <w:p w14:paraId="16C2A94A" w14:textId="77777777" w:rsidR="001D1469" w:rsidRPr="00683965" w:rsidRDefault="001D1469" w:rsidP="001D1469">
      <w:pPr>
        <w:numPr>
          <w:ilvl w:val="0"/>
          <w:numId w:val="3"/>
        </w:numPr>
        <w:spacing w:after="160" w:line="259" w:lineRule="auto"/>
        <w:contextualSpacing/>
        <w:jc w:val="both"/>
        <w:textAlignment w:val="baseline"/>
        <w:rPr>
          <w:rFonts w:ascii="Gotham" w:eastAsia="Times New Roman" w:hAnsi="Gotham" w:cs="Arial"/>
          <w:color w:val="000000"/>
          <w:sz w:val="18"/>
          <w:szCs w:val="18"/>
        </w:rPr>
      </w:pPr>
      <w:r w:rsidRPr="00683965">
        <w:rPr>
          <w:rFonts w:ascii="Gotham" w:eastAsia="Times New Roman" w:hAnsi="Gotham" w:cs="Arial"/>
          <w:b/>
          <w:sz w:val="18"/>
          <w:szCs w:val="18"/>
        </w:rPr>
        <w:t xml:space="preserve">Participaciones, Aportaciones, Convenios, Incentivos Derivados de la Colaboración Fiscal, Fondos Distintos de Aportaciones, Transferencias, Asignaciones, Subsidios y Subvenciones, y Pensiones y Jubilaciones. - </w:t>
      </w:r>
      <w:r w:rsidRPr="00683965">
        <w:rPr>
          <w:rFonts w:ascii="Gotham" w:eastAsia="Times New Roman" w:hAnsi="Gotham" w:cs="Arial"/>
          <w:sz w:val="18"/>
          <w:szCs w:val="18"/>
        </w:rPr>
        <w:t xml:space="preserve">En este mes se recibió del GEM, en el Rubro de “Transferencias, Asignaciones, Subsidios y Subvenciones, Pensiones y Jubilaciones”, la cantidad de 3,514,426.00. Al mes se tiene un acumulado de </w:t>
      </w:r>
      <w:r w:rsidRPr="00683965">
        <w:rPr>
          <w:rFonts w:ascii="Gotham" w:eastAsia="Times New Roman" w:hAnsi="Gotham" w:cs="Arial"/>
          <w:color w:val="000000"/>
          <w:sz w:val="18"/>
          <w:szCs w:val="18"/>
        </w:rPr>
        <w:t>33,598,320.44.</w:t>
      </w:r>
    </w:p>
    <w:p w14:paraId="44E53E32" w14:textId="77777777" w:rsidR="001D1469" w:rsidRPr="00683965" w:rsidRDefault="001D1469" w:rsidP="001D1469">
      <w:pPr>
        <w:ind w:left="720"/>
        <w:contextualSpacing/>
        <w:rPr>
          <w:rFonts w:ascii="Gotham" w:eastAsia="Times New Roman" w:hAnsi="Gotham" w:cs="Arial"/>
          <w:color w:val="000000"/>
          <w:sz w:val="18"/>
          <w:szCs w:val="18"/>
        </w:rPr>
      </w:pPr>
    </w:p>
    <w:p w14:paraId="298FD47D" w14:textId="77777777" w:rsidR="001D1469" w:rsidRPr="00683965" w:rsidRDefault="001D1469" w:rsidP="001D1469">
      <w:pPr>
        <w:numPr>
          <w:ilvl w:val="0"/>
          <w:numId w:val="3"/>
        </w:numPr>
        <w:spacing w:after="160" w:line="259" w:lineRule="auto"/>
        <w:jc w:val="both"/>
        <w:textAlignment w:val="baseline"/>
        <w:rPr>
          <w:rFonts w:ascii="Gotham" w:eastAsia="Times New Roman" w:hAnsi="Gotham" w:cs="Times New Roman"/>
          <w:sz w:val="18"/>
          <w:szCs w:val="18"/>
        </w:rPr>
      </w:pPr>
      <w:r w:rsidRPr="00683965">
        <w:rPr>
          <w:rFonts w:ascii="Gotham" w:eastAsia="Times New Roman" w:hAnsi="Gotham" w:cs="Arial"/>
          <w:b/>
          <w:bCs/>
          <w:color w:val="000000"/>
          <w:sz w:val="18"/>
          <w:szCs w:val="18"/>
        </w:rPr>
        <w:t>Otros Ingresos y Beneficios Varios</w:t>
      </w:r>
      <w:r w:rsidRPr="00683965">
        <w:rPr>
          <w:rFonts w:ascii="Gotham" w:eastAsia="Times New Roman" w:hAnsi="Gotham" w:cs="Arial"/>
          <w:color w:val="000000"/>
          <w:sz w:val="18"/>
          <w:szCs w:val="18"/>
        </w:rPr>
        <w:t>. - Se observa en el mes un saldo por la cantidad de 74,252.78, correspondiente a Reexpedición de Credencial por 414.96, Venta de Bases para Concurso por 898.00, Llamadas Telefónicas no Oficiales por 13.97, Otros Ingresos Diversos por 1,841.26, Aprovechamientos por sanción o incumplimiento por 1,650.76, Depósitos en Efectivo no Referenciado por 54,252.00, Rendimientos de la Remesa de los Ingresos por RPC por 15,181.83. Al mes se tiene un acumulado por 611,448.36.</w:t>
      </w:r>
    </w:p>
    <w:p w14:paraId="610E9A1D" w14:textId="77777777" w:rsidR="007F221D" w:rsidRPr="00683965" w:rsidRDefault="007F221D" w:rsidP="001D1469">
      <w:pPr>
        <w:spacing w:after="160" w:line="259" w:lineRule="auto"/>
        <w:rPr>
          <w:rFonts w:ascii="Gotham" w:eastAsia="Times New Roman" w:hAnsi="Gotham" w:cs="Arial"/>
          <w:b/>
          <w:sz w:val="18"/>
          <w:szCs w:val="18"/>
        </w:rPr>
      </w:pPr>
    </w:p>
    <w:p w14:paraId="277ABA63" w14:textId="77777777" w:rsidR="007F221D" w:rsidRDefault="007F221D" w:rsidP="001D1469">
      <w:pPr>
        <w:spacing w:after="160" w:line="259" w:lineRule="auto"/>
        <w:rPr>
          <w:rFonts w:ascii="Gotham" w:eastAsia="Times New Roman" w:hAnsi="Gotham" w:cs="Arial"/>
          <w:b/>
          <w:sz w:val="18"/>
          <w:szCs w:val="18"/>
        </w:rPr>
      </w:pPr>
    </w:p>
    <w:p w14:paraId="3EDE11E8" w14:textId="77777777" w:rsidR="00071B49" w:rsidRPr="00683965" w:rsidRDefault="00071B49" w:rsidP="001D1469">
      <w:pPr>
        <w:spacing w:after="160" w:line="259" w:lineRule="auto"/>
        <w:rPr>
          <w:rFonts w:ascii="Gotham" w:eastAsia="Times New Roman" w:hAnsi="Gotham" w:cs="Arial"/>
          <w:b/>
          <w:sz w:val="18"/>
          <w:szCs w:val="18"/>
        </w:rPr>
      </w:pPr>
    </w:p>
    <w:p w14:paraId="3087643F" w14:textId="77777777" w:rsidR="007F221D" w:rsidRPr="00683965" w:rsidRDefault="007F221D" w:rsidP="001D1469">
      <w:pPr>
        <w:spacing w:after="160" w:line="259" w:lineRule="auto"/>
        <w:rPr>
          <w:rFonts w:ascii="Gotham" w:eastAsia="Times New Roman" w:hAnsi="Gotham" w:cs="Arial"/>
          <w:b/>
          <w:sz w:val="18"/>
          <w:szCs w:val="18"/>
        </w:rPr>
      </w:pPr>
    </w:p>
    <w:p w14:paraId="7992F351" w14:textId="77777777" w:rsidR="007F221D" w:rsidRPr="00683965" w:rsidRDefault="007F221D" w:rsidP="001D1469">
      <w:pPr>
        <w:spacing w:after="160" w:line="259" w:lineRule="auto"/>
        <w:rPr>
          <w:rFonts w:ascii="Gotham" w:eastAsia="Times New Roman" w:hAnsi="Gotham" w:cs="Arial"/>
          <w:b/>
          <w:sz w:val="18"/>
          <w:szCs w:val="18"/>
        </w:rPr>
      </w:pPr>
    </w:p>
    <w:p w14:paraId="2181108C" w14:textId="3CD2AF11" w:rsidR="001D1469" w:rsidRPr="00683965" w:rsidRDefault="001D1469" w:rsidP="001D1469">
      <w:pPr>
        <w:spacing w:after="160" w:line="259" w:lineRule="auto"/>
        <w:rPr>
          <w:rFonts w:ascii="Gotham" w:eastAsia="Times New Roman" w:hAnsi="Gotham" w:cs="Arial"/>
          <w:b/>
          <w:sz w:val="18"/>
          <w:szCs w:val="18"/>
        </w:rPr>
      </w:pPr>
      <w:r w:rsidRPr="00683965">
        <w:rPr>
          <w:rFonts w:ascii="Gotham" w:eastAsia="Times New Roman" w:hAnsi="Gotham" w:cs="Arial"/>
          <w:b/>
          <w:sz w:val="18"/>
          <w:szCs w:val="18"/>
        </w:rPr>
        <w:t>GASTOS Y OTRAS PÉRDIDAS</w:t>
      </w:r>
    </w:p>
    <w:p w14:paraId="6F648FDE" w14:textId="77777777" w:rsidR="001D1469" w:rsidRPr="00683965" w:rsidRDefault="001D1469" w:rsidP="001D1469">
      <w:pPr>
        <w:numPr>
          <w:ilvl w:val="0"/>
          <w:numId w:val="3"/>
        </w:numPr>
        <w:spacing w:after="160" w:line="259" w:lineRule="auto"/>
        <w:jc w:val="both"/>
        <w:textAlignment w:val="baseline"/>
        <w:rPr>
          <w:rFonts w:ascii="Gotham" w:eastAsia="Times New Roman" w:hAnsi="Gotham" w:cs="Arial"/>
          <w:color w:val="000000"/>
          <w:sz w:val="18"/>
          <w:szCs w:val="18"/>
        </w:rPr>
      </w:pPr>
      <w:r w:rsidRPr="00683965">
        <w:rPr>
          <w:rFonts w:ascii="Gotham" w:eastAsia="Times New Roman" w:hAnsi="Gotham" w:cs="Arial"/>
          <w:b/>
          <w:bCs/>
          <w:color w:val="000000"/>
          <w:sz w:val="18"/>
          <w:szCs w:val="18"/>
        </w:rPr>
        <w:t>Gastos de Funcionamiento.</w:t>
      </w:r>
      <w:r w:rsidRPr="00683965">
        <w:rPr>
          <w:rFonts w:ascii="Gotham" w:eastAsia="Times New Roman" w:hAnsi="Gotham" w:cs="Times New Roman"/>
          <w:color w:val="000000"/>
          <w:sz w:val="18"/>
          <w:szCs w:val="18"/>
        </w:rPr>
        <w:t xml:space="preserve"> - </w:t>
      </w:r>
      <w:r w:rsidRPr="00683965">
        <w:rPr>
          <w:rFonts w:ascii="Gotham" w:eastAsia="Times New Roman" w:hAnsi="Gotham" w:cs="Arial"/>
          <w:color w:val="000000"/>
          <w:sz w:val="18"/>
          <w:szCs w:val="18"/>
        </w:rPr>
        <w:t>Para la operación del Instituto, se han erogado en este mes la cantidad de 18,607,564.37, integrados principalmente por: “Servicios Personales” (pagos de la nómina y sus colaterales) que representa el 76.16 por ciento, con un importe de 14,172,310.46, el Capítulo de “Servicios Generales”, representa el 23.28 por ciento con un importe de 4,331,353.98, el Capítulo de “Materiales y Suministros”, que representa el .56 por ciento por 103,899.93, se tiene un saldo acumulado al mes por 205,236,909.28.</w:t>
      </w:r>
    </w:p>
    <w:p w14:paraId="7FF01CA6" w14:textId="77777777" w:rsidR="001D1469" w:rsidRPr="00683965" w:rsidRDefault="001D1469" w:rsidP="001D1469">
      <w:pPr>
        <w:numPr>
          <w:ilvl w:val="0"/>
          <w:numId w:val="3"/>
        </w:numPr>
        <w:spacing w:after="160" w:line="259" w:lineRule="auto"/>
        <w:jc w:val="both"/>
        <w:textAlignment w:val="baseline"/>
        <w:rPr>
          <w:rFonts w:ascii="Gotham" w:eastAsia="Times New Roman" w:hAnsi="Gotham" w:cs="Arial"/>
          <w:sz w:val="18"/>
          <w:szCs w:val="18"/>
        </w:rPr>
      </w:pPr>
      <w:r w:rsidRPr="00683965">
        <w:rPr>
          <w:rFonts w:ascii="Gotham" w:eastAsia="Times New Roman" w:hAnsi="Gotham" w:cs="Arial"/>
          <w:b/>
          <w:bCs/>
          <w:sz w:val="18"/>
          <w:szCs w:val="18"/>
        </w:rPr>
        <w:t>Transferencias, Asignaciones, Subsidios y Otras Ayudas</w:t>
      </w:r>
      <w:r w:rsidRPr="00683965">
        <w:rPr>
          <w:rFonts w:ascii="Gotham" w:eastAsia="Times New Roman" w:hAnsi="Gotham" w:cs="Times New Roman"/>
          <w:b/>
          <w:bCs/>
          <w:sz w:val="18"/>
          <w:szCs w:val="18"/>
        </w:rPr>
        <w:t>. –</w:t>
      </w:r>
      <w:r w:rsidRPr="00683965">
        <w:rPr>
          <w:rFonts w:ascii="Gotham" w:eastAsia="Times New Roman" w:hAnsi="Gotham" w:cs="Times New Roman"/>
          <w:sz w:val="18"/>
          <w:szCs w:val="18"/>
        </w:rPr>
        <w:t xml:space="preserve"> </w:t>
      </w:r>
      <w:r w:rsidRPr="00683965">
        <w:rPr>
          <w:rFonts w:ascii="Gotham" w:eastAsia="Times New Roman" w:hAnsi="Gotham" w:cs="Arial"/>
          <w:color w:val="000000"/>
          <w:sz w:val="18"/>
          <w:szCs w:val="18"/>
        </w:rPr>
        <w:t xml:space="preserve">En este rubro contable muestra </w:t>
      </w:r>
      <w:r w:rsidRPr="00683965">
        <w:rPr>
          <w:rFonts w:ascii="Gotham" w:eastAsia="Times New Roman" w:hAnsi="Gotham" w:cs="Times New Roman"/>
          <w:sz w:val="18"/>
          <w:szCs w:val="18"/>
        </w:rPr>
        <w:t>“</w:t>
      </w:r>
      <w:r w:rsidRPr="00683965">
        <w:rPr>
          <w:rFonts w:ascii="Gotham" w:eastAsia="Times New Roman" w:hAnsi="Gotham"/>
          <w:color w:val="000000"/>
          <w:sz w:val="18"/>
          <w:szCs w:val="18"/>
        </w:rPr>
        <w:t>Transferencias Internas y Asignaciones al Sector Público”, por una cantidad de 470,737,800.42 realizado en el mes de mayo y una cantidad de 102,538,486.10 realizado en el mes de febrero, s</w:t>
      </w:r>
      <w:r w:rsidRPr="00683965">
        <w:rPr>
          <w:rFonts w:ascii="Gotham" w:eastAsia="Times New Roman" w:hAnsi="Gotham" w:cs="Arial"/>
          <w:sz w:val="18"/>
          <w:szCs w:val="18"/>
        </w:rPr>
        <w:t>e refleja un saldo acumulado al mes por 573,276,286.52</w:t>
      </w:r>
      <w:r w:rsidRPr="00683965">
        <w:rPr>
          <w:rFonts w:ascii="Gotham" w:eastAsia="Times New Roman" w:hAnsi="Gotham"/>
          <w:color w:val="000000"/>
          <w:sz w:val="18"/>
          <w:szCs w:val="18"/>
        </w:rPr>
        <w:t xml:space="preserve"> por concepto de los Remanentes del Fideicomiso de Cobranza, trasferidos al GEM. En </w:t>
      </w:r>
      <w:r w:rsidRPr="00683965">
        <w:rPr>
          <w:rFonts w:ascii="Gotham" w:eastAsia="Times New Roman" w:hAnsi="Gotham" w:cs="Times New Roman"/>
          <w:sz w:val="18"/>
          <w:szCs w:val="18"/>
        </w:rPr>
        <w:t>“</w:t>
      </w:r>
      <w:r w:rsidRPr="00683965">
        <w:rPr>
          <w:rFonts w:ascii="Gotham" w:eastAsia="Times New Roman" w:hAnsi="Gotham" w:cs="Arial"/>
          <w:sz w:val="18"/>
          <w:szCs w:val="18"/>
        </w:rPr>
        <w:t>Subsidios y Subvenciones”, por concepto de “Devoluciones de Ingresos Indebidos”, la cantidad de 291,238.22, y un acumulado al mes por 2,985,886.13. De tal forma que en “Transferencias, Asignaciones, Subsidios y Otras Ayudas se tiene un acumulado de 576,262,172.65.</w:t>
      </w:r>
    </w:p>
    <w:p w14:paraId="398806D0" w14:textId="77777777" w:rsidR="001D1469" w:rsidRPr="00683965" w:rsidRDefault="001D1469" w:rsidP="001D1469">
      <w:pPr>
        <w:numPr>
          <w:ilvl w:val="0"/>
          <w:numId w:val="3"/>
        </w:numPr>
        <w:spacing w:after="160" w:line="259" w:lineRule="auto"/>
        <w:jc w:val="both"/>
        <w:textAlignment w:val="baseline"/>
        <w:rPr>
          <w:rFonts w:ascii="Gotham" w:eastAsia="Times New Roman" w:hAnsi="Gotham" w:cs="Arial"/>
          <w:color w:val="000000"/>
          <w:sz w:val="18"/>
          <w:szCs w:val="18"/>
        </w:rPr>
      </w:pPr>
      <w:r w:rsidRPr="00683965">
        <w:rPr>
          <w:rFonts w:ascii="Gotham" w:eastAsia="Times New Roman" w:hAnsi="Gotham" w:cs="Arial"/>
          <w:b/>
          <w:bCs/>
          <w:color w:val="000000"/>
          <w:sz w:val="18"/>
          <w:szCs w:val="18"/>
        </w:rPr>
        <w:t xml:space="preserve">Intereses, Comisiones y otros Gastos de la Deuda Pública. - </w:t>
      </w:r>
      <w:r w:rsidRPr="00683965">
        <w:rPr>
          <w:rFonts w:ascii="Gotham" w:eastAsia="Times New Roman" w:hAnsi="Gotham" w:cs="Arial"/>
          <w:color w:val="000000"/>
          <w:sz w:val="18"/>
          <w:szCs w:val="18"/>
        </w:rPr>
        <w:t>En este rubro contable muestra un monto de 94,571,657.42, un acumulado por 403,945,864.87, monto integrado por los Intereses de la deuda pública del primer periodo en este ejercicio fiscal 2023, de los CEBUR´S, Series A, 132,915,310.60 Serie B 80,425,639.27 y Subordinada C, por un importe de 190,604,915.00.</w:t>
      </w:r>
    </w:p>
    <w:p w14:paraId="327A32CE" w14:textId="68643486" w:rsidR="001D1469" w:rsidRPr="00683965" w:rsidRDefault="001D1469" w:rsidP="001D1469">
      <w:pPr>
        <w:numPr>
          <w:ilvl w:val="0"/>
          <w:numId w:val="3"/>
        </w:numPr>
        <w:spacing w:after="160" w:line="256" w:lineRule="auto"/>
        <w:jc w:val="both"/>
        <w:textAlignment w:val="baseline"/>
        <w:rPr>
          <w:rFonts w:ascii="Gotham" w:eastAsia="Times New Roman" w:hAnsi="Gotham" w:cs="Arial"/>
          <w:color w:val="000000"/>
          <w:sz w:val="18"/>
          <w:szCs w:val="18"/>
        </w:rPr>
      </w:pPr>
      <w:r w:rsidRPr="00683965">
        <w:rPr>
          <w:rFonts w:ascii="Gotham" w:eastAsia="Times New Roman" w:hAnsi="Gotham" w:cs="Arial"/>
          <w:b/>
          <w:bCs/>
          <w:color w:val="000000"/>
          <w:sz w:val="18"/>
          <w:szCs w:val="18"/>
        </w:rPr>
        <w:t>Otros Gastos y Pérdidas Extraordinarias.</w:t>
      </w:r>
      <w:r w:rsidRPr="00683965">
        <w:rPr>
          <w:rFonts w:ascii="Gotham" w:eastAsia="Times New Roman" w:hAnsi="Gotham" w:cs="Times New Roman"/>
          <w:color w:val="000000"/>
          <w:sz w:val="18"/>
          <w:szCs w:val="18"/>
        </w:rPr>
        <w:t xml:space="preserve"> - </w:t>
      </w:r>
      <w:r w:rsidRPr="00683965">
        <w:rPr>
          <w:rFonts w:ascii="Gotham" w:eastAsia="Times New Roman" w:hAnsi="Gotham" w:cs="Arial"/>
          <w:color w:val="000000"/>
          <w:sz w:val="18"/>
          <w:szCs w:val="18"/>
        </w:rPr>
        <w:t>En este rubro contable muestra en el mes la cantidad de 1,124,313.82, monto que corresponde a la depreciación de bienes muebles e inmuebles. Presenta un saldo acumulado al mes por 11,964,797.55. Así mismo, en el rubro de Otros Gastos, el importe de 1,769,546.63, correspondiente a gastos contables no presupuestarios por la devolución al Gobierno del Estado de México, de los remanentes e intereses del Programa para Regularización de Tenencia de la Tierra del Programa de Acciones para el Desarrollo del ejercicio 2022.</w:t>
      </w:r>
    </w:p>
    <w:p w14:paraId="673FDF54" w14:textId="77777777" w:rsidR="002742A6" w:rsidRPr="00683965" w:rsidRDefault="002742A6" w:rsidP="002742A6">
      <w:pPr>
        <w:spacing w:after="160" w:line="256" w:lineRule="auto"/>
        <w:ind w:left="644"/>
        <w:jc w:val="both"/>
        <w:textAlignment w:val="baseline"/>
        <w:rPr>
          <w:rFonts w:ascii="Gotham" w:eastAsia="Times New Roman" w:hAnsi="Gotham" w:cs="Arial"/>
          <w:color w:val="000000"/>
          <w:sz w:val="18"/>
          <w:szCs w:val="18"/>
        </w:rPr>
      </w:pPr>
    </w:p>
    <w:p w14:paraId="7B194C77" w14:textId="77777777" w:rsidR="006809B1" w:rsidRPr="00683965" w:rsidRDefault="006809B1" w:rsidP="006809B1">
      <w:pPr>
        <w:numPr>
          <w:ilvl w:val="0"/>
          <w:numId w:val="1"/>
        </w:numPr>
        <w:spacing w:before="240" w:after="160" w:line="259" w:lineRule="auto"/>
        <w:ind w:left="1068" w:right="-1"/>
        <w:contextualSpacing/>
        <w:outlineLvl w:val="0"/>
        <w:rPr>
          <w:rFonts w:ascii="Gotham" w:eastAsia="Times New Roman" w:hAnsi="Gotham" w:cs="Arial"/>
          <w:b/>
          <w:bCs/>
          <w:color w:val="000000"/>
          <w:sz w:val="18"/>
          <w:szCs w:val="18"/>
        </w:rPr>
      </w:pPr>
      <w:r w:rsidRPr="00683965">
        <w:rPr>
          <w:rFonts w:ascii="Gotham" w:eastAsia="Times New Roman" w:hAnsi="Gotham" w:cs="Arial"/>
          <w:b/>
          <w:bCs/>
          <w:sz w:val="18"/>
          <w:szCs w:val="18"/>
        </w:rPr>
        <w:t xml:space="preserve">NOTAS AL ESTADO </w:t>
      </w:r>
      <w:r w:rsidRPr="00683965">
        <w:rPr>
          <w:rFonts w:ascii="Gotham" w:eastAsia="Times New Roman" w:hAnsi="Gotham" w:cs="Arial"/>
          <w:b/>
          <w:bCs/>
          <w:color w:val="000000"/>
          <w:sz w:val="18"/>
          <w:szCs w:val="18"/>
        </w:rPr>
        <w:t>DE VARIACIONES EN LA HACIENDA PÚBLICA/PATRIMONIO</w:t>
      </w:r>
    </w:p>
    <w:p w14:paraId="14976A18" w14:textId="77777777" w:rsidR="006809B1" w:rsidRPr="00683965" w:rsidRDefault="006809B1" w:rsidP="006809B1">
      <w:pPr>
        <w:spacing w:before="240" w:after="160"/>
        <w:ind w:left="1068" w:right="-1"/>
        <w:contextualSpacing/>
        <w:outlineLvl w:val="0"/>
        <w:rPr>
          <w:rFonts w:ascii="Gotham" w:eastAsia="Times New Roman" w:hAnsi="Gotham" w:cs="Arial"/>
          <w:b/>
          <w:bCs/>
          <w:color w:val="000000"/>
          <w:sz w:val="18"/>
          <w:szCs w:val="18"/>
        </w:rPr>
      </w:pPr>
    </w:p>
    <w:p w14:paraId="0FCDCDC0" w14:textId="77777777" w:rsidR="006809B1" w:rsidRPr="00683965" w:rsidRDefault="006809B1" w:rsidP="006809B1">
      <w:pPr>
        <w:numPr>
          <w:ilvl w:val="0"/>
          <w:numId w:val="3"/>
        </w:numPr>
        <w:spacing w:after="160" w:line="259" w:lineRule="auto"/>
        <w:jc w:val="both"/>
        <w:textAlignment w:val="baseline"/>
        <w:rPr>
          <w:rFonts w:ascii="Gotham" w:eastAsia="Times New Roman" w:hAnsi="Gotham" w:cs="Arial"/>
          <w:color w:val="000000"/>
          <w:sz w:val="18"/>
          <w:szCs w:val="18"/>
        </w:rPr>
      </w:pPr>
      <w:r w:rsidRPr="00683965">
        <w:rPr>
          <w:rFonts w:ascii="Gotham" w:eastAsia="Times New Roman" w:hAnsi="Gotham" w:cs="Arial"/>
          <w:b/>
          <w:bCs/>
          <w:color w:val="000000"/>
          <w:sz w:val="18"/>
          <w:szCs w:val="18"/>
        </w:rPr>
        <w:t>Hacienda Pública/Patrimonio Contribuido.</w:t>
      </w:r>
      <w:r w:rsidRPr="00683965">
        <w:rPr>
          <w:rFonts w:ascii="Gotham" w:eastAsia="Times New Roman" w:hAnsi="Gotham" w:cs="Times New Roman"/>
          <w:b/>
          <w:bCs/>
          <w:color w:val="000000"/>
          <w:sz w:val="18"/>
          <w:szCs w:val="18"/>
        </w:rPr>
        <w:t xml:space="preserve"> -</w:t>
      </w:r>
      <w:r w:rsidRPr="00683965">
        <w:rPr>
          <w:rFonts w:ascii="Gotham" w:eastAsia="Times New Roman" w:hAnsi="Gotham" w:cs="Times New Roman"/>
          <w:color w:val="000000"/>
          <w:sz w:val="18"/>
          <w:szCs w:val="18"/>
        </w:rPr>
        <w:t xml:space="preserve"> </w:t>
      </w:r>
      <w:r w:rsidRPr="00683965">
        <w:rPr>
          <w:rFonts w:ascii="Gotham" w:eastAsia="Times New Roman" w:hAnsi="Gotham" w:cs="Arial"/>
          <w:color w:val="000000"/>
          <w:sz w:val="18"/>
          <w:szCs w:val="18"/>
        </w:rPr>
        <w:t>En el Estado de Variaciones en la Hacienda Pública, el patrimonio contribuido neto final del Instituto por la cantidad de 5,203,459.11 se conserva por las aportaciones del Gobierno del Estado de México, así como la incorporación de cuatro terrenos de donación.</w:t>
      </w:r>
    </w:p>
    <w:p w14:paraId="655AE69C" w14:textId="77777777" w:rsidR="006809B1" w:rsidRPr="00683965" w:rsidRDefault="006809B1" w:rsidP="006809B1">
      <w:pPr>
        <w:numPr>
          <w:ilvl w:val="0"/>
          <w:numId w:val="3"/>
        </w:numPr>
        <w:spacing w:after="160" w:line="259" w:lineRule="auto"/>
        <w:jc w:val="both"/>
        <w:textAlignment w:val="baseline"/>
        <w:rPr>
          <w:rFonts w:ascii="Gotham" w:eastAsia="Times New Roman" w:hAnsi="Gotham" w:cs="Arial"/>
          <w:color w:val="000000"/>
          <w:sz w:val="18"/>
          <w:szCs w:val="18"/>
        </w:rPr>
      </w:pPr>
      <w:r w:rsidRPr="00683965">
        <w:rPr>
          <w:rFonts w:ascii="Gotham" w:eastAsia="Times New Roman" w:hAnsi="Gotham" w:cs="Arial"/>
          <w:b/>
          <w:bCs/>
          <w:color w:val="000000"/>
          <w:sz w:val="18"/>
          <w:szCs w:val="18"/>
        </w:rPr>
        <w:t>Hacienda Pública / Patrimonio Generado de Ejercicios Anteriores.</w:t>
      </w:r>
      <w:r w:rsidRPr="00683965">
        <w:rPr>
          <w:rFonts w:ascii="Gotham" w:eastAsia="Times New Roman" w:hAnsi="Gotham" w:cs="Times New Roman"/>
          <w:b/>
          <w:bCs/>
          <w:color w:val="000000"/>
          <w:sz w:val="18"/>
          <w:szCs w:val="18"/>
        </w:rPr>
        <w:t xml:space="preserve"> - </w:t>
      </w:r>
      <w:r w:rsidRPr="00683965">
        <w:rPr>
          <w:rFonts w:ascii="Gotham" w:eastAsia="Times New Roman" w:hAnsi="Gotham" w:cs="Arial"/>
          <w:color w:val="000000"/>
          <w:sz w:val="18"/>
          <w:szCs w:val="18"/>
        </w:rPr>
        <w:t>En este mes se detecta que el Patrimonio Neto Final es de 1,302,096,129.46, por los Resultados de Ejercicios Anteriores.</w:t>
      </w:r>
    </w:p>
    <w:p w14:paraId="6B4DE0C9" w14:textId="77777777" w:rsidR="006809B1" w:rsidRPr="00683965" w:rsidRDefault="006809B1" w:rsidP="006809B1">
      <w:pPr>
        <w:numPr>
          <w:ilvl w:val="0"/>
          <w:numId w:val="3"/>
        </w:numPr>
        <w:spacing w:after="160" w:line="259" w:lineRule="auto"/>
        <w:jc w:val="both"/>
        <w:textAlignment w:val="baseline"/>
        <w:rPr>
          <w:rFonts w:ascii="Gotham" w:eastAsia="Times New Roman" w:hAnsi="Gotham" w:cs="Arial"/>
          <w:sz w:val="18"/>
          <w:szCs w:val="18"/>
        </w:rPr>
      </w:pPr>
      <w:r w:rsidRPr="00683965">
        <w:rPr>
          <w:rFonts w:ascii="Gotham" w:eastAsia="Times New Roman" w:hAnsi="Gotham" w:cs="Arial"/>
          <w:b/>
          <w:bCs/>
          <w:color w:val="000000"/>
          <w:sz w:val="18"/>
          <w:szCs w:val="18"/>
        </w:rPr>
        <w:t>Resultado del Ejercicio: (Ahorro/Desahorro).</w:t>
      </w:r>
      <w:r w:rsidRPr="00683965">
        <w:rPr>
          <w:rFonts w:ascii="Gotham" w:eastAsia="Times New Roman" w:hAnsi="Gotham" w:cs="Times New Roman"/>
          <w:b/>
          <w:bCs/>
          <w:color w:val="000000"/>
          <w:sz w:val="18"/>
          <w:szCs w:val="18"/>
        </w:rPr>
        <w:t xml:space="preserve"> </w:t>
      </w:r>
      <w:r w:rsidRPr="00683965">
        <w:rPr>
          <w:rFonts w:ascii="Gotham" w:eastAsia="Times New Roman" w:hAnsi="Gotham" w:cs="Arial"/>
          <w:b/>
          <w:color w:val="000000"/>
          <w:sz w:val="18"/>
          <w:szCs w:val="18"/>
        </w:rPr>
        <w:t>-</w:t>
      </w:r>
      <w:r w:rsidRPr="00683965">
        <w:rPr>
          <w:rFonts w:ascii="Gotham" w:eastAsia="Times New Roman" w:hAnsi="Gotham" w:cs="Arial"/>
          <w:color w:val="000000"/>
          <w:sz w:val="18"/>
          <w:szCs w:val="18"/>
        </w:rPr>
        <w:t xml:space="preserve"> Se observa en la Hacienda Pública/Patrimonio Generado del Ejercicio, un ahorro por 641,354,124.55, debido principalmente a que los egresos generados son menores que los ingresos de acuerdo con el estado de actividades.</w:t>
      </w:r>
      <w:r w:rsidRPr="00683965">
        <w:rPr>
          <w:rFonts w:ascii="Gotham" w:eastAsia="Times New Roman" w:hAnsi="Gotham" w:cs="Arial"/>
          <w:sz w:val="18"/>
          <w:szCs w:val="18"/>
        </w:rPr>
        <w:t xml:space="preserve"> </w:t>
      </w:r>
    </w:p>
    <w:p w14:paraId="569D2434" w14:textId="62CC5D5F" w:rsidR="002742A6" w:rsidRPr="00683965" w:rsidRDefault="002742A6" w:rsidP="00040B09">
      <w:pPr>
        <w:rPr>
          <w:rFonts w:ascii="Gotham" w:eastAsia="Montserrat SemiBold" w:hAnsi="Gotham" w:cs="Montserrat SemiBold"/>
          <w:b/>
          <w:color w:val="595959"/>
          <w:sz w:val="20"/>
          <w:szCs w:val="20"/>
          <w:lang w:eastAsia="en-US"/>
        </w:rPr>
      </w:pPr>
      <w:bookmarkStart w:id="4" w:name="_Hlk99539725"/>
    </w:p>
    <w:p w14:paraId="5BD45BB9" w14:textId="77777777" w:rsidR="002742A6" w:rsidRPr="00683965" w:rsidRDefault="002742A6" w:rsidP="002742A6">
      <w:pPr>
        <w:numPr>
          <w:ilvl w:val="0"/>
          <w:numId w:val="1"/>
        </w:numPr>
        <w:spacing w:before="240" w:after="240" w:line="276" w:lineRule="auto"/>
        <w:ind w:left="1068" w:right="-1"/>
        <w:contextualSpacing/>
        <w:outlineLvl w:val="0"/>
        <w:rPr>
          <w:rFonts w:ascii="Gotham" w:eastAsia="Times New Roman" w:hAnsi="Gotham" w:cs="Arial"/>
          <w:sz w:val="18"/>
          <w:szCs w:val="18"/>
        </w:rPr>
      </w:pPr>
      <w:r w:rsidRPr="00683965">
        <w:rPr>
          <w:rFonts w:ascii="Gotham" w:eastAsia="Times New Roman" w:hAnsi="Gotham" w:cs="Arial"/>
          <w:b/>
          <w:sz w:val="18"/>
          <w:szCs w:val="18"/>
        </w:rPr>
        <w:t>NOTAS</w:t>
      </w:r>
      <w:r w:rsidRPr="00683965">
        <w:rPr>
          <w:rFonts w:ascii="Gotham" w:eastAsia="Times New Roman" w:hAnsi="Gotham" w:cs="Arial"/>
          <w:b/>
          <w:bCs/>
          <w:sz w:val="18"/>
          <w:szCs w:val="18"/>
        </w:rPr>
        <w:t xml:space="preserve"> AL ESTADO DE FLUJOS DE EFECTIVO</w:t>
      </w:r>
    </w:p>
    <w:p w14:paraId="7CCFA21E" w14:textId="77777777" w:rsidR="002742A6" w:rsidRPr="00683965" w:rsidRDefault="002742A6" w:rsidP="002742A6">
      <w:pPr>
        <w:spacing w:before="240" w:after="240" w:line="276" w:lineRule="auto"/>
        <w:ind w:right="-1"/>
        <w:contextualSpacing/>
        <w:outlineLvl w:val="0"/>
        <w:rPr>
          <w:rFonts w:ascii="Gotham" w:eastAsia="Times New Roman" w:hAnsi="Gotham" w:cs="Arial"/>
          <w:sz w:val="18"/>
          <w:szCs w:val="18"/>
        </w:rPr>
      </w:pPr>
    </w:p>
    <w:p w14:paraId="448B57E7" w14:textId="77777777" w:rsidR="002742A6" w:rsidRPr="00683965" w:rsidRDefault="002742A6" w:rsidP="002742A6">
      <w:pPr>
        <w:jc w:val="both"/>
        <w:textAlignment w:val="baseline"/>
        <w:rPr>
          <w:rFonts w:ascii="Gotham" w:eastAsia="Times New Roman" w:hAnsi="Gotham" w:cs="Arial"/>
          <w:sz w:val="18"/>
          <w:szCs w:val="18"/>
        </w:rPr>
      </w:pPr>
      <w:r w:rsidRPr="00683965">
        <w:rPr>
          <w:rFonts w:ascii="Gotham" w:eastAsia="Times New Roman" w:hAnsi="Gotham" w:cs="Arial"/>
          <w:sz w:val="18"/>
          <w:szCs w:val="18"/>
        </w:rPr>
        <w:t>Este rubro de las presentes notas, se observa el análisis de los saldos iniciales y finales que figuran en la última parte del Estado de Flujo de Efectivo en la cuenta de efectivo y equivalentes es como sigue:</w:t>
      </w:r>
    </w:p>
    <w:p w14:paraId="30B80E43" w14:textId="77777777" w:rsidR="002742A6" w:rsidRPr="00683965" w:rsidRDefault="002742A6" w:rsidP="002742A6">
      <w:pPr>
        <w:jc w:val="both"/>
        <w:textAlignment w:val="baseline"/>
        <w:rPr>
          <w:rFonts w:ascii="Gotham" w:eastAsia="Times New Roman" w:hAnsi="Gotham" w:cs="Arial"/>
          <w:sz w:val="18"/>
          <w:szCs w:val="18"/>
        </w:rPr>
      </w:pPr>
    </w:p>
    <w:p w14:paraId="2007F5E9" w14:textId="0ABD37B1" w:rsidR="002742A6" w:rsidRPr="00683965" w:rsidRDefault="009A40D4" w:rsidP="002742A6">
      <w:pPr>
        <w:tabs>
          <w:tab w:val="left" w:pos="1570"/>
        </w:tabs>
        <w:jc w:val="center"/>
        <w:textAlignment w:val="baseline"/>
        <w:rPr>
          <w:rFonts w:ascii="Gotham" w:eastAsia="Times New Roman" w:hAnsi="Gotham" w:cs="Arial"/>
          <w:sz w:val="18"/>
          <w:szCs w:val="18"/>
        </w:rPr>
      </w:pPr>
      <w:r w:rsidRPr="00683965">
        <w:rPr>
          <w:rFonts w:ascii="Gotham" w:eastAsia="Times New Roman" w:hAnsi="Gotham" w:cs="Arial"/>
          <w:noProof/>
          <w:sz w:val="18"/>
          <w:szCs w:val="18"/>
        </w:rPr>
        <w:drawing>
          <wp:inline distT="0" distB="0" distL="0" distR="0" wp14:anchorId="180E30CF" wp14:editId="1C7C46C3">
            <wp:extent cx="4993953" cy="8393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35568" cy="846331"/>
                    </a:xfrm>
                    <a:prstGeom prst="rect">
                      <a:avLst/>
                    </a:prstGeom>
                  </pic:spPr>
                </pic:pic>
              </a:graphicData>
            </a:graphic>
          </wp:inline>
        </w:drawing>
      </w:r>
    </w:p>
    <w:p w14:paraId="6C71AFC1" w14:textId="77777777" w:rsidR="002742A6" w:rsidRPr="00683965" w:rsidRDefault="002742A6" w:rsidP="002742A6">
      <w:pPr>
        <w:tabs>
          <w:tab w:val="left" w:pos="1570"/>
        </w:tabs>
        <w:jc w:val="center"/>
        <w:textAlignment w:val="baseline"/>
        <w:rPr>
          <w:rFonts w:ascii="Gotham" w:eastAsia="Times New Roman" w:hAnsi="Gotham" w:cs="Arial"/>
          <w:sz w:val="18"/>
          <w:szCs w:val="18"/>
        </w:rPr>
      </w:pPr>
    </w:p>
    <w:p w14:paraId="51B532F1" w14:textId="0102D2F3" w:rsidR="002742A6" w:rsidRPr="00683965" w:rsidRDefault="002742A6" w:rsidP="002742A6">
      <w:pPr>
        <w:jc w:val="both"/>
        <w:textAlignment w:val="baseline"/>
        <w:rPr>
          <w:rFonts w:ascii="Gotham" w:eastAsia="Times New Roman" w:hAnsi="Gotham" w:cs="Arial"/>
          <w:sz w:val="18"/>
          <w:szCs w:val="18"/>
        </w:rPr>
      </w:pPr>
      <w:r w:rsidRPr="00683965">
        <w:rPr>
          <w:rFonts w:ascii="Gotham" w:eastAsia="Times New Roman" w:hAnsi="Gotham" w:cs="Arial"/>
          <w:sz w:val="18"/>
          <w:szCs w:val="18"/>
        </w:rPr>
        <w:t>La Conciliación de los Flujos de Efectivo Netos de las Actividades de Operación y la cuenta de Ahorro/Desahorro antes de Rubros Extraordinarios, queda como sigue:</w:t>
      </w:r>
    </w:p>
    <w:p w14:paraId="646369D9" w14:textId="77777777" w:rsidR="002742A6" w:rsidRPr="00683965" w:rsidRDefault="002742A6" w:rsidP="002742A6">
      <w:pPr>
        <w:jc w:val="both"/>
        <w:textAlignment w:val="baseline"/>
        <w:rPr>
          <w:rFonts w:ascii="Gotham" w:eastAsia="Times New Roman" w:hAnsi="Gotham" w:cs="Arial"/>
          <w:sz w:val="18"/>
          <w:szCs w:val="18"/>
        </w:rPr>
      </w:pPr>
    </w:p>
    <w:p w14:paraId="2F701C39" w14:textId="477C3DF4" w:rsidR="002742A6" w:rsidRPr="00683965" w:rsidRDefault="009A40D4" w:rsidP="002742A6">
      <w:pPr>
        <w:jc w:val="center"/>
        <w:textAlignment w:val="baseline"/>
        <w:rPr>
          <w:rFonts w:ascii="Gotham" w:hAnsi="Gotham" w:cs="Times New Roman"/>
          <w:noProof/>
          <w:sz w:val="18"/>
          <w:szCs w:val="18"/>
        </w:rPr>
      </w:pPr>
      <w:r w:rsidRPr="00683965">
        <w:rPr>
          <w:rFonts w:ascii="Gotham" w:hAnsi="Gotham" w:cs="Times New Roman"/>
          <w:noProof/>
          <w:sz w:val="18"/>
          <w:szCs w:val="18"/>
        </w:rPr>
        <w:drawing>
          <wp:inline distT="0" distB="0" distL="0" distR="0" wp14:anchorId="04619D4D" wp14:editId="1342F252">
            <wp:extent cx="5111205" cy="328496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3433" cy="3286401"/>
                    </a:xfrm>
                    <a:prstGeom prst="rect">
                      <a:avLst/>
                    </a:prstGeom>
                  </pic:spPr>
                </pic:pic>
              </a:graphicData>
            </a:graphic>
          </wp:inline>
        </w:drawing>
      </w:r>
    </w:p>
    <w:p w14:paraId="56B14CF3" w14:textId="6C6DD11D" w:rsidR="009A40D4" w:rsidRPr="00683965" w:rsidRDefault="009A40D4" w:rsidP="002742A6">
      <w:pPr>
        <w:jc w:val="center"/>
        <w:textAlignment w:val="baseline"/>
        <w:rPr>
          <w:rFonts w:ascii="Gotham" w:hAnsi="Gotham" w:cs="Times New Roman"/>
          <w:noProof/>
          <w:sz w:val="18"/>
          <w:szCs w:val="18"/>
        </w:rPr>
      </w:pPr>
    </w:p>
    <w:p w14:paraId="4BFC31CE" w14:textId="0F724B86" w:rsidR="009A40D4" w:rsidRPr="00683965" w:rsidRDefault="009A40D4" w:rsidP="002742A6">
      <w:pPr>
        <w:jc w:val="center"/>
        <w:textAlignment w:val="baseline"/>
        <w:rPr>
          <w:rFonts w:ascii="Gotham" w:hAnsi="Gotham" w:cs="Times New Roman"/>
          <w:noProof/>
          <w:sz w:val="18"/>
          <w:szCs w:val="18"/>
        </w:rPr>
      </w:pPr>
    </w:p>
    <w:p w14:paraId="7AF773EC" w14:textId="77777777" w:rsidR="002742A6" w:rsidRPr="00683965" w:rsidRDefault="002742A6" w:rsidP="002742A6">
      <w:pPr>
        <w:jc w:val="center"/>
        <w:textAlignment w:val="baseline"/>
        <w:rPr>
          <w:rFonts w:ascii="Gotham" w:hAnsi="Gotham" w:cs="Times New Roman"/>
          <w:noProof/>
          <w:sz w:val="18"/>
          <w:szCs w:val="18"/>
        </w:rPr>
      </w:pPr>
    </w:p>
    <w:p w14:paraId="02270DF0" w14:textId="77BA33ED" w:rsidR="002742A6" w:rsidRPr="00683965" w:rsidRDefault="002742A6" w:rsidP="002742A6">
      <w:pPr>
        <w:numPr>
          <w:ilvl w:val="0"/>
          <w:numId w:val="3"/>
        </w:numPr>
        <w:spacing w:after="160"/>
        <w:jc w:val="both"/>
        <w:textAlignment w:val="baseline"/>
        <w:rPr>
          <w:rFonts w:ascii="Gotham" w:eastAsia="Times New Roman" w:hAnsi="Gotham" w:cs="Arial"/>
          <w:sz w:val="18"/>
          <w:szCs w:val="18"/>
        </w:rPr>
      </w:pPr>
      <w:r w:rsidRPr="00683965">
        <w:rPr>
          <w:rFonts w:ascii="Gotham" w:eastAsia="Times New Roman" w:hAnsi="Gotham" w:cs="Arial"/>
          <w:sz w:val="18"/>
          <w:szCs w:val="18"/>
        </w:rPr>
        <w:t>El efectivo y equivalentes en el mes que se reporta, para que el Instituto de la Función Registral del Estado de México cubra sus obligaciones de pago, fue de 225,244,655.89.</w:t>
      </w:r>
    </w:p>
    <w:p w14:paraId="3D670D66" w14:textId="31FC89BA" w:rsidR="009A40D4" w:rsidRPr="00683965" w:rsidRDefault="009A40D4" w:rsidP="009A40D4">
      <w:pPr>
        <w:spacing w:after="160"/>
        <w:jc w:val="both"/>
        <w:textAlignment w:val="baseline"/>
        <w:rPr>
          <w:rFonts w:ascii="Gotham" w:eastAsia="Times New Roman" w:hAnsi="Gotham" w:cs="Arial"/>
          <w:sz w:val="18"/>
          <w:szCs w:val="18"/>
        </w:rPr>
      </w:pPr>
    </w:p>
    <w:p w14:paraId="403C6A41" w14:textId="431EAA53" w:rsidR="009A40D4" w:rsidRPr="00683965" w:rsidRDefault="009A40D4" w:rsidP="009A40D4">
      <w:pPr>
        <w:spacing w:after="160"/>
        <w:jc w:val="both"/>
        <w:textAlignment w:val="baseline"/>
        <w:rPr>
          <w:rFonts w:ascii="Gotham" w:eastAsia="Times New Roman" w:hAnsi="Gotham" w:cs="Arial"/>
          <w:sz w:val="18"/>
          <w:szCs w:val="18"/>
        </w:rPr>
      </w:pPr>
    </w:p>
    <w:p w14:paraId="0A7910B7" w14:textId="6A0BEE21" w:rsidR="009A40D4" w:rsidRPr="00683965" w:rsidRDefault="009A40D4" w:rsidP="009A40D4">
      <w:pPr>
        <w:spacing w:after="160"/>
        <w:jc w:val="both"/>
        <w:textAlignment w:val="baseline"/>
        <w:rPr>
          <w:rFonts w:ascii="Gotham" w:eastAsia="Times New Roman" w:hAnsi="Gotham" w:cs="Arial"/>
          <w:sz w:val="18"/>
          <w:szCs w:val="18"/>
        </w:rPr>
      </w:pPr>
    </w:p>
    <w:p w14:paraId="66BB47AB" w14:textId="1E4FF8FA" w:rsidR="009A40D4" w:rsidRPr="00683965" w:rsidRDefault="009A40D4" w:rsidP="009A40D4">
      <w:pPr>
        <w:spacing w:after="160"/>
        <w:jc w:val="both"/>
        <w:textAlignment w:val="baseline"/>
        <w:rPr>
          <w:rFonts w:ascii="Gotham" w:eastAsia="Times New Roman" w:hAnsi="Gotham" w:cs="Arial"/>
          <w:sz w:val="18"/>
          <w:szCs w:val="18"/>
        </w:rPr>
      </w:pPr>
    </w:p>
    <w:p w14:paraId="7D0F41FE" w14:textId="19D3BA25" w:rsidR="009A40D4" w:rsidRPr="00683965" w:rsidRDefault="009A40D4" w:rsidP="009A40D4">
      <w:pPr>
        <w:spacing w:after="160"/>
        <w:jc w:val="both"/>
        <w:textAlignment w:val="baseline"/>
        <w:rPr>
          <w:rFonts w:ascii="Gotham" w:eastAsia="Times New Roman" w:hAnsi="Gotham" w:cs="Arial"/>
          <w:sz w:val="18"/>
          <w:szCs w:val="18"/>
        </w:rPr>
      </w:pPr>
    </w:p>
    <w:p w14:paraId="6A98EFC9" w14:textId="41F52DDF" w:rsidR="009A40D4" w:rsidRPr="00683965" w:rsidRDefault="009A40D4" w:rsidP="009A40D4">
      <w:pPr>
        <w:spacing w:after="160"/>
        <w:jc w:val="both"/>
        <w:textAlignment w:val="baseline"/>
        <w:rPr>
          <w:rFonts w:ascii="Gotham" w:eastAsia="Times New Roman" w:hAnsi="Gotham" w:cs="Arial"/>
          <w:sz w:val="18"/>
          <w:szCs w:val="18"/>
        </w:rPr>
      </w:pPr>
    </w:p>
    <w:p w14:paraId="75ED9861" w14:textId="0C926BDC" w:rsidR="009A40D4" w:rsidRPr="00683965" w:rsidRDefault="009A40D4" w:rsidP="009A40D4">
      <w:pPr>
        <w:spacing w:after="160"/>
        <w:jc w:val="both"/>
        <w:textAlignment w:val="baseline"/>
        <w:rPr>
          <w:rFonts w:ascii="Gotham" w:eastAsia="Times New Roman" w:hAnsi="Gotham" w:cs="Arial"/>
          <w:sz w:val="18"/>
          <w:szCs w:val="18"/>
        </w:rPr>
      </w:pPr>
    </w:p>
    <w:p w14:paraId="68409EA0" w14:textId="2F1A0994" w:rsidR="009A40D4" w:rsidRDefault="009A40D4" w:rsidP="009A40D4">
      <w:pPr>
        <w:spacing w:after="160"/>
        <w:jc w:val="both"/>
        <w:textAlignment w:val="baseline"/>
        <w:rPr>
          <w:rFonts w:ascii="Gotham" w:eastAsia="Times New Roman" w:hAnsi="Gotham" w:cs="Arial"/>
          <w:sz w:val="18"/>
          <w:szCs w:val="18"/>
        </w:rPr>
      </w:pPr>
    </w:p>
    <w:p w14:paraId="07C07835" w14:textId="77777777" w:rsidR="00071B49" w:rsidRPr="00683965" w:rsidRDefault="00071B49" w:rsidP="009A40D4">
      <w:pPr>
        <w:spacing w:after="160"/>
        <w:jc w:val="both"/>
        <w:textAlignment w:val="baseline"/>
        <w:rPr>
          <w:rFonts w:ascii="Gotham" w:eastAsia="Times New Roman" w:hAnsi="Gotham" w:cs="Arial"/>
          <w:sz w:val="18"/>
          <w:szCs w:val="18"/>
        </w:rPr>
      </w:pPr>
    </w:p>
    <w:p w14:paraId="14EE2CEA" w14:textId="08170E28" w:rsidR="009A40D4" w:rsidRPr="00683965" w:rsidRDefault="009A40D4" w:rsidP="009A40D4">
      <w:pPr>
        <w:spacing w:after="160"/>
        <w:jc w:val="both"/>
        <w:textAlignment w:val="baseline"/>
        <w:rPr>
          <w:rFonts w:ascii="Gotham" w:eastAsia="Times New Roman" w:hAnsi="Gotham" w:cs="Arial"/>
          <w:sz w:val="18"/>
          <w:szCs w:val="18"/>
        </w:rPr>
      </w:pPr>
    </w:p>
    <w:p w14:paraId="7786CC20" w14:textId="41864D21" w:rsidR="009A40D4" w:rsidRPr="00683965" w:rsidRDefault="009A40D4" w:rsidP="009A40D4">
      <w:pPr>
        <w:spacing w:after="160"/>
        <w:jc w:val="both"/>
        <w:textAlignment w:val="baseline"/>
        <w:rPr>
          <w:rFonts w:ascii="Gotham" w:eastAsia="Times New Roman" w:hAnsi="Gotham" w:cs="Arial"/>
          <w:sz w:val="18"/>
          <w:szCs w:val="18"/>
        </w:rPr>
      </w:pPr>
    </w:p>
    <w:p w14:paraId="5849C87D" w14:textId="4BE785C3" w:rsidR="009A40D4" w:rsidRPr="00683965" w:rsidRDefault="009A40D4" w:rsidP="009A40D4">
      <w:pPr>
        <w:spacing w:after="160"/>
        <w:jc w:val="both"/>
        <w:textAlignment w:val="baseline"/>
        <w:rPr>
          <w:rFonts w:ascii="Gotham" w:eastAsia="Times New Roman" w:hAnsi="Gotham" w:cs="Arial"/>
          <w:sz w:val="18"/>
          <w:szCs w:val="18"/>
        </w:rPr>
      </w:pPr>
    </w:p>
    <w:p w14:paraId="0C037032" w14:textId="77777777" w:rsidR="009A40D4" w:rsidRPr="00683965" w:rsidRDefault="009A40D4" w:rsidP="009A40D4">
      <w:pPr>
        <w:spacing w:after="160"/>
        <w:jc w:val="both"/>
        <w:textAlignment w:val="baseline"/>
        <w:rPr>
          <w:rFonts w:ascii="Gotham" w:eastAsia="Times New Roman" w:hAnsi="Gotham" w:cs="Arial"/>
          <w:sz w:val="18"/>
          <w:szCs w:val="18"/>
        </w:rPr>
      </w:pPr>
    </w:p>
    <w:p w14:paraId="019964F4" w14:textId="6A12391E" w:rsidR="002742A6" w:rsidRPr="00683965" w:rsidRDefault="002742A6" w:rsidP="00040B09">
      <w:pPr>
        <w:rPr>
          <w:rFonts w:ascii="Gotham" w:eastAsia="Montserrat SemiBold" w:hAnsi="Gotham" w:cs="Montserrat SemiBold"/>
          <w:b/>
          <w:color w:val="595959"/>
          <w:sz w:val="20"/>
          <w:szCs w:val="20"/>
          <w:lang w:eastAsia="en-US"/>
        </w:rPr>
      </w:pPr>
    </w:p>
    <w:p w14:paraId="2698E1E0" w14:textId="77777777" w:rsidR="00040B09" w:rsidRPr="00683965" w:rsidRDefault="00040B09" w:rsidP="002742A6">
      <w:pPr>
        <w:numPr>
          <w:ilvl w:val="0"/>
          <w:numId w:val="1"/>
        </w:numPr>
        <w:spacing w:before="240" w:after="240" w:line="276" w:lineRule="auto"/>
        <w:ind w:left="1068" w:right="-1"/>
        <w:contextualSpacing/>
        <w:outlineLvl w:val="0"/>
        <w:rPr>
          <w:rFonts w:ascii="Gotham" w:hAnsi="Gotham" w:cs="Arial"/>
          <w:b/>
          <w:sz w:val="20"/>
          <w:szCs w:val="20"/>
        </w:rPr>
      </w:pPr>
      <w:r w:rsidRPr="00683965">
        <w:rPr>
          <w:rFonts w:ascii="Gotham" w:eastAsia="Times New Roman" w:hAnsi="Gotham" w:cs="Arial"/>
          <w:b/>
          <w:sz w:val="20"/>
          <w:szCs w:val="20"/>
        </w:rPr>
        <w:lastRenderedPageBreak/>
        <w:t>CONCILIACIÓN ENTRE LOS INGRESOS PRESUPUESTARIOS Y CONTABLES, ASÍ COMO ENTRE LOS EGRESOS PRESUPUESTARIOS Y LOS GASTOS CONTABLES</w:t>
      </w:r>
    </w:p>
    <w:p w14:paraId="521E0380" w14:textId="77777777" w:rsidR="00040B09" w:rsidRPr="00683965" w:rsidRDefault="00040B09" w:rsidP="00040B09">
      <w:pPr>
        <w:spacing w:line="276" w:lineRule="auto"/>
        <w:ind w:right="-1"/>
        <w:jc w:val="center"/>
        <w:rPr>
          <w:rFonts w:ascii="Gotham" w:hAnsi="Gotham"/>
          <w:noProof/>
          <w:sz w:val="20"/>
          <w:szCs w:val="20"/>
          <w:lang w:eastAsia="en-US"/>
        </w:rPr>
      </w:pPr>
      <w:r w:rsidRPr="00683965">
        <w:rPr>
          <w:rFonts w:ascii="Gotham" w:hAnsi="Gotham"/>
          <w:noProof/>
        </w:rPr>
        <w:drawing>
          <wp:inline distT="0" distB="0" distL="0" distR="0" wp14:anchorId="181858F4" wp14:editId="2229A34C">
            <wp:extent cx="5705689" cy="3152632"/>
            <wp:effectExtent l="0" t="0" r="0" b="0"/>
            <wp:docPr id="29695338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8605" cy="3181871"/>
                    </a:xfrm>
                    <a:prstGeom prst="rect">
                      <a:avLst/>
                    </a:prstGeom>
                    <a:noFill/>
                    <a:ln>
                      <a:noFill/>
                    </a:ln>
                  </pic:spPr>
                </pic:pic>
              </a:graphicData>
            </a:graphic>
          </wp:inline>
        </w:drawing>
      </w:r>
    </w:p>
    <w:p w14:paraId="64791705" w14:textId="77777777" w:rsidR="00040B09" w:rsidRPr="00683965" w:rsidRDefault="00040B09" w:rsidP="00040B09">
      <w:pPr>
        <w:spacing w:line="276" w:lineRule="auto"/>
        <w:ind w:right="-1"/>
        <w:rPr>
          <w:rFonts w:ascii="Gotham" w:hAnsi="Gotham"/>
          <w:noProof/>
          <w:sz w:val="20"/>
          <w:szCs w:val="20"/>
        </w:rPr>
      </w:pPr>
    </w:p>
    <w:p w14:paraId="14750CA3" w14:textId="77777777" w:rsidR="00040B09" w:rsidRPr="00683965" w:rsidRDefault="00040B09" w:rsidP="00040B09">
      <w:pPr>
        <w:jc w:val="both"/>
        <w:rPr>
          <w:rFonts w:ascii="Gotham" w:hAnsi="Gotham" w:cs="Arial"/>
          <w:sz w:val="20"/>
          <w:szCs w:val="20"/>
          <w:lang w:eastAsia="en-US"/>
        </w:rPr>
      </w:pPr>
      <w:r w:rsidRPr="00683965">
        <w:rPr>
          <w:rFonts w:ascii="Gotham" w:hAnsi="Gotham" w:cs="Arial"/>
          <w:b/>
          <w:sz w:val="20"/>
          <w:szCs w:val="20"/>
          <w:lang w:eastAsia="en-US"/>
        </w:rPr>
        <w:t xml:space="preserve">Conciliación entre los Ingresos Presupuestarios y Contables.- </w:t>
      </w:r>
      <w:r w:rsidRPr="00683965">
        <w:rPr>
          <w:rFonts w:ascii="Gotham" w:hAnsi="Gotham" w:cs="Arial"/>
          <w:sz w:val="20"/>
          <w:szCs w:val="20"/>
          <w:lang w:eastAsia="en-US"/>
        </w:rPr>
        <w:t>El importe de 653,010,266.83,  se integra de “Otros Ingresos para Pago (Bonos) Amortización de Capital” de las Series “A” , “B” y Subordinada “C” de los Certificados Bursátiles del Fideicomiso de Cobranza; por un monto de 512,471,780.73 más 102,538,486.10 por concepto de "Remanentes e intereses del Fideicomiso de Cobranza", que tiene como origen la Adecuación presupuestaria interna de los remanentes enviados al GEM en el mes de febrero y 38,000,000.00 por concepto de “Ingresos por disponibilidades presupuestarias Entidades Públicas”  por concepto del folio 458 ampliación no liquida y dictamen de reconducción y actualización programática presupuestal .</w:t>
      </w:r>
    </w:p>
    <w:p w14:paraId="69727951" w14:textId="77777777" w:rsidR="00040B09" w:rsidRPr="00683965" w:rsidRDefault="00040B09" w:rsidP="00040B09">
      <w:pPr>
        <w:tabs>
          <w:tab w:val="left" w:pos="1215"/>
        </w:tabs>
        <w:jc w:val="center"/>
        <w:rPr>
          <w:rFonts w:ascii="Gotham" w:hAnsi="Gotham"/>
          <w:noProof/>
          <w:sz w:val="20"/>
          <w:szCs w:val="20"/>
        </w:rPr>
      </w:pPr>
    </w:p>
    <w:p w14:paraId="6F333D94" w14:textId="77777777" w:rsidR="00040B09" w:rsidRPr="00683965" w:rsidRDefault="00040B09" w:rsidP="00040B09">
      <w:pPr>
        <w:tabs>
          <w:tab w:val="left" w:pos="1215"/>
        </w:tabs>
        <w:jc w:val="center"/>
        <w:rPr>
          <w:rFonts w:ascii="Gotham" w:hAnsi="Gotham"/>
          <w:lang w:val="en-US" w:eastAsia="en-US"/>
        </w:rPr>
      </w:pPr>
      <w:r w:rsidRPr="00683965">
        <w:rPr>
          <w:rFonts w:ascii="Gotham" w:hAnsi="Gotham"/>
          <w:noProof/>
        </w:rPr>
        <w:lastRenderedPageBreak/>
        <w:drawing>
          <wp:inline distT="0" distB="0" distL="0" distR="0" wp14:anchorId="57EA9F28" wp14:editId="5EE8A0C3">
            <wp:extent cx="5382260" cy="5331975"/>
            <wp:effectExtent l="0" t="0" r="8890" b="2540"/>
            <wp:docPr id="11076757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2201" cy="5341823"/>
                    </a:xfrm>
                    <a:prstGeom prst="rect">
                      <a:avLst/>
                    </a:prstGeom>
                    <a:noFill/>
                    <a:ln>
                      <a:noFill/>
                    </a:ln>
                  </pic:spPr>
                </pic:pic>
              </a:graphicData>
            </a:graphic>
          </wp:inline>
        </w:drawing>
      </w:r>
    </w:p>
    <w:p w14:paraId="54D74641" w14:textId="77777777" w:rsidR="00040B09" w:rsidRPr="00683965" w:rsidRDefault="00040B09" w:rsidP="00040B09">
      <w:pPr>
        <w:tabs>
          <w:tab w:val="left" w:pos="1215"/>
        </w:tabs>
        <w:rPr>
          <w:rFonts w:ascii="Gotham" w:hAnsi="Gotham" w:cs="Arial"/>
          <w:b/>
          <w:sz w:val="20"/>
          <w:szCs w:val="20"/>
          <w:lang w:eastAsia="en-US"/>
        </w:rPr>
      </w:pPr>
    </w:p>
    <w:p w14:paraId="61AF17F5" w14:textId="50778C02" w:rsidR="00040B09" w:rsidRPr="00683965" w:rsidRDefault="00040B09" w:rsidP="00040B09">
      <w:pPr>
        <w:tabs>
          <w:tab w:val="left" w:pos="1215"/>
        </w:tabs>
        <w:jc w:val="both"/>
        <w:rPr>
          <w:rFonts w:ascii="Gotham" w:hAnsi="Gotham" w:cs="Arial"/>
          <w:sz w:val="20"/>
          <w:szCs w:val="20"/>
          <w:lang w:eastAsia="en-US"/>
        </w:rPr>
      </w:pPr>
      <w:r w:rsidRPr="00683965">
        <w:rPr>
          <w:rFonts w:ascii="Gotham" w:hAnsi="Gotham" w:cs="Arial"/>
          <w:b/>
          <w:sz w:val="20"/>
          <w:szCs w:val="20"/>
          <w:lang w:eastAsia="en-US"/>
        </w:rPr>
        <w:t>Conciliación entre los Egresos Presupuestarios y los Gastos Contables</w:t>
      </w:r>
      <w:r w:rsidRPr="00683965">
        <w:rPr>
          <w:rFonts w:ascii="Gotham" w:hAnsi="Gotham" w:cs="Arial"/>
          <w:sz w:val="20"/>
          <w:szCs w:val="20"/>
          <w:lang w:eastAsia="en-US"/>
        </w:rPr>
        <w:t>. - El renglón de Otros Egresos Presupuestales No Contables por 681,000,609.40</w:t>
      </w:r>
      <w:r w:rsidR="00D76B68" w:rsidRPr="00683965">
        <w:rPr>
          <w:rFonts w:ascii="Gotham" w:hAnsi="Gotham" w:cs="Arial"/>
          <w:sz w:val="20"/>
          <w:szCs w:val="20"/>
          <w:lang w:eastAsia="en-US"/>
        </w:rPr>
        <w:t>,</w:t>
      </w:r>
      <w:r w:rsidRPr="00683965">
        <w:rPr>
          <w:rFonts w:ascii="Gotham" w:hAnsi="Gotham" w:cs="Arial"/>
          <w:sz w:val="20"/>
          <w:szCs w:val="20"/>
          <w:lang w:eastAsia="en-US"/>
        </w:rPr>
        <w:t xml:space="preserve"> se integran de: 671,999,432.27 de las Transferencias al Fideicomiso de Cobranza y por 9,001,177.13 del recurso comprometido de acuerdo al Avance Presupuestal al mes que se analiza.</w:t>
      </w:r>
    </w:p>
    <w:p w14:paraId="153704DF" w14:textId="77777777" w:rsidR="00040B09" w:rsidRPr="00683965" w:rsidRDefault="00040B09" w:rsidP="00040B09">
      <w:pPr>
        <w:tabs>
          <w:tab w:val="left" w:pos="1215"/>
        </w:tabs>
        <w:jc w:val="both"/>
        <w:rPr>
          <w:rFonts w:ascii="Gotham" w:hAnsi="Gotham"/>
          <w:sz w:val="20"/>
          <w:szCs w:val="20"/>
          <w:lang w:eastAsia="en-US"/>
        </w:rPr>
      </w:pPr>
      <w:r w:rsidRPr="00683965">
        <w:rPr>
          <w:rFonts w:ascii="Gotham" w:hAnsi="Gotham" w:cs="Arial"/>
          <w:sz w:val="20"/>
          <w:szCs w:val="20"/>
          <w:lang w:eastAsia="en-US"/>
        </w:rPr>
        <w:t xml:space="preserve"> En el rubro de Otros Gastos Contables No Presupuestales, el importe de 1,769,546.63 por la transferencia al GEM, de los remanentes del Programa de Regularización de Tenencia de la Tierra 2022, que incluye los intereses generados. En el rubro de Otros Gastos Contables No Presupuestales el importe de 1,769,546.63 por la transferencia al GEM, de los remanentes del Programa de Regularización de Tenencia de la Tierra 2022, que incluye los intereses generados.</w:t>
      </w:r>
    </w:p>
    <w:p w14:paraId="7AC2A3F1" w14:textId="77777777" w:rsidR="00040B09" w:rsidRDefault="00040B09" w:rsidP="00040B09">
      <w:pPr>
        <w:rPr>
          <w:rFonts w:ascii="Gotham" w:hAnsi="Gotham"/>
          <w:sz w:val="20"/>
          <w:szCs w:val="20"/>
          <w:lang w:eastAsia="en-US"/>
        </w:rPr>
      </w:pPr>
    </w:p>
    <w:p w14:paraId="0C2850C7" w14:textId="77777777" w:rsidR="0097426D" w:rsidRDefault="0097426D" w:rsidP="00040B09">
      <w:pPr>
        <w:rPr>
          <w:rFonts w:ascii="Gotham" w:hAnsi="Gotham"/>
          <w:sz w:val="20"/>
          <w:szCs w:val="20"/>
          <w:lang w:eastAsia="en-US"/>
        </w:rPr>
      </w:pPr>
    </w:p>
    <w:p w14:paraId="0DFAD63B" w14:textId="77777777" w:rsidR="0097426D" w:rsidRDefault="0097426D" w:rsidP="00040B09">
      <w:pPr>
        <w:rPr>
          <w:rFonts w:ascii="Gotham" w:hAnsi="Gotham"/>
          <w:sz w:val="20"/>
          <w:szCs w:val="20"/>
          <w:lang w:eastAsia="en-US"/>
        </w:rPr>
      </w:pPr>
    </w:p>
    <w:p w14:paraId="3B546579" w14:textId="77777777" w:rsidR="00071B49" w:rsidRDefault="00071B49" w:rsidP="00040B09">
      <w:pPr>
        <w:rPr>
          <w:rFonts w:ascii="Gotham" w:hAnsi="Gotham"/>
          <w:sz w:val="20"/>
          <w:szCs w:val="20"/>
          <w:lang w:eastAsia="en-US"/>
        </w:rPr>
      </w:pPr>
    </w:p>
    <w:p w14:paraId="4D49625E" w14:textId="77777777" w:rsidR="00071B49" w:rsidRDefault="00071B49" w:rsidP="00040B09">
      <w:pPr>
        <w:rPr>
          <w:rFonts w:ascii="Gotham" w:hAnsi="Gotham"/>
          <w:sz w:val="20"/>
          <w:szCs w:val="20"/>
          <w:lang w:eastAsia="en-US"/>
        </w:rPr>
      </w:pPr>
    </w:p>
    <w:p w14:paraId="66A67ACE" w14:textId="77777777" w:rsidR="0097426D" w:rsidRPr="00683965" w:rsidRDefault="0097426D" w:rsidP="00040B09">
      <w:pPr>
        <w:rPr>
          <w:rFonts w:ascii="Gotham" w:hAnsi="Gotham"/>
          <w:sz w:val="20"/>
          <w:szCs w:val="20"/>
          <w:lang w:eastAsia="en-US"/>
        </w:rPr>
      </w:pPr>
    </w:p>
    <w:bookmarkEnd w:id="0"/>
    <w:bookmarkEnd w:id="4"/>
    <w:p w14:paraId="7DE98405" w14:textId="77777777" w:rsidR="00040B09" w:rsidRPr="00683965" w:rsidRDefault="00040B09" w:rsidP="00040B09">
      <w:pPr>
        <w:tabs>
          <w:tab w:val="left" w:pos="1215"/>
        </w:tabs>
        <w:jc w:val="both"/>
        <w:rPr>
          <w:rFonts w:ascii="Gotham" w:hAnsi="Gotham" w:cs="Arial"/>
          <w:b/>
          <w:sz w:val="18"/>
          <w:szCs w:val="18"/>
          <w:lang w:eastAsia="en-US"/>
        </w:rPr>
      </w:pPr>
    </w:p>
    <w:p w14:paraId="027ABC91" w14:textId="77777777" w:rsidR="00040B09" w:rsidRPr="00683965" w:rsidRDefault="00040B09" w:rsidP="00040B09">
      <w:pPr>
        <w:tabs>
          <w:tab w:val="left" w:pos="1215"/>
        </w:tabs>
        <w:jc w:val="both"/>
        <w:rPr>
          <w:rFonts w:ascii="Gotham" w:hAnsi="Gotham" w:cs="Arial"/>
          <w:b/>
          <w:sz w:val="18"/>
          <w:szCs w:val="18"/>
          <w:lang w:eastAsia="en-US"/>
        </w:rPr>
      </w:pPr>
      <w:r w:rsidRPr="00683965">
        <w:rPr>
          <w:rFonts w:ascii="Gotham" w:hAnsi="Gotham" w:cs="Arial"/>
          <w:b/>
          <w:sz w:val="18"/>
          <w:szCs w:val="18"/>
          <w:lang w:eastAsia="en-US"/>
        </w:rPr>
        <w:t>b) NOTAS DE MEMORIA (CUENTAS DE ORDEN)</w:t>
      </w:r>
    </w:p>
    <w:p w14:paraId="39A0A6D2" w14:textId="66A7D84F" w:rsidR="00040B09" w:rsidRPr="00683965" w:rsidRDefault="00040B09" w:rsidP="00040B09">
      <w:pPr>
        <w:tabs>
          <w:tab w:val="left" w:pos="1215"/>
        </w:tabs>
        <w:jc w:val="both"/>
        <w:rPr>
          <w:rFonts w:ascii="Gotham" w:hAnsi="Gotham" w:cs="Arial"/>
          <w:sz w:val="18"/>
          <w:szCs w:val="18"/>
          <w:lang w:eastAsia="en-US"/>
        </w:rPr>
      </w:pPr>
      <w:r w:rsidRPr="00683965">
        <w:rPr>
          <w:rFonts w:ascii="Gotham" w:hAnsi="Gotham" w:cs="Arial"/>
          <w:sz w:val="18"/>
          <w:szCs w:val="18"/>
          <w:lang w:eastAsia="en-US"/>
        </w:rPr>
        <w:t>Las Cuentas de Orden Contables y Presupuestarias se integran de la siguiente forma:</w:t>
      </w:r>
    </w:p>
    <w:p w14:paraId="50223D38" w14:textId="77777777" w:rsidR="00040B09" w:rsidRPr="00683965" w:rsidRDefault="00040B09" w:rsidP="00040B09">
      <w:pPr>
        <w:tabs>
          <w:tab w:val="left" w:pos="1215"/>
        </w:tabs>
        <w:jc w:val="both"/>
        <w:rPr>
          <w:rFonts w:ascii="Gotham" w:hAnsi="Gotham" w:cs="Arial"/>
          <w:sz w:val="18"/>
          <w:szCs w:val="18"/>
          <w:lang w:eastAsia="en-US"/>
        </w:rPr>
      </w:pPr>
    </w:p>
    <w:p w14:paraId="632C9D35" w14:textId="77777777" w:rsidR="00040B09" w:rsidRPr="00683965" w:rsidRDefault="00040B09" w:rsidP="00040B09">
      <w:pPr>
        <w:tabs>
          <w:tab w:val="left" w:pos="1215"/>
        </w:tabs>
        <w:jc w:val="both"/>
        <w:rPr>
          <w:rFonts w:ascii="Gotham" w:hAnsi="Gotham" w:cs="Arial"/>
          <w:sz w:val="18"/>
          <w:szCs w:val="18"/>
          <w:lang w:eastAsia="en-US"/>
        </w:rPr>
      </w:pPr>
      <w:r w:rsidRPr="00683965">
        <w:rPr>
          <w:rFonts w:ascii="Gotham" w:hAnsi="Gotham"/>
          <w:noProof/>
          <w:sz w:val="18"/>
          <w:szCs w:val="18"/>
        </w:rPr>
        <w:drawing>
          <wp:anchor distT="0" distB="0" distL="114300" distR="114300" simplePos="0" relativeHeight="251670528" behindDoc="0" locked="0" layoutInCell="1" allowOverlap="1" wp14:anchorId="13407340" wp14:editId="608F33BA">
            <wp:simplePos x="0" y="0"/>
            <wp:positionH relativeFrom="margin">
              <wp:align>center</wp:align>
            </wp:positionH>
            <wp:positionV relativeFrom="paragraph">
              <wp:posOffset>39854</wp:posOffset>
            </wp:positionV>
            <wp:extent cx="5556934" cy="1506382"/>
            <wp:effectExtent l="0" t="0" r="571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6934" cy="15063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7DFB5" w14:textId="77777777" w:rsidR="00040B09" w:rsidRPr="00683965" w:rsidRDefault="00040B09" w:rsidP="00040B09">
      <w:pPr>
        <w:tabs>
          <w:tab w:val="left" w:pos="1215"/>
        </w:tabs>
        <w:jc w:val="both"/>
        <w:rPr>
          <w:rFonts w:ascii="Gotham" w:hAnsi="Gotham" w:cs="Arial"/>
          <w:sz w:val="18"/>
          <w:szCs w:val="18"/>
          <w:lang w:eastAsia="en-US"/>
        </w:rPr>
      </w:pPr>
    </w:p>
    <w:p w14:paraId="7A6DFA58" w14:textId="77777777" w:rsidR="00040B09" w:rsidRPr="00683965" w:rsidRDefault="00040B09" w:rsidP="00040B09">
      <w:pPr>
        <w:rPr>
          <w:rFonts w:ascii="Gotham" w:hAnsi="Gotham"/>
          <w:sz w:val="18"/>
          <w:szCs w:val="18"/>
          <w:lang w:eastAsia="en-US"/>
        </w:rPr>
      </w:pPr>
    </w:p>
    <w:p w14:paraId="6829E8C5" w14:textId="77777777" w:rsidR="00040B09" w:rsidRPr="00683965" w:rsidRDefault="00040B09" w:rsidP="00040B09">
      <w:pPr>
        <w:rPr>
          <w:rFonts w:ascii="Gotham" w:hAnsi="Gotham"/>
          <w:sz w:val="18"/>
          <w:szCs w:val="18"/>
          <w:lang w:eastAsia="en-US"/>
        </w:rPr>
      </w:pPr>
    </w:p>
    <w:p w14:paraId="2AD3AF80" w14:textId="77777777" w:rsidR="00040B09" w:rsidRPr="00683965" w:rsidRDefault="00040B09" w:rsidP="00040B09">
      <w:pPr>
        <w:rPr>
          <w:rFonts w:ascii="Gotham" w:hAnsi="Gotham"/>
          <w:sz w:val="18"/>
          <w:szCs w:val="18"/>
          <w:lang w:eastAsia="en-US"/>
        </w:rPr>
      </w:pPr>
    </w:p>
    <w:p w14:paraId="1600847D" w14:textId="77777777" w:rsidR="00040B09" w:rsidRPr="00683965" w:rsidRDefault="00040B09" w:rsidP="00040B09">
      <w:pPr>
        <w:rPr>
          <w:rFonts w:ascii="Gotham" w:hAnsi="Gotham"/>
          <w:sz w:val="18"/>
          <w:szCs w:val="18"/>
          <w:lang w:eastAsia="en-US"/>
        </w:rPr>
      </w:pPr>
    </w:p>
    <w:p w14:paraId="2CE771B9" w14:textId="77777777" w:rsidR="00040B09" w:rsidRPr="00683965" w:rsidRDefault="00040B09" w:rsidP="00040B09">
      <w:pPr>
        <w:rPr>
          <w:rFonts w:ascii="Gotham" w:hAnsi="Gotham"/>
          <w:sz w:val="18"/>
          <w:szCs w:val="18"/>
          <w:lang w:eastAsia="en-US"/>
        </w:rPr>
      </w:pPr>
    </w:p>
    <w:p w14:paraId="46029688" w14:textId="77777777" w:rsidR="00040B09" w:rsidRPr="00683965" w:rsidRDefault="00040B09" w:rsidP="00040B09">
      <w:pPr>
        <w:rPr>
          <w:rFonts w:ascii="Gotham" w:hAnsi="Gotham"/>
          <w:sz w:val="18"/>
          <w:szCs w:val="18"/>
          <w:lang w:eastAsia="en-US"/>
        </w:rPr>
      </w:pPr>
    </w:p>
    <w:p w14:paraId="6C55AE74" w14:textId="77777777" w:rsidR="00040B09" w:rsidRPr="00683965" w:rsidRDefault="00040B09" w:rsidP="00040B09">
      <w:pPr>
        <w:rPr>
          <w:rFonts w:ascii="Gotham" w:hAnsi="Gotham"/>
          <w:sz w:val="18"/>
          <w:szCs w:val="18"/>
          <w:lang w:eastAsia="en-US"/>
        </w:rPr>
      </w:pPr>
    </w:p>
    <w:p w14:paraId="2E128A2F" w14:textId="77777777" w:rsidR="00040B09" w:rsidRPr="00683965" w:rsidRDefault="00040B09" w:rsidP="00040B09">
      <w:pPr>
        <w:rPr>
          <w:rFonts w:ascii="Gotham" w:hAnsi="Gotham"/>
          <w:sz w:val="18"/>
          <w:szCs w:val="18"/>
          <w:lang w:eastAsia="en-US"/>
        </w:rPr>
      </w:pPr>
    </w:p>
    <w:p w14:paraId="184BF23C" w14:textId="77777777" w:rsidR="00040B09" w:rsidRPr="00683965" w:rsidRDefault="00040B09" w:rsidP="00040B09">
      <w:pPr>
        <w:rPr>
          <w:rFonts w:ascii="Gotham" w:hAnsi="Gotham"/>
          <w:sz w:val="18"/>
          <w:szCs w:val="18"/>
          <w:lang w:eastAsia="en-US"/>
        </w:rPr>
      </w:pPr>
    </w:p>
    <w:p w14:paraId="3498B460" w14:textId="77777777" w:rsidR="00040B09" w:rsidRPr="00683965" w:rsidRDefault="00040B09" w:rsidP="00040B09">
      <w:pPr>
        <w:rPr>
          <w:rFonts w:ascii="Gotham" w:hAnsi="Gotham"/>
          <w:sz w:val="18"/>
          <w:szCs w:val="18"/>
          <w:lang w:eastAsia="en-US"/>
        </w:rPr>
      </w:pPr>
    </w:p>
    <w:p w14:paraId="614C92C7" w14:textId="4FE82BAE" w:rsidR="00040B09" w:rsidRPr="00683965" w:rsidRDefault="00040B09" w:rsidP="00040B09">
      <w:pPr>
        <w:rPr>
          <w:rFonts w:ascii="Gotham" w:hAnsi="Gotham"/>
          <w:sz w:val="18"/>
          <w:szCs w:val="18"/>
          <w:lang w:eastAsia="en-US"/>
        </w:rPr>
      </w:pPr>
      <w:r w:rsidRPr="00683965">
        <w:rPr>
          <w:rFonts w:ascii="Gotham" w:hAnsi="Gotham"/>
          <w:noProof/>
          <w:sz w:val="18"/>
          <w:szCs w:val="18"/>
        </w:rPr>
        <w:drawing>
          <wp:anchor distT="0" distB="0" distL="114300" distR="114300" simplePos="0" relativeHeight="251671552" behindDoc="0" locked="0" layoutInCell="1" allowOverlap="1" wp14:anchorId="4411B7F6" wp14:editId="68663B87">
            <wp:simplePos x="0" y="0"/>
            <wp:positionH relativeFrom="margin">
              <wp:align>center</wp:align>
            </wp:positionH>
            <wp:positionV relativeFrom="paragraph">
              <wp:posOffset>96480</wp:posOffset>
            </wp:positionV>
            <wp:extent cx="5540945" cy="4427195"/>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0945" cy="4427195"/>
                    </a:xfrm>
                    <a:prstGeom prst="rect">
                      <a:avLst/>
                    </a:prstGeom>
                    <a:noFill/>
                  </pic:spPr>
                </pic:pic>
              </a:graphicData>
            </a:graphic>
            <wp14:sizeRelH relativeFrom="page">
              <wp14:pctWidth>0</wp14:pctWidth>
            </wp14:sizeRelH>
            <wp14:sizeRelV relativeFrom="page">
              <wp14:pctHeight>0</wp14:pctHeight>
            </wp14:sizeRelV>
          </wp:anchor>
        </w:drawing>
      </w:r>
    </w:p>
    <w:p w14:paraId="51A7B635" w14:textId="2237C0B2" w:rsidR="00040B09" w:rsidRPr="00683965" w:rsidRDefault="00040B09" w:rsidP="00040B09">
      <w:pPr>
        <w:rPr>
          <w:rFonts w:ascii="Gotham" w:hAnsi="Gotham"/>
          <w:sz w:val="18"/>
          <w:szCs w:val="18"/>
          <w:lang w:eastAsia="en-US"/>
        </w:rPr>
      </w:pPr>
    </w:p>
    <w:p w14:paraId="2A05E7E5" w14:textId="77777777" w:rsidR="00040B09" w:rsidRPr="00683965" w:rsidRDefault="00040B09" w:rsidP="00040B09">
      <w:pPr>
        <w:rPr>
          <w:rFonts w:ascii="Gotham" w:hAnsi="Gotham"/>
          <w:sz w:val="18"/>
          <w:szCs w:val="18"/>
          <w:lang w:eastAsia="en-US"/>
        </w:rPr>
      </w:pPr>
    </w:p>
    <w:p w14:paraId="3F9E1176" w14:textId="04F62F69" w:rsidR="00040B09" w:rsidRPr="00683965" w:rsidRDefault="00040B09" w:rsidP="00040B09">
      <w:pPr>
        <w:rPr>
          <w:rFonts w:ascii="Gotham" w:hAnsi="Gotham"/>
          <w:sz w:val="18"/>
          <w:szCs w:val="18"/>
          <w:lang w:eastAsia="en-US"/>
        </w:rPr>
      </w:pPr>
    </w:p>
    <w:p w14:paraId="2E10AA78" w14:textId="77777777" w:rsidR="00040B09" w:rsidRPr="00683965" w:rsidRDefault="00040B09" w:rsidP="00040B09">
      <w:pPr>
        <w:rPr>
          <w:rFonts w:ascii="Gotham" w:hAnsi="Gotham"/>
          <w:sz w:val="18"/>
          <w:szCs w:val="18"/>
          <w:lang w:eastAsia="en-US"/>
        </w:rPr>
      </w:pPr>
    </w:p>
    <w:p w14:paraId="506885D3" w14:textId="77777777" w:rsidR="00040B09" w:rsidRPr="00683965" w:rsidRDefault="00040B09" w:rsidP="00040B09">
      <w:pPr>
        <w:rPr>
          <w:rFonts w:ascii="Gotham" w:hAnsi="Gotham"/>
          <w:sz w:val="18"/>
          <w:szCs w:val="18"/>
          <w:lang w:eastAsia="en-US"/>
        </w:rPr>
      </w:pPr>
    </w:p>
    <w:p w14:paraId="54E2CD63" w14:textId="77777777" w:rsidR="00040B09" w:rsidRPr="00683965" w:rsidRDefault="00040B09" w:rsidP="00040B09">
      <w:pPr>
        <w:rPr>
          <w:rFonts w:ascii="Gotham" w:hAnsi="Gotham"/>
          <w:sz w:val="18"/>
          <w:szCs w:val="18"/>
          <w:lang w:eastAsia="en-US"/>
        </w:rPr>
      </w:pPr>
    </w:p>
    <w:p w14:paraId="1BEE31B9" w14:textId="77777777" w:rsidR="00040B09" w:rsidRPr="00683965" w:rsidRDefault="00040B09" w:rsidP="00040B09">
      <w:pPr>
        <w:rPr>
          <w:rFonts w:ascii="Gotham" w:hAnsi="Gotham"/>
          <w:sz w:val="18"/>
          <w:szCs w:val="18"/>
          <w:lang w:eastAsia="en-US"/>
        </w:rPr>
      </w:pPr>
    </w:p>
    <w:p w14:paraId="1BF6491F" w14:textId="77777777" w:rsidR="00040B09" w:rsidRPr="00683965" w:rsidRDefault="00040B09" w:rsidP="00040B09">
      <w:pPr>
        <w:rPr>
          <w:rFonts w:ascii="Gotham" w:hAnsi="Gotham"/>
          <w:sz w:val="18"/>
          <w:szCs w:val="18"/>
          <w:lang w:eastAsia="en-US"/>
        </w:rPr>
      </w:pPr>
    </w:p>
    <w:p w14:paraId="525FE59B" w14:textId="77777777" w:rsidR="00040B09" w:rsidRPr="00683965" w:rsidRDefault="00040B09" w:rsidP="00040B09">
      <w:pPr>
        <w:jc w:val="center"/>
        <w:rPr>
          <w:rFonts w:ascii="Gotham" w:hAnsi="Gotham"/>
          <w:sz w:val="18"/>
          <w:szCs w:val="18"/>
          <w:lang w:eastAsia="en-US"/>
        </w:rPr>
      </w:pPr>
    </w:p>
    <w:p w14:paraId="43F83FC1" w14:textId="77777777" w:rsidR="00040B09" w:rsidRPr="00683965" w:rsidRDefault="00040B09" w:rsidP="00040B09">
      <w:pPr>
        <w:rPr>
          <w:rFonts w:ascii="Gotham" w:hAnsi="Gotham"/>
          <w:sz w:val="18"/>
          <w:szCs w:val="18"/>
          <w:lang w:eastAsia="en-US"/>
        </w:rPr>
      </w:pPr>
    </w:p>
    <w:p w14:paraId="25B29DCA" w14:textId="77777777" w:rsidR="00040B09" w:rsidRPr="00683965" w:rsidRDefault="00040B09" w:rsidP="00040B09">
      <w:pPr>
        <w:rPr>
          <w:rFonts w:ascii="Gotham" w:hAnsi="Gotham"/>
          <w:sz w:val="18"/>
          <w:szCs w:val="18"/>
          <w:lang w:eastAsia="en-US"/>
        </w:rPr>
      </w:pPr>
    </w:p>
    <w:p w14:paraId="505C1D95" w14:textId="77777777" w:rsidR="00040B09" w:rsidRPr="00683965" w:rsidRDefault="00040B09" w:rsidP="00040B09">
      <w:pPr>
        <w:rPr>
          <w:rFonts w:ascii="Gotham" w:hAnsi="Gotham"/>
          <w:sz w:val="18"/>
          <w:szCs w:val="18"/>
          <w:lang w:eastAsia="en-US"/>
        </w:rPr>
      </w:pPr>
    </w:p>
    <w:p w14:paraId="78E7B6BD" w14:textId="77777777" w:rsidR="00040B09" w:rsidRPr="00683965" w:rsidRDefault="00040B09" w:rsidP="00040B09">
      <w:pPr>
        <w:rPr>
          <w:rFonts w:ascii="Gotham" w:hAnsi="Gotham"/>
          <w:sz w:val="18"/>
          <w:szCs w:val="18"/>
          <w:lang w:eastAsia="en-US"/>
        </w:rPr>
      </w:pPr>
    </w:p>
    <w:p w14:paraId="6C5A7A27" w14:textId="77777777" w:rsidR="00040B09" w:rsidRPr="00683965" w:rsidRDefault="00040B09" w:rsidP="00040B09">
      <w:pPr>
        <w:rPr>
          <w:rFonts w:ascii="Gotham" w:hAnsi="Gotham"/>
          <w:sz w:val="18"/>
          <w:szCs w:val="18"/>
          <w:lang w:eastAsia="en-US"/>
        </w:rPr>
      </w:pPr>
    </w:p>
    <w:p w14:paraId="660D0FFE" w14:textId="77777777" w:rsidR="00040B09" w:rsidRPr="00683965" w:rsidRDefault="00040B09" w:rsidP="00040B09">
      <w:pPr>
        <w:rPr>
          <w:rFonts w:ascii="Gotham" w:hAnsi="Gotham"/>
          <w:sz w:val="18"/>
          <w:szCs w:val="18"/>
          <w:lang w:eastAsia="en-US"/>
        </w:rPr>
      </w:pPr>
    </w:p>
    <w:p w14:paraId="1E2B7DC9" w14:textId="77777777" w:rsidR="00040B09" w:rsidRPr="00683965" w:rsidRDefault="00040B09" w:rsidP="00040B09">
      <w:pPr>
        <w:rPr>
          <w:rFonts w:ascii="Gotham" w:hAnsi="Gotham"/>
          <w:sz w:val="18"/>
          <w:szCs w:val="18"/>
          <w:lang w:eastAsia="en-US"/>
        </w:rPr>
      </w:pPr>
    </w:p>
    <w:p w14:paraId="05853AD3" w14:textId="77777777" w:rsidR="00040B09" w:rsidRPr="00683965" w:rsidRDefault="00040B09" w:rsidP="00040B09">
      <w:pPr>
        <w:rPr>
          <w:rFonts w:ascii="Gotham" w:hAnsi="Gotham"/>
          <w:sz w:val="18"/>
          <w:szCs w:val="18"/>
          <w:lang w:eastAsia="en-US"/>
        </w:rPr>
      </w:pPr>
    </w:p>
    <w:p w14:paraId="632E69F8" w14:textId="77777777" w:rsidR="00040B09" w:rsidRPr="00683965" w:rsidRDefault="00040B09" w:rsidP="00040B09">
      <w:pPr>
        <w:rPr>
          <w:rFonts w:ascii="Gotham" w:hAnsi="Gotham"/>
          <w:sz w:val="18"/>
          <w:szCs w:val="18"/>
          <w:lang w:eastAsia="en-US"/>
        </w:rPr>
      </w:pPr>
    </w:p>
    <w:p w14:paraId="06A44D94" w14:textId="77777777" w:rsidR="00040B09" w:rsidRPr="00683965" w:rsidRDefault="00040B09" w:rsidP="00040B09">
      <w:pPr>
        <w:rPr>
          <w:rFonts w:ascii="Gotham" w:hAnsi="Gotham"/>
          <w:sz w:val="18"/>
          <w:szCs w:val="18"/>
          <w:lang w:eastAsia="en-US"/>
        </w:rPr>
      </w:pPr>
    </w:p>
    <w:p w14:paraId="6840CB41" w14:textId="77777777" w:rsidR="00040B09" w:rsidRPr="00683965" w:rsidRDefault="00040B09" w:rsidP="00040B09">
      <w:pPr>
        <w:rPr>
          <w:rFonts w:ascii="Gotham" w:hAnsi="Gotham"/>
          <w:sz w:val="18"/>
          <w:szCs w:val="18"/>
          <w:lang w:eastAsia="en-US"/>
        </w:rPr>
      </w:pPr>
    </w:p>
    <w:p w14:paraId="18C26810" w14:textId="77777777" w:rsidR="00040B09" w:rsidRPr="00683965" w:rsidRDefault="00040B09" w:rsidP="00040B09">
      <w:pPr>
        <w:rPr>
          <w:rFonts w:ascii="Gotham" w:hAnsi="Gotham"/>
          <w:sz w:val="18"/>
          <w:szCs w:val="18"/>
          <w:lang w:eastAsia="en-US"/>
        </w:rPr>
      </w:pPr>
    </w:p>
    <w:p w14:paraId="751EF36B" w14:textId="77777777" w:rsidR="00040B09" w:rsidRPr="00683965" w:rsidRDefault="00040B09" w:rsidP="00040B09">
      <w:pPr>
        <w:rPr>
          <w:rFonts w:ascii="Gotham" w:hAnsi="Gotham"/>
          <w:sz w:val="18"/>
          <w:szCs w:val="18"/>
          <w:lang w:eastAsia="en-US"/>
        </w:rPr>
      </w:pPr>
    </w:p>
    <w:p w14:paraId="3F6D4642" w14:textId="77777777" w:rsidR="00040B09" w:rsidRPr="00683965" w:rsidRDefault="00040B09" w:rsidP="00040B09">
      <w:pPr>
        <w:rPr>
          <w:rFonts w:ascii="Gotham" w:hAnsi="Gotham"/>
          <w:sz w:val="18"/>
          <w:szCs w:val="18"/>
          <w:lang w:eastAsia="en-US"/>
        </w:rPr>
      </w:pPr>
    </w:p>
    <w:p w14:paraId="5E2D2B84" w14:textId="77777777" w:rsidR="00040B09" w:rsidRPr="00683965" w:rsidRDefault="00040B09" w:rsidP="00040B09">
      <w:pPr>
        <w:rPr>
          <w:rFonts w:ascii="Gotham" w:hAnsi="Gotham"/>
          <w:sz w:val="18"/>
          <w:szCs w:val="18"/>
          <w:lang w:eastAsia="en-US"/>
        </w:rPr>
      </w:pPr>
    </w:p>
    <w:p w14:paraId="05EB431E" w14:textId="77777777" w:rsidR="00040B09" w:rsidRPr="00683965" w:rsidRDefault="00040B09" w:rsidP="00040B09">
      <w:pPr>
        <w:rPr>
          <w:rFonts w:ascii="Gotham" w:hAnsi="Gotham"/>
          <w:sz w:val="18"/>
          <w:szCs w:val="18"/>
          <w:lang w:eastAsia="en-US"/>
        </w:rPr>
      </w:pPr>
    </w:p>
    <w:p w14:paraId="2D7A9969" w14:textId="77777777" w:rsidR="00040B09" w:rsidRPr="00683965" w:rsidRDefault="00040B09" w:rsidP="00040B09">
      <w:pPr>
        <w:jc w:val="right"/>
        <w:rPr>
          <w:rFonts w:ascii="Gotham" w:hAnsi="Gotham"/>
          <w:sz w:val="18"/>
          <w:szCs w:val="18"/>
          <w:lang w:eastAsia="en-US"/>
        </w:rPr>
      </w:pPr>
    </w:p>
    <w:p w14:paraId="535C1DDF" w14:textId="77777777" w:rsidR="00040B09" w:rsidRPr="00683965" w:rsidRDefault="00040B09" w:rsidP="00040B09">
      <w:pPr>
        <w:jc w:val="right"/>
        <w:rPr>
          <w:rFonts w:ascii="Gotham" w:hAnsi="Gotham"/>
          <w:sz w:val="18"/>
          <w:szCs w:val="18"/>
          <w:lang w:eastAsia="en-US"/>
        </w:rPr>
      </w:pPr>
    </w:p>
    <w:p w14:paraId="0FF2CDDB" w14:textId="77777777" w:rsidR="00040B09" w:rsidRPr="00683965" w:rsidRDefault="00040B09" w:rsidP="00040B09">
      <w:pPr>
        <w:jc w:val="right"/>
        <w:rPr>
          <w:rFonts w:ascii="Gotham" w:hAnsi="Gotham"/>
          <w:sz w:val="18"/>
          <w:szCs w:val="18"/>
          <w:lang w:eastAsia="en-US"/>
        </w:rPr>
      </w:pPr>
    </w:p>
    <w:p w14:paraId="70CFF5DD" w14:textId="77777777" w:rsidR="00040B09" w:rsidRPr="00683965" w:rsidRDefault="00040B09" w:rsidP="00040B09">
      <w:pPr>
        <w:jc w:val="right"/>
        <w:rPr>
          <w:rFonts w:ascii="Gotham" w:hAnsi="Gotham"/>
          <w:sz w:val="18"/>
          <w:szCs w:val="18"/>
          <w:lang w:eastAsia="en-US"/>
        </w:rPr>
      </w:pPr>
    </w:p>
    <w:p w14:paraId="75181F09" w14:textId="77777777" w:rsidR="00040B09" w:rsidRPr="00683965" w:rsidRDefault="00040B09" w:rsidP="00040B09">
      <w:pPr>
        <w:jc w:val="right"/>
        <w:rPr>
          <w:rFonts w:ascii="Gotham" w:hAnsi="Gotham"/>
          <w:sz w:val="18"/>
          <w:szCs w:val="18"/>
          <w:lang w:eastAsia="en-US"/>
        </w:rPr>
      </w:pPr>
    </w:p>
    <w:p w14:paraId="396B90EF" w14:textId="77777777" w:rsidR="00040B09" w:rsidRPr="00683965" w:rsidRDefault="00040B09" w:rsidP="00040B09">
      <w:pPr>
        <w:jc w:val="right"/>
        <w:rPr>
          <w:rFonts w:ascii="Gotham" w:hAnsi="Gotham"/>
          <w:sz w:val="18"/>
          <w:szCs w:val="18"/>
          <w:lang w:eastAsia="en-US"/>
        </w:rPr>
      </w:pPr>
    </w:p>
    <w:p w14:paraId="6EA3F39E" w14:textId="77777777" w:rsidR="00040B09" w:rsidRPr="00683965" w:rsidRDefault="00040B09" w:rsidP="00040B09">
      <w:pPr>
        <w:jc w:val="right"/>
        <w:rPr>
          <w:rFonts w:ascii="Gotham" w:hAnsi="Gotham"/>
          <w:sz w:val="18"/>
          <w:szCs w:val="18"/>
          <w:lang w:eastAsia="en-US"/>
        </w:rPr>
      </w:pPr>
    </w:p>
    <w:p w14:paraId="22C5E997" w14:textId="77777777" w:rsidR="00040B09" w:rsidRPr="00683965" w:rsidRDefault="00040B09" w:rsidP="00040B09">
      <w:pPr>
        <w:jc w:val="right"/>
        <w:rPr>
          <w:rFonts w:ascii="Gotham" w:hAnsi="Gotham"/>
          <w:sz w:val="18"/>
          <w:szCs w:val="18"/>
          <w:lang w:eastAsia="en-US"/>
        </w:rPr>
      </w:pPr>
    </w:p>
    <w:p w14:paraId="37E761B4" w14:textId="77777777" w:rsidR="00040B09" w:rsidRPr="00683965" w:rsidRDefault="00040B09" w:rsidP="00040B09">
      <w:pPr>
        <w:spacing w:line="259" w:lineRule="auto"/>
        <w:jc w:val="both"/>
        <w:rPr>
          <w:rFonts w:ascii="Gotham" w:hAnsi="Gotham" w:cs="Arial"/>
          <w:sz w:val="18"/>
          <w:szCs w:val="18"/>
          <w:lang w:eastAsia="en-US"/>
        </w:rPr>
      </w:pPr>
    </w:p>
    <w:p w14:paraId="68F3E55F" w14:textId="77777777" w:rsidR="00040B09" w:rsidRPr="00683965" w:rsidRDefault="00040B09" w:rsidP="00040B09">
      <w:pPr>
        <w:spacing w:line="259" w:lineRule="auto"/>
        <w:jc w:val="both"/>
        <w:rPr>
          <w:rFonts w:ascii="Gotham" w:hAnsi="Gotham" w:cs="Arial"/>
          <w:sz w:val="18"/>
          <w:szCs w:val="18"/>
          <w:lang w:eastAsia="en-US"/>
        </w:rPr>
      </w:pPr>
    </w:p>
    <w:p w14:paraId="4EF8160C" w14:textId="77777777" w:rsidR="00040B09" w:rsidRPr="00683965" w:rsidRDefault="00040B09" w:rsidP="00040B09">
      <w:pPr>
        <w:spacing w:line="259" w:lineRule="auto"/>
        <w:jc w:val="both"/>
        <w:rPr>
          <w:rFonts w:ascii="Gotham" w:hAnsi="Gotham" w:cs="Arial"/>
          <w:sz w:val="18"/>
          <w:szCs w:val="18"/>
          <w:lang w:eastAsia="en-US"/>
        </w:rPr>
      </w:pPr>
    </w:p>
    <w:p w14:paraId="656F0E4C" w14:textId="77777777" w:rsidR="00040B09" w:rsidRDefault="00040B09" w:rsidP="00040B09">
      <w:pPr>
        <w:spacing w:line="259" w:lineRule="auto"/>
        <w:jc w:val="both"/>
        <w:rPr>
          <w:rFonts w:ascii="Gotham" w:hAnsi="Gotham" w:cs="Arial"/>
          <w:sz w:val="18"/>
          <w:szCs w:val="18"/>
          <w:lang w:eastAsia="en-US"/>
        </w:rPr>
      </w:pPr>
    </w:p>
    <w:p w14:paraId="7441EFE5" w14:textId="77777777" w:rsidR="008922B5" w:rsidRDefault="008922B5" w:rsidP="00040B09">
      <w:pPr>
        <w:spacing w:line="259" w:lineRule="auto"/>
        <w:jc w:val="both"/>
        <w:rPr>
          <w:rFonts w:ascii="Gotham" w:hAnsi="Gotham" w:cs="Arial"/>
          <w:sz w:val="18"/>
          <w:szCs w:val="18"/>
          <w:lang w:eastAsia="en-US"/>
        </w:rPr>
      </w:pPr>
    </w:p>
    <w:p w14:paraId="464AF6B8" w14:textId="77777777" w:rsidR="008922B5" w:rsidRDefault="008922B5" w:rsidP="00040B09">
      <w:pPr>
        <w:spacing w:line="259" w:lineRule="auto"/>
        <w:jc w:val="both"/>
        <w:rPr>
          <w:rFonts w:ascii="Gotham" w:hAnsi="Gotham" w:cs="Arial"/>
          <w:sz w:val="18"/>
          <w:szCs w:val="18"/>
          <w:lang w:eastAsia="en-US"/>
        </w:rPr>
      </w:pPr>
    </w:p>
    <w:p w14:paraId="0AD61312" w14:textId="77777777" w:rsidR="008922B5" w:rsidRDefault="008922B5" w:rsidP="00040B09">
      <w:pPr>
        <w:spacing w:line="259" w:lineRule="auto"/>
        <w:jc w:val="both"/>
        <w:rPr>
          <w:rFonts w:ascii="Gotham" w:hAnsi="Gotham" w:cs="Arial"/>
          <w:sz w:val="18"/>
          <w:szCs w:val="18"/>
          <w:lang w:eastAsia="en-US"/>
        </w:rPr>
      </w:pPr>
    </w:p>
    <w:p w14:paraId="72DFCFE4" w14:textId="77777777" w:rsidR="008922B5" w:rsidRDefault="008922B5" w:rsidP="00040B09">
      <w:pPr>
        <w:spacing w:line="259" w:lineRule="auto"/>
        <w:jc w:val="both"/>
        <w:rPr>
          <w:rFonts w:ascii="Gotham" w:hAnsi="Gotham" w:cs="Arial"/>
          <w:sz w:val="18"/>
          <w:szCs w:val="18"/>
          <w:lang w:eastAsia="en-US"/>
        </w:rPr>
      </w:pPr>
    </w:p>
    <w:p w14:paraId="58C35A60" w14:textId="77777777" w:rsidR="008922B5" w:rsidRDefault="008922B5" w:rsidP="00040B09">
      <w:pPr>
        <w:spacing w:line="259" w:lineRule="auto"/>
        <w:jc w:val="both"/>
        <w:rPr>
          <w:rFonts w:ascii="Gotham" w:hAnsi="Gotham" w:cs="Arial"/>
          <w:sz w:val="18"/>
          <w:szCs w:val="18"/>
          <w:lang w:eastAsia="en-US"/>
        </w:rPr>
      </w:pPr>
    </w:p>
    <w:p w14:paraId="11CB3D02" w14:textId="77777777" w:rsidR="008922B5" w:rsidRDefault="008922B5" w:rsidP="00040B09">
      <w:pPr>
        <w:spacing w:line="259" w:lineRule="auto"/>
        <w:jc w:val="both"/>
        <w:rPr>
          <w:rFonts w:ascii="Gotham" w:hAnsi="Gotham" w:cs="Arial"/>
          <w:sz w:val="18"/>
          <w:szCs w:val="18"/>
          <w:lang w:eastAsia="en-US"/>
        </w:rPr>
      </w:pPr>
    </w:p>
    <w:p w14:paraId="774020AC" w14:textId="77777777" w:rsidR="008922B5" w:rsidRPr="00683965" w:rsidRDefault="008922B5" w:rsidP="00040B09">
      <w:pPr>
        <w:spacing w:line="259" w:lineRule="auto"/>
        <w:jc w:val="both"/>
        <w:rPr>
          <w:rFonts w:ascii="Gotham" w:hAnsi="Gotham" w:cs="Arial"/>
          <w:sz w:val="18"/>
          <w:szCs w:val="18"/>
          <w:lang w:eastAsia="en-US"/>
        </w:rPr>
      </w:pPr>
    </w:p>
    <w:p w14:paraId="193F44CE" w14:textId="244E7877" w:rsidR="00040B09" w:rsidRPr="00683965" w:rsidRDefault="00040B09" w:rsidP="00040B09">
      <w:pPr>
        <w:spacing w:line="259" w:lineRule="auto"/>
        <w:jc w:val="both"/>
        <w:rPr>
          <w:rFonts w:ascii="Gotham" w:hAnsi="Gotham" w:cs="Arial"/>
          <w:sz w:val="18"/>
          <w:szCs w:val="18"/>
          <w:lang w:eastAsia="en-US"/>
        </w:rPr>
      </w:pPr>
      <w:r w:rsidRPr="00683965">
        <w:rPr>
          <w:rFonts w:ascii="Gotham" w:hAnsi="Gotham" w:cs="Arial"/>
          <w:sz w:val="18"/>
          <w:szCs w:val="18"/>
          <w:lang w:eastAsia="en-US"/>
        </w:rPr>
        <w:lastRenderedPageBreak/>
        <w:t xml:space="preserve">La comunicación de la asignación del Presupuesto Autorizado para el Ejercicio Fiscal 2023, se realizó mediante oficio No. 20704001L/0002/2023, de fecha 02 de enero de 2023, emitido por la Secretaría de Finanzas, con el cual se aprueba la asignación presupuestal autorizada por la LXI Legislatura local al Instituto de la Función Registral del Estado de México, que asciende a la cantidad de </w:t>
      </w:r>
      <w:r w:rsidRPr="00683965">
        <w:rPr>
          <w:rFonts w:ascii="Gotham" w:hAnsi="Gotham" w:cs="Arial"/>
          <w:b/>
          <w:sz w:val="18"/>
          <w:szCs w:val="18"/>
          <w:lang w:eastAsia="en-US"/>
        </w:rPr>
        <w:t>3,118,386,257.00</w:t>
      </w:r>
      <w:r w:rsidRPr="00683965">
        <w:rPr>
          <w:rFonts w:ascii="Gotham" w:hAnsi="Gotham" w:cs="Arial"/>
          <w:sz w:val="18"/>
          <w:szCs w:val="18"/>
          <w:lang w:eastAsia="en-US"/>
        </w:rPr>
        <w:t>, distribuido de la siguiente manera:</w:t>
      </w:r>
    </w:p>
    <w:p w14:paraId="2B3F4B42" w14:textId="77777777" w:rsidR="00040B09" w:rsidRPr="00683965" w:rsidRDefault="00040B09" w:rsidP="00040B09">
      <w:pPr>
        <w:jc w:val="both"/>
        <w:rPr>
          <w:rFonts w:ascii="Gotham" w:hAnsi="Gotham"/>
          <w:sz w:val="18"/>
          <w:szCs w:val="18"/>
          <w:lang w:eastAsia="en-US"/>
        </w:rPr>
      </w:pPr>
      <w:r w:rsidRPr="00683965">
        <w:rPr>
          <w:rFonts w:ascii="Gotham" w:hAnsi="Gotham"/>
          <w:noProof/>
          <w:sz w:val="18"/>
          <w:szCs w:val="18"/>
        </w:rPr>
        <w:drawing>
          <wp:anchor distT="0" distB="0" distL="114300" distR="114300" simplePos="0" relativeHeight="251672576" behindDoc="0" locked="0" layoutInCell="1" allowOverlap="1" wp14:anchorId="6D6BA040" wp14:editId="735589BD">
            <wp:simplePos x="0" y="0"/>
            <wp:positionH relativeFrom="margin">
              <wp:align>center</wp:align>
            </wp:positionH>
            <wp:positionV relativeFrom="paragraph">
              <wp:posOffset>4386</wp:posOffset>
            </wp:positionV>
            <wp:extent cx="5175885" cy="1554480"/>
            <wp:effectExtent l="0" t="0" r="5715"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5885" cy="1554480"/>
                    </a:xfrm>
                    <a:prstGeom prst="rect">
                      <a:avLst/>
                    </a:prstGeom>
                    <a:noFill/>
                  </pic:spPr>
                </pic:pic>
              </a:graphicData>
            </a:graphic>
            <wp14:sizeRelH relativeFrom="page">
              <wp14:pctWidth>0</wp14:pctWidth>
            </wp14:sizeRelH>
            <wp14:sizeRelV relativeFrom="page">
              <wp14:pctHeight>0</wp14:pctHeight>
            </wp14:sizeRelV>
          </wp:anchor>
        </w:drawing>
      </w:r>
    </w:p>
    <w:p w14:paraId="3636F433" w14:textId="77777777" w:rsidR="00040B09" w:rsidRPr="00683965" w:rsidRDefault="00040B09" w:rsidP="00040B09">
      <w:pPr>
        <w:rPr>
          <w:rFonts w:ascii="Gotham" w:hAnsi="Gotham"/>
          <w:sz w:val="18"/>
          <w:szCs w:val="18"/>
          <w:lang w:eastAsia="en-US"/>
        </w:rPr>
      </w:pPr>
    </w:p>
    <w:p w14:paraId="75431E78" w14:textId="77777777" w:rsidR="00040B09" w:rsidRPr="00683965" w:rsidRDefault="00040B09" w:rsidP="00040B09">
      <w:pPr>
        <w:rPr>
          <w:rFonts w:ascii="Gotham" w:hAnsi="Gotham"/>
          <w:sz w:val="18"/>
          <w:szCs w:val="18"/>
          <w:lang w:eastAsia="en-US"/>
        </w:rPr>
      </w:pPr>
    </w:p>
    <w:p w14:paraId="2AF4C88C" w14:textId="77777777" w:rsidR="00040B09" w:rsidRPr="00683965" w:rsidRDefault="00040B09" w:rsidP="00040B09">
      <w:pPr>
        <w:rPr>
          <w:rFonts w:ascii="Gotham" w:hAnsi="Gotham"/>
          <w:sz w:val="18"/>
          <w:szCs w:val="18"/>
          <w:lang w:eastAsia="en-US"/>
        </w:rPr>
      </w:pPr>
    </w:p>
    <w:p w14:paraId="0BBE6C84" w14:textId="77777777" w:rsidR="00040B09" w:rsidRPr="00683965" w:rsidRDefault="00040B09" w:rsidP="00040B09">
      <w:pPr>
        <w:rPr>
          <w:rFonts w:ascii="Gotham" w:hAnsi="Gotham"/>
          <w:sz w:val="18"/>
          <w:szCs w:val="18"/>
          <w:lang w:eastAsia="en-US"/>
        </w:rPr>
      </w:pPr>
    </w:p>
    <w:p w14:paraId="2355CCA3" w14:textId="77777777" w:rsidR="00040B09" w:rsidRPr="00683965" w:rsidRDefault="00040B09" w:rsidP="00040B09">
      <w:pPr>
        <w:rPr>
          <w:rFonts w:ascii="Gotham" w:hAnsi="Gotham"/>
          <w:sz w:val="18"/>
          <w:szCs w:val="18"/>
          <w:lang w:eastAsia="en-US"/>
        </w:rPr>
      </w:pPr>
    </w:p>
    <w:p w14:paraId="2D984409" w14:textId="77777777" w:rsidR="00040B09" w:rsidRPr="00683965" w:rsidRDefault="00040B09" w:rsidP="00040B09">
      <w:pPr>
        <w:rPr>
          <w:rFonts w:ascii="Gotham" w:hAnsi="Gotham"/>
          <w:sz w:val="18"/>
          <w:szCs w:val="18"/>
          <w:lang w:eastAsia="en-US"/>
        </w:rPr>
      </w:pPr>
    </w:p>
    <w:p w14:paraId="4576D74C" w14:textId="77777777" w:rsidR="00040B09" w:rsidRPr="00683965" w:rsidRDefault="00040B09" w:rsidP="00040B09">
      <w:pPr>
        <w:rPr>
          <w:rFonts w:ascii="Gotham" w:hAnsi="Gotham"/>
          <w:sz w:val="18"/>
          <w:szCs w:val="18"/>
          <w:lang w:eastAsia="en-US"/>
        </w:rPr>
      </w:pPr>
    </w:p>
    <w:p w14:paraId="7B2E6A21" w14:textId="77777777" w:rsidR="00040B09" w:rsidRPr="00683965" w:rsidRDefault="00040B09" w:rsidP="00040B09">
      <w:pPr>
        <w:jc w:val="center"/>
        <w:rPr>
          <w:rFonts w:ascii="Gotham" w:hAnsi="Gotham"/>
          <w:sz w:val="18"/>
          <w:szCs w:val="18"/>
          <w:lang w:eastAsia="en-US"/>
        </w:rPr>
      </w:pPr>
    </w:p>
    <w:p w14:paraId="3EAA66EE" w14:textId="77777777" w:rsidR="00040B09" w:rsidRPr="00683965" w:rsidRDefault="00040B09" w:rsidP="00040B09">
      <w:pPr>
        <w:jc w:val="center"/>
        <w:rPr>
          <w:rFonts w:ascii="Gotham" w:hAnsi="Gotham"/>
          <w:sz w:val="18"/>
          <w:szCs w:val="18"/>
          <w:lang w:eastAsia="en-US"/>
        </w:rPr>
      </w:pPr>
    </w:p>
    <w:p w14:paraId="2A3B8484" w14:textId="77777777" w:rsidR="00040B09" w:rsidRPr="00683965" w:rsidRDefault="00040B09" w:rsidP="00040B09">
      <w:pPr>
        <w:jc w:val="center"/>
        <w:rPr>
          <w:rFonts w:ascii="Gotham" w:hAnsi="Gotham"/>
          <w:sz w:val="18"/>
          <w:szCs w:val="18"/>
          <w:lang w:eastAsia="en-US"/>
        </w:rPr>
      </w:pPr>
    </w:p>
    <w:p w14:paraId="48577D71" w14:textId="77777777" w:rsidR="00040B09" w:rsidRPr="00683965" w:rsidRDefault="00040B09" w:rsidP="00040B09">
      <w:pPr>
        <w:jc w:val="center"/>
        <w:rPr>
          <w:rFonts w:ascii="Gotham" w:hAnsi="Gotham"/>
          <w:sz w:val="18"/>
          <w:szCs w:val="18"/>
          <w:lang w:eastAsia="en-US"/>
        </w:rPr>
      </w:pPr>
    </w:p>
    <w:p w14:paraId="0E383B29" w14:textId="77777777" w:rsidR="00040B09" w:rsidRPr="00683965" w:rsidRDefault="00040B09" w:rsidP="00040B09">
      <w:pPr>
        <w:jc w:val="both"/>
        <w:rPr>
          <w:rFonts w:ascii="Gotham" w:hAnsi="Gotham" w:cs="Arial"/>
          <w:sz w:val="18"/>
          <w:szCs w:val="18"/>
          <w:lang w:eastAsia="en-US"/>
        </w:rPr>
      </w:pPr>
    </w:p>
    <w:p w14:paraId="5F742872" w14:textId="5E661B75" w:rsidR="00040B09" w:rsidRPr="00683965" w:rsidRDefault="00040B09" w:rsidP="00040B09">
      <w:pPr>
        <w:jc w:val="both"/>
        <w:rPr>
          <w:rFonts w:ascii="Gotham" w:hAnsi="Gotham" w:cs="Arial"/>
          <w:sz w:val="18"/>
          <w:szCs w:val="18"/>
          <w:lang w:eastAsia="en-US"/>
        </w:rPr>
      </w:pPr>
      <w:r w:rsidRPr="00683965">
        <w:rPr>
          <w:rFonts w:ascii="Gotham" w:hAnsi="Gotham" w:cs="Arial"/>
          <w:sz w:val="18"/>
          <w:szCs w:val="18"/>
          <w:lang w:eastAsia="en-US"/>
        </w:rPr>
        <w:t>El presupuesto se ha modificado para el presente ejercicio dando un total de 3,263,536,181.31, de acuerdo con las siguientes adecuaciones:</w:t>
      </w:r>
    </w:p>
    <w:p w14:paraId="064099CD" w14:textId="77777777" w:rsidR="00040B09" w:rsidRPr="00683965" w:rsidRDefault="00040B09" w:rsidP="00040B09">
      <w:pPr>
        <w:jc w:val="both"/>
        <w:rPr>
          <w:rFonts w:ascii="Gotham" w:hAnsi="Gotham"/>
          <w:sz w:val="18"/>
          <w:szCs w:val="18"/>
          <w:lang w:eastAsia="en-US"/>
        </w:rPr>
      </w:pPr>
      <w:r w:rsidRPr="00683965">
        <w:rPr>
          <w:rFonts w:ascii="Gotham" w:hAnsi="Gotham"/>
          <w:noProof/>
          <w:sz w:val="18"/>
          <w:szCs w:val="18"/>
        </w:rPr>
        <w:drawing>
          <wp:anchor distT="0" distB="0" distL="114300" distR="114300" simplePos="0" relativeHeight="251673600" behindDoc="0" locked="0" layoutInCell="1" allowOverlap="1" wp14:anchorId="08445296" wp14:editId="0AE59086">
            <wp:simplePos x="0" y="0"/>
            <wp:positionH relativeFrom="margin">
              <wp:posOffset>511443</wp:posOffset>
            </wp:positionH>
            <wp:positionV relativeFrom="paragraph">
              <wp:posOffset>53858</wp:posOffset>
            </wp:positionV>
            <wp:extent cx="5449221" cy="4236663"/>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6081" cy="42419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8EEAA" w14:textId="77777777" w:rsidR="00040B09" w:rsidRPr="00683965" w:rsidRDefault="00040B09" w:rsidP="00040B09">
      <w:pPr>
        <w:jc w:val="center"/>
        <w:rPr>
          <w:rFonts w:ascii="Gotham" w:hAnsi="Gotham"/>
          <w:sz w:val="18"/>
          <w:szCs w:val="18"/>
          <w:lang w:eastAsia="en-US"/>
        </w:rPr>
      </w:pPr>
    </w:p>
    <w:p w14:paraId="29C8DB82" w14:textId="77777777" w:rsidR="00040B09" w:rsidRPr="00683965" w:rsidRDefault="00040B09" w:rsidP="00040B09">
      <w:pPr>
        <w:rPr>
          <w:rFonts w:ascii="Gotham" w:hAnsi="Gotham"/>
          <w:sz w:val="18"/>
          <w:szCs w:val="18"/>
          <w:lang w:eastAsia="en-US"/>
        </w:rPr>
      </w:pPr>
    </w:p>
    <w:p w14:paraId="1999C57F" w14:textId="77777777" w:rsidR="00040B09" w:rsidRPr="00683965" w:rsidRDefault="00040B09" w:rsidP="00040B09">
      <w:pPr>
        <w:rPr>
          <w:rFonts w:ascii="Gotham" w:hAnsi="Gotham"/>
          <w:sz w:val="18"/>
          <w:szCs w:val="18"/>
          <w:lang w:eastAsia="en-US"/>
        </w:rPr>
      </w:pPr>
    </w:p>
    <w:p w14:paraId="3B3A669D" w14:textId="77777777" w:rsidR="00040B09" w:rsidRPr="00683965" w:rsidRDefault="00040B09" w:rsidP="00040B09">
      <w:pPr>
        <w:rPr>
          <w:rFonts w:ascii="Gotham" w:hAnsi="Gotham"/>
          <w:sz w:val="18"/>
          <w:szCs w:val="18"/>
          <w:lang w:eastAsia="en-US"/>
        </w:rPr>
      </w:pPr>
    </w:p>
    <w:p w14:paraId="4A7F67D5" w14:textId="77777777" w:rsidR="00040B09" w:rsidRPr="00683965" w:rsidRDefault="00040B09" w:rsidP="00040B09">
      <w:pPr>
        <w:rPr>
          <w:rFonts w:ascii="Gotham" w:hAnsi="Gotham"/>
          <w:sz w:val="18"/>
          <w:szCs w:val="18"/>
          <w:lang w:eastAsia="en-US"/>
        </w:rPr>
      </w:pPr>
    </w:p>
    <w:p w14:paraId="14BF2535" w14:textId="77777777" w:rsidR="00040B09" w:rsidRPr="00683965" w:rsidRDefault="00040B09" w:rsidP="00040B09">
      <w:pPr>
        <w:rPr>
          <w:rFonts w:ascii="Gotham" w:hAnsi="Gotham"/>
          <w:sz w:val="18"/>
          <w:szCs w:val="18"/>
          <w:lang w:eastAsia="en-US"/>
        </w:rPr>
      </w:pPr>
    </w:p>
    <w:p w14:paraId="04031908" w14:textId="77777777" w:rsidR="00040B09" w:rsidRPr="00683965" w:rsidRDefault="00040B09" w:rsidP="00040B09">
      <w:pPr>
        <w:rPr>
          <w:rFonts w:ascii="Gotham" w:hAnsi="Gotham"/>
          <w:sz w:val="18"/>
          <w:szCs w:val="18"/>
          <w:lang w:eastAsia="en-US"/>
        </w:rPr>
      </w:pPr>
    </w:p>
    <w:p w14:paraId="05E3F2EB" w14:textId="77777777" w:rsidR="00040B09" w:rsidRPr="00683965" w:rsidRDefault="00040B09" w:rsidP="00040B09">
      <w:pPr>
        <w:rPr>
          <w:rFonts w:ascii="Gotham" w:hAnsi="Gotham"/>
          <w:sz w:val="18"/>
          <w:szCs w:val="18"/>
          <w:lang w:eastAsia="en-US"/>
        </w:rPr>
      </w:pPr>
    </w:p>
    <w:p w14:paraId="14EADEE4" w14:textId="77777777" w:rsidR="00040B09" w:rsidRPr="00683965" w:rsidRDefault="00040B09" w:rsidP="00040B09">
      <w:pPr>
        <w:rPr>
          <w:rFonts w:ascii="Gotham" w:hAnsi="Gotham"/>
          <w:sz w:val="18"/>
          <w:szCs w:val="18"/>
          <w:lang w:eastAsia="en-US"/>
        </w:rPr>
      </w:pPr>
    </w:p>
    <w:p w14:paraId="1175892D" w14:textId="77777777" w:rsidR="00040B09" w:rsidRPr="00683965" w:rsidRDefault="00040B09" w:rsidP="00040B09">
      <w:pPr>
        <w:rPr>
          <w:rFonts w:ascii="Gotham" w:hAnsi="Gotham"/>
          <w:sz w:val="18"/>
          <w:szCs w:val="18"/>
          <w:lang w:eastAsia="en-US"/>
        </w:rPr>
      </w:pPr>
    </w:p>
    <w:p w14:paraId="651C4D9A" w14:textId="77777777" w:rsidR="00040B09" w:rsidRPr="00683965" w:rsidRDefault="00040B09" w:rsidP="00040B09">
      <w:pPr>
        <w:rPr>
          <w:rFonts w:ascii="Gotham" w:hAnsi="Gotham"/>
          <w:sz w:val="18"/>
          <w:szCs w:val="18"/>
          <w:lang w:eastAsia="en-US"/>
        </w:rPr>
      </w:pPr>
    </w:p>
    <w:p w14:paraId="09D9E703" w14:textId="77777777" w:rsidR="00040B09" w:rsidRPr="00683965" w:rsidRDefault="00040B09" w:rsidP="00040B09">
      <w:pPr>
        <w:rPr>
          <w:rFonts w:ascii="Gotham" w:hAnsi="Gotham"/>
          <w:sz w:val="18"/>
          <w:szCs w:val="18"/>
          <w:lang w:eastAsia="en-US"/>
        </w:rPr>
      </w:pPr>
    </w:p>
    <w:p w14:paraId="07801E4F" w14:textId="77777777" w:rsidR="00040B09" w:rsidRPr="00683965" w:rsidRDefault="00040B09" w:rsidP="00040B09">
      <w:pPr>
        <w:rPr>
          <w:rFonts w:ascii="Gotham" w:hAnsi="Gotham"/>
          <w:sz w:val="18"/>
          <w:szCs w:val="18"/>
          <w:lang w:eastAsia="en-US"/>
        </w:rPr>
      </w:pPr>
    </w:p>
    <w:p w14:paraId="5917635C" w14:textId="77777777" w:rsidR="00040B09" w:rsidRPr="00683965" w:rsidRDefault="00040B09" w:rsidP="00040B09">
      <w:pPr>
        <w:rPr>
          <w:rFonts w:ascii="Gotham" w:hAnsi="Gotham"/>
          <w:sz w:val="18"/>
          <w:szCs w:val="18"/>
          <w:lang w:eastAsia="en-US"/>
        </w:rPr>
      </w:pPr>
    </w:p>
    <w:p w14:paraId="714BB622" w14:textId="77777777" w:rsidR="00040B09" w:rsidRPr="00683965" w:rsidRDefault="00040B09" w:rsidP="00040B09">
      <w:pPr>
        <w:rPr>
          <w:rFonts w:ascii="Gotham" w:hAnsi="Gotham"/>
          <w:sz w:val="18"/>
          <w:szCs w:val="18"/>
          <w:lang w:eastAsia="en-US"/>
        </w:rPr>
      </w:pPr>
    </w:p>
    <w:p w14:paraId="00971DE8" w14:textId="77777777" w:rsidR="00040B09" w:rsidRPr="00683965" w:rsidRDefault="00040B09" w:rsidP="00040B09">
      <w:pPr>
        <w:rPr>
          <w:rFonts w:ascii="Gotham" w:hAnsi="Gotham"/>
          <w:sz w:val="18"/>
          <w:szCs w:val="18"/>
          <w:lang w:eastAsia="en-US"/>
        </w:rPr>
      </w:pPr>
    </w:p>
    <w:p w14:paraId="406301F5" w14:textId="77777777" w:rsidR="00040B09" w:rsidRPr="00683965" w:rsidRDefault="00040B09" w:rsidP="00040B09">
      <w:pPr>
        <w:rPr>
          <w:rFonts w:ascii="Gotham" w:hAnsi="Gotham"/>
          <w:sz w:val="18"/>
          <w:szCs w:val="18"/>
          <w:lang w:eastAsia="en-US"/>
        </w:rPr>
      </w:pPr>
    </w:p>
    <w:p w14:paraId="314EE215" w14:textId="77777777" w:rsidR="00040B09" w:rsidRPr="00683965" w:rsidRDefault="00040B09" w:rsidP="00040B09">
      <w:pPr>
        <w:rPr>
          <w:rFonts w:ascii="Gotham" w:hAnsi="Gotham"/>
          <w:sz w:val="18"/>
          <w:szCs w:val="18"/>
          <w:lang w:eastAsia="en-US"/>
        </w:rPr>
      </w:pPr>
    </w:p>
    <w:p w14:paraId="3A4408E9" w14:textId="77777777" w:rsidR="00040B09" w:rsidRPr="00683965" w:rsidRDefault="00040B09" w:rsidP="00040B09">
      <w:pPr>
        <w:jc w:val="right"/>
        <w:rPr>
          <w:rFonts w:ascii="Gotham" w:hAnsi="Gotham"/>
          <w:sz w:val="18"/>
          <w:szCs w:val="18"/>
          <w:lang w:eastAsia="en-US"/>
        </w:rPr>
      </w:pPr>
    </w:p>
    <w:p w14:paraId="5F169ED8" w14:textId="77777777" w:rsidR="00040B09" w:rsidRPr="00683965" w:rsidRDefault="00040B09" w:rsidP="00040B09">
      <w:pPr>
        <w:jc w:val="right"/>
        <w:rPr>
          <w:rFonts w:ascii="Gotham" w:hAnsi="Gotham"/>
          <w:sz w:val="18"/>
          <w:szCs w:val="18"/>
          <w:lang w:eastAsia="en-US"/>
        </w:rPr>
      </w:pPr>
    </w:p>
    <w:p w14:paraId="01D8BA43" w14:textId="77777777" w:rsidR="00040B09" w:rsidRPr="00683965" w:rsidRDefault="00040B09" w:rsidP="00040B09">
      <w:pPr>
        <w:jc w:val="right"/>
        <w:rPr>
          <w:rFonts w:ascii="Gotham" w:hAnsi="Gotham"/>
          <w:sz w:val="18"/>
          <w:szCs w:val="18"/>
          <w:lang w:eastAsia="en-US"/>
        </w:rPr>
      </w:pPr>
    </w:p>
    <w:p w14:paraId="726E3E21" w14:textId="77777777" w:rsidR="00040B09" w:rsidRPr="00683965" w:rsidRDefault="00040B09" w:rsidP="00040B09">
      <w:pPr>
        <w:jc w:val="right"/>
        <w:rPr>
          <w:rFonts w:ascii="Gotham" w:hAnsi="Gotham"/>
          <w:sz w:val="18"/>
          <w:szCs w:val="18"/>
          <w:lang w:eastAsia="en-US"/>
        </w:rPr>
      </w:pPr>
    </w:p>
    <w:p w14:paraId="0A527520" w14:textId="77777777" w:rsidR="00040B09" w:rsidRPr="00683965" w:rsidRDefault="00040B09" w:rsidP="00040B09">
      <w:pPr>
        <w:jc w:val="right"/>
        <w:rPr>
          <w:rFonts w:ascii="Gotham" w:hAnsi="Gotham"/>
          <w:sz w:val="18"/>
          <w:szCs w:val="18"/>
          <w:lang w:eastAsia="en-US"/>
        </w:rPr>
      </w:pPr>
    </w:p>
    <w:p w14:paraId="1863FDDB" w14:textId="77777777" w:rsidR="00040B09" w:rsidRPr="00683965" w:rsidRDefault="00040B09" w:rsidP="00040B09">
      <w:pPr>
        <w:jc w:val="right"/>
        <w:rPr>
          <w:rFonts w:ascii="Gotham" w:hAnsi="Gotham"/>
          <w:sz w:val="18"/>
          <w:szCs w:val="18"/>
          <w:lang w:eastAsia="en-US"/>
        </w:rPr>
      </w:pPr>
    </w:p>
    <w:p w14:paraId="4F0E7AFF" w14:textId="77777777" w:rsidR="00040B09" w:rsidRPr="00683965" w:rsidRDefault="00040B09" w:rsidP="00040B09">
      <w:pPr>
        <w:jc w:val="right"/>
        <w:rPr>
          <w:rFonts w:ascii="Gotham" w:hAnsi="Gotham"/>
          <w:sz w:val="18"/>
          <w:szCs w:val="18"/>
          <w:lang w:eastAsia="en-US"/>
        </w:rPr>
      </w:pPr>
    </w:p>
    <w:p w14:paraId="79916A91" w14:textId="77777777" w:rsidR="00040B09" w:rsidRPr="00683965" w:rsidRDefault="00040B09" w:rsidP="00040B09">
      <w:pPr>
        <w:jc w:val="right"/>
        <w:rPr>
          <w:rFonts w:ascii="Gotham" w:hAnsi="Gotham"/>
          <w:sz w:val="18"/>
          <w:szCs w:val="18"/>
          <w:lang w:eastAsia="en-US"/>
        </w:rPr>
      </w:pPr>
    </w:p>
    <w:p w14:paraId="5AB22606" w14:textId="77777777" w:rsidR="00040B09" w:rsidRPr="00683965" w:rsidRDefault="00040B09" w:rsidP="00040B09">
      <w:pPr>
        <w:spacing w:line="259" w:lineRule="auto"/>
        <w:rPr>
          <w:rFonts w:ascii="Gotham" w:hAnsi="Gotham"/>
          <w:sz w:val="18"/>
          <w:szCs w:val="18"/>
          <w:lang w:eastAsia="en-US"/>
        </w:rPr>
      </w:pPr>
    </w:p>
    <w:p w14:paraId="7F699D00" w14:textId="77777777" w:rsidR="00040B09" w:rsidRPr="00683965" w:rsidRDefault="00040B09" w:rsidP="00040B09">
      <w:pPr>
        <w:spacing w:line="259" w:lineRule="auto"/>
        <w:rPr>
          <w:rFonts w:ascii="Gotham" w:hAnsi="Gotham"/>
          <w:sz w:val="18"/>
          <w:szCs w:val="18"/>
          <w:lang w:eastAsia="en-US"/>
        </w:rPr>
      </w:pPr>
    </w:p>
    <w:p w14:paraId="11B90DA0" w14:textId="77777777" w:rsidR="00040B09" w:rsidRPr="00683965" w:rsidRDefault="00040B09" w:rsidP="00040B09">
      <w:pPr>
        <w:spacing w:line="259" w:lineRule="auto"/>
        <w:rPr>
          <w:rFonts w:ascii="Gotham" w:hAnsi="Gotham"/>
          <w:sz w:val="18"/>
          <w:szCs w:val="18"/>
          <w:lang w:eastAsia="en-US"/>
        </w:rPr>
      </w:pPr>
    </w:p>
    <w:p w14:paraId="034C7A16" w14:textId="77777777" w:rsidR="00040B09" w:rsidRPr="00683965" w:rsidRDefault="00040B09" w:rsidP="00040B09">
      <w:pPr>
        <w:spacing w:line="259" w:lineRule="auto"/>
        <w:rPr>
          <w:rFonts w:ascii="Gotham" w:hAnsi="Gotham"/>
          <w:sz w:val="18"/>
          <w:szCs w:val="18"/>
          <w:lang w:eastAsia="en-US"/>
        </w:rPr>
      </w:pPr>
    </w:p>
    <w:p w14:paraId="27F451FF" w14:textId="77777777" w:rsidR="00040B09" w:rsidRPr="00683965" w:rsidRDefault="00040B09" w:rsidP="00040B09">
      <w:pPr>
        <w:spacing w:line="259" w:lineRule="auto"/>
        <w:rPr>
          <w:rFonts w:ascii="Gotham" w:hAnsi="Gotham"/>
          <w:sz w:val="18"/>
          <w:szCs w:val="18"/>
          <w:lang w:eastAsia="en-US"/>
        </w:rPr>
      </w:pPr>
    </w:p>
    <w:p w14:paraId="62FA595C" w14:textId="77777777" w:rsidR="00040B09" w:rsidRPr="00683965" w:rsidRDefault="00040B09" w:rsidP="00040B09">
      <w:pPr>
        <w:spacing w:line="259" w:lineRule="auto"/>
        <w:rPr>
          <w:rFonts w:ascii="Gotham" w:hAnsi="Gotham"/>
          <w:sz w:val="18"/>
          <w:szCs w:val="18"/>
          <w:lang w:eastAsia="en-US"/>
        </w:rPr>
      </w:pPr>
    </w:p>
    <w:p w14:paraId="39431855" w14:textId="77777777" w:rsidR="00040B09" w:rsidRPr="00683965" w:rsidRDefault="00040B09" w:rsidP="00040B09">
      <w:pPr>
        <w:spacing w:line="259" w:lineRule="auto"/>
        <w:rPr>
          <w:rFonts w:ascii="Gotham" w:hAnsi="Gotham"/>
          <w:sz w:val="18"/>
          <w:szCs w:val="18"/>
          <w:lang w:eastAsia="en-US"/>
        </w:rPr>
      </w:pPr>
    </w:p>
    <w:p w14:paraId="5E093CA9" w14:textId="3A8ABB18" w:rsidR="00040B09" w:rsidRPr="00683965" w:rsidRDefault="00040B09" w:rsidP="00040B09">
      <w:pPr>
        <w:spacing w:line="259" w:lineRule="auto"/>
        <w:rPr>
          <w:rFonts w:ascii="Gotham" w:hAnsi="Gotham"/>
          <w:sz w:val="18"/>
          <w:szCs w:val="18"/>
          <w:lang w:eastAsia="en-US"/>
        </w:rPr>
      </w:pPr>
    </w:p>
    <w:p w14:paraId="77386478" w14:textId="29BF71F8" w:rsidR="00040B09" w:rsidRPr="00683965" w:rsidRDefault="00040B09" w:rsidP="00040B09">
      <w:pPr>
        <w:spacing w:line="259" w:lineRule="auto"/>
        <w:rPr>
          <w:rFonts w:ascii="Gotham" w:hAnsi="Gotham"/>
          <w:sz w:val="18"/>
          <w:szCs w:val="18"/>
          <w:lang w:eastAsia="en-US"/>
        </w:rPr>
      </w:pPr>
    </w:p>
    <w:p w14:paraId="30840C10" w14:textId="402E22AB" w:rsidR="002742A6" w:rsidRDefault="002742A6" w:rsidP="00040B09">
      <w:pPr>
        <w:spacing w:line="259" w:lineRule="auto"/>
        <w:rPr>
          <w:rFonts w:ascii="Gotham" w:hAnsi="Gotham"/>
          <w:sz w:val="18"/>
          <w:szCs w:val="18"/>
          <w:lang w:eastAsia="en-US"/>
        </w:rPr>
      </w:pPr>
    </w:p>
    <w:p w14:paraId="78847435" w14:textId="77777777" w:rsidR="00017795" w:rsidRPr="00683965" w:rsidRDefault="00017795" w:rsidP="00040B09">
      <w:pPr>
        <w:spacing w:line="259" w:lineRule="auto"/>
        <w:rPr>
          <w:rFonts w:ascii="Gotham" w:hAnsi="Gotham"/>
          <w:sz w:val="18"/>
          <w:szCs w:val="18"/>
          <w:lang w:eastAsia="en-US"/>
        </w:rPr>
      </w:pPr>
    </w:p>
    <w:p w14:paraId="44F4D04A" w14:textId="7CA7CAD6" w:rsidR="002742A6" w:rsidRPr="00683965" w:rsidRDefault="002742A6" w:rsidP="00040B09">
      <w:pPr>
        <w:spacing w:line="259" w:lineRule="auto"/>
        <w:rPr>
          <w:rFonts w:ascii="Gotham" w:hAnsi="Gotham"/>
          <w:sz w:val="18"/>
          <w:szCs w:val="18"/>
          <w:lang w:eastAsia="en-US"/>
        </w:rPr>
      </w:pPr>
    </w:p>
    <w:p w14:paraId="4C1D6DCD" w14:textId="77777777" w:rsidR="002742A6" w:rsidRPr="00683965" w:rsidRDefault="002742A6" w:rsidP="00040B09">
      <w:pPr>
        <w:spacing w:line="259" w:lineRule="auto"/>
        <w:rPr>
          <w:rFonts w:ascii="Gotham" w:hAnsi="Gotham"/>
          <w:sz w:val="18"/>
          <w:szCs w:val="18"/>
          <w:lang w:eastAsia="en-US"/>
        </w:rPr>
      </w:pPr>
    </w:p>
    <w:p w14:paraId="2368F9AF" w14:textId="61E6024E" w:rsidR="00040B09" w:rsidRPr="00683965" w:rsidRDefault="00040B09" w:rsidP="00040B09">
      <w:pPr>
        <w:spacing w:line="259" w:lineRule="auto"/>
        <w:rPr>
          <w:rFonts w:ascii="Gotham" w:hAnsi="Gotham" w:cs="Arial"/>
          <w:b/>
          <w:sz w:val="18"/>
          <w:szCs w:val="18"/>
          <w:lang w:eastAsia="en-US"/>
        </w:rPr>
      </w:pPr>
      <w:r w:rsidRPr="00683965">
        <w:rPr>
          <w:rFonts w:ascii="Gotham" w:hAnsi="Gotham" w:cs="Arial"/>
          <w:b/>
          <w:sz w:val="18"/>
          <w:szCs w:val="18"/>
          <w:lang w:eastAsia="en-US"/>
        </w:rPr>
        <w:lastRenderedPageBreak/>
        <w:t xml:space="preserve">Estado Comparativo del Ejercicio del Presupuesto de Egresos: </w:t>
      </w:r>
    </w:p>
    <w:p w14:paraId="58AC0453" w14:textId="77777777" w:rsidR="00040B09" w:rsidRPr="00683965" w:rsidRDefault="00040B09" w:rsidP="00040B09">
      <w:pPr>
        <w:rPr>
          <w:rFonts w:ascii="Gotham" w:hAnsi="Gotham"/>
          <w:sz w:val="18"/>
          <w:szCs w:val="18"/>
          <w:lang w:eastAsia="en-US"/>
        </w:rPr>
      </w:pPr>
      <w:r w:rsidRPr="00683965">
        <w:rPr>
          <w:rFonts w:ascii="Gotham" w:hAnsi="Gotham" w:cs="Arial"/>
          <w:b/>
          <w:noProof/>
          <w:sz w:val="18"/>
          <w:szCs w:val="18"/>
        </w:rPr>
        <w:drawing>
          <wp:anchor distT="0" distB="0" distL="114300" distR="114300" simplePos="0" relativeHeight="251674624" behindDoc="0" locked="0" layoutInCell="1" allowOverlap="1" wp14:anchorId="4ACA62CB" wp14:editId="6EE64A69">
            <wp:simplePos x="0" y="0"/>
            <wp:positionH relativeFrom="margin">
              <wp:posOffset>122310</wp:posOffset>
            </wp:positionH>
            <wp:positionV relativeFrom="paragraph">
              <wp:posOffset>101275</wp:posOffset>
            </wp:positionV>
            <wp:extent cx="6099175" cy="22680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0616" cy="22871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EDAFD" w14:textId="77777777" w:rsidR="00040B09" w:rsidRPr="00683965" w:rsidRDefault="00040B09" w:rsidP="00040B09">
      <w:pPr>
        <w:rPr>
          <w:rFonts w:ascii="Gotham" w:hAnsi="Gotham"/>
          <w:sz w:val="18"/>
          <w:szCs w:val="18"/>
          <w:lang w:eastAsia="en-US"/>
        </w:rPr>
      </w:pPr>
    </w:p>
    <w:p w14:paraId="5293F8E5" w14:textId="77777777" w:rsidR="00040B09" w:rsidRPr="00683965" w:rsidRDefault="00040B09" w:rsidP="00040B09">
      <w:pPr>
        <w:rPr>
          <w:rFonts w:ascii="Gotham" w:hAnsi="Gotham"/>
          <w:sz w:val="18"/>
          <w:szCs w:val="18"/>
          <w:lang w:eastAsia="en-US"/>
        </w:rPr>
      </w:pPr>
    </w:p>
    <w:p w14:paraId="11C052FE" w14:textId="77777777" w:rsidR="00040B09" w:rsidRPr="00683965" w:rsidRDefault="00040B09" w:rsidP="00040B09">
      <w:pPr>
        <w:rPr>
          <w:rFonts w:ascii="Gotham" w:hAnsi="Gotham"/>
          <w:sz w:val="18"/>
          <w:szCs w:val="18"/>
          <w:lang w:eastAsia="en-US"/>
        </w:rPr>
      </w:pPr>
    </w:p>
    <w:p w14:paraId="1A3CA009" w14:textId="77777777" w:rsidR="00040B09" w:rsidRPr="00683965" w:rsidRDefault="00040B09" w:rsidP="00040B09">
      <w:pPr>
        <w:rPr>
          <w:rFonts w:ascii="Gotham" w:hAnsi="Gotham"/>
          <w:sz w:val="18"/>
          <w:szCs w:val="18"/>
          <w:lang w:eastAsia="en-US"/>
        </w:rPr>
      </w:pPr>
    </w:p>
    <w:p w14:paraId="22D430DE" w14:textId="77777777" w:rsidR="00040B09" w:rsidRPr="00683965" w:rsidRDefault="00040B09" w:rsidP="00040B09">
      <w:pPr>
        <w:rPr>
          <w:rFonts w:ascii="Gotham" w:hAnsi="Gotham"/>
          <w:sz w:val="18"/>
          <w:szCs w:val="18"/>
          <w:lang w:eastAsia="en-US"/>
        </w:rPr>
      </w:pPr>
    </w:p>
    <w:p w14:paraId="416385F2" w14:textId="77777777" w:rsidR="00040B09" w:rsidRPr="00683965" w:rsidRDefault="00040B09" w:rsidP="00040B09">
      <w:pPr>
        <w:rPr>
          <w:rFonts w:ascii="Gotham" w:hAnsi="Gotham"/>
          <w:sz w:val="18"/>
          <w:szCs w:val="18"/>
          <w:lang w:eastAsia="en-US"/>
        </w:rPr>
      </w:pPr>
    </w:p>
    <w:p w14:paraId="221671D4" w14:textId="77777777" w:rsidR="00040B09" w:rsidRPr="00683965" w:rsidRDefault="00040B09" w:rsidP="00040B09">
      <w:pPr>
        <w:rPr>
          <w:rFonts w:ascii="Gotham" w:hAnsi="Gotham"/>
          <w:sz w:val="18"/>
          <w:szCs w:val="18"/>
          <w:lang w:eastAsia="en-US"/>
        </w:rPr>
      </w:pPr>
    </w:p>
    <w:p w14:paraId="52198E7B" w14:textId="77777777" w:rsidR="00040B09" w:rsidRPr="00683965" w:rsidRDefault="00040B09" w:rsidP="00040B09">
      <w:pPr>
        <w:rPr>
          <w:rFonts w:ascii="Gotham" w:hAnsi="Gotham"/>
          <w:sz w:val="18"/>
          <w:szCs w:val="18"/>
          <w:lang w:eastAsia="en-US"/>
        </w:rPr>
      </w:pPr>
    </w:p>
    <w:p w14:paraId="397BF4ED" w14:textId="77777777" w:rsidR="00040B09" w:rsidRPr="00683965" w:rsidRDefault="00040B09" w:rsidP="00040B09">
      <w:pPr>
        <w:rPr>
          <w:rFonts w:ascii="Gotham" w:hAnsi="Gotham"/>
          <w:sz w:val="18"/>
          <w:szCs w:val="18"/>
          <w:lang w:eastAsia="en-US"/>
        </w:rPr>
      </w:pPr>
    </w:p>
    <w:p w14:paraId="637005AE" w14:textId="77777777" w:rsidR="00040B09" w:rsidRPr="00683965" w:rsidRDefault="00040B09" w:rsidP="00040B09">
      <w:pPr>
        <w:rPr>
          <w:rFonts w:ascii="Gotham" w:hAnsi="Gotham"/>
          <w:sz w:val="18"/>
          <w:szCs w:val="18"/>
          <w:lang w:eastAsia="en-US"/>
        </w:rPr>
      </w:pPr>
    </w:p>
    <w:p w14:paraId="5B96DF64" w14:textId="77777777" w:rsidR="00040B09" w:rsidRPr="00683965" w:rsidRDefault="00040B09" w:rsidP="00040B09">
      <w:pPr>
        <w:rPr>
          <w:rFonts w:ascii="Gotham" w:hAnsi="Gotham"/>
          <w:sz w:val="18"/>
          <w:szCs w:val="18"/>
          <w:lang w:eastAsia="en-US"/>
        </w:rPr>
      </w:pPr>
    </w:p>
    <w:p w14:paraId="4604F0D8" w14:textId="77777777" w:rsidR="00040B09" w:rsidRPr="00683965" w:rsidRDefault="00040B09" w:rsidP="00040B09">
      <w:pPr>
        <w:rPr>
          <w:rFonts w:ascii="Gotham" w:hAnsi="Gotham"/>
          <w:sz w:val="18"/>
          <w:szCs w:val="18"/>
          <w:lang w:eastAsia="en-US"/>
        </w:rPr>
      </w:pPr>
    </w:p>
    <w:p w14:paraId="46986F6D" w14:textId="77777777" w:rsidR="00040B09" w:rsidRPr="00683965" w:rsidRDefault="00040B09" w:rsidP="00040B09">
      <w:pPr>
        <w:rPr>
          <w:rFonts w:ascii="Gotham" w:hAnsi="Gotham"/>
          <w:sz w:val="18"/>
          <w:szCs w:val="18"/>
          <w:lang w:eastAsia="en-US"/>
        </w:rPr>
      </w:pPr>
    </w:p>
    <w:p w14:paraId="60F78415" w14:textId="77777777" w:rsidR="00040B09" w:rsidRPr="00683965" w:rsidRDefault="00040B09" w:rsidP="00040B09">
      <w:pPr>
        <w:rPr>
          <w:rFonts w:ascii="Gotham" w:hAnsi="Gotham"/>
          <w:sz w:val="18"/>
          <w:szCs w:val="18"/>
          <w:lang w:eastAsia="en-US"/>
        </w:rPr>
      </w:pPr>
    </w:p>
    <w:p w14:paraId="12931184" w14:textId="77777777" w:rsidR="00040B09" w:rsidRPr="00683965" w:rsidRDefault="00040B09" w:rsidP="00040B09">
      <w:pPr>
        <w:rPr>
          <w:rFonts w:ascii="Gotham" w:hAnsi="Gotham"/>
          <w:sz w:val="18"/>
          <w:szCs w:val="18"/>
          <w:lang w:eastAsia="en-US"/>
        </w:rPr>
      </w:pPr>
    </w:p>
    <w:p w14:paraId="2F13C068" w14:textId="77777777" w:rsidR="00040B09" w:rsidRPr="00683965" w:rsidRDefault="00040B09" w:rsidP="00040B09">
      <w:pPr>
        <w:rPr>
          <w:rFonts w:ascii="Gotham" w:hAnsi="Gotham"/>
          <w:sz w:val="18"/>
          <w:szCs w:val="18"/>
          <w:lang w:eastAsia="en-US"/>
        </w:rPr>
      </w:pPr>
    </w:p>
    <w:p w14:paraId="23C92C40" w14:textId="77777777" w:rsidR="00040B09" w:rsidRPr="00683965" w:rsidRDefault="00040B09" w:rsidP="00040B09">
      <w:pPr>
        <w:rPr>
          <w:rFonts w:ascii="Gotham" w:hAnsi="Gotham"/>
          <w:sz w:val="18"/>
          <w:szCs w:val="18"/>
          <w:lang w:eastAsia="en-US"/>
        </w:rPr>
      </w:pPr>
    </w:p>
    <w:p w14:paraId="77B35E40" w14:textId="77777777" w:rsidR="00040B09" w:rsidRDefault="00040B09" w:rsidP="00040B09">
      <w:pPr>
        <w:tabs>
          <w:tab w:val="left" w:pos="488"/>
        </w:tabs>
        <w:spacing w:line="276" w:lineRule="auto"/>
        <w:ind w:right="-1"/>
        <w:jc w:val="both"/>
        <w:outlineLvl w:val="0"/>
        <w:rPr>
          <w:rFonts w:ascii="Gotham" w:hAnsi="Gotham" w:cs="Arial"/>
          <w:sz w:val="18"/>
          <w:szCs w:val="18"/>
          <w:lang w:eastAsia="en-US"/>
        </w:rPr>
      </w:pPr>
    </w:p>
    <w:p w14:paraId="0346CC4A" w14:textId="77777777" w:rsidR="00B773E3" w:rsidRPr="00683965" w:rsidRDefault="00B773E3" w:rsidP="00040B09">
      <w:pPr>
        <w:tabs>
          <w:tab w:val="left" w:pos="488"/>
        </w:tabs>
        <w:spacing w:line="276" w:lineRule="auto"/>
        <w:ind w:right="-1"/>
        <w:jc w:val="both"/>
        <w:outlineLvl w:val="0"/>
        <w:rPr>
          <w:rFonts w:ascii="Gotham" w:hAnsi="Gotham" w:cs="Arial"/>
          <w:sz w:val="18"/>
          <w:szCs w:val="18"/>
          <w:lang w:eastAsia="en-US"/>
        </w:rPr>
      </w:pPr>
    </w:p>
    <w:p w14:paraId="3733B6A2" w14:textId="77777777" w:rsidR="00040B09" w:rsidRPr="00683965" w:rsidRDefault="00040B09" w:rsidP="00040B09">
      <w:pPr>
        <w:tabs>
          <w:tab w:val="left" w:pos="488"/>
        </w:tabs>
        <w:spacing w:line="276" w:lineRule="auto"/>
        <w:ind w:right="-1"/>
        <w:jc w:val="both"/>
        <w:outlineLvl w:val="0"/>
        <w:rPr>
          <w:rFonts w:ascii="Gotham" w:hAnsi="Gotham" w:cs="Arial"/>
          <w:sz w:val="18"/>
          <w:szCs w:val="18"/>
          <w:lang w:eastAsia="en-US"/>
        </w:rPr>
      </w:pPr>
    </w:p>
    <w:p w14:paraId="55F24895" w14:textId="77777777" w:rsidR="00040B09" w:rsidRPr="00683965" w:rsidRDefault="00040B09" w:rsidP="00040B09">
      <w:pPr>
        <w:tabs>
          <w:tab w:val="left" w:pos="488"/>
        </w:tabs>
        <w:spacing w:line="276" w:lineRule="auto"/>
        <w:ind w:right="-1"/>
        <w:jc w:val="both"/>
        <w:outlineLvl w:val="0"/>
        <w:rPr>
          <w:rFonts w:ascii="Gotham" w:hAnsi="Gotham" w:cs="Arial"/>
          <w:sz w:val="18"/>
          <w:szCs w:val="18"/>
          <w:lang w:eastAsia="en-US"/>
        </w:rPr>
      </w:pPr>
      <w:r w:rsidRPr="00683965">
        <w:rPr>
          <w:rFonts w:ascii="Gotham" w:hAnsi="Gotham" w:cs="Arial"/>
          <w:sz w:val="18"/>
          <w:szCs w:val="18"/>
          <w:lang w:eastAsia="en-US"/>
        </w:rPr>
        <w:t>El presupuesto de egresos aprobado anual fue de 3,118,386,257.00; el presupuesto acumulado al mes modificado fue de 2,891,810,308.31 y el ejercido de 2,436,396,870.40, por lo tanto, se observa una variación absoluta de 455,413,437.91 que representa el 19 por ciento, principalmente por lo siguiente:</w:t>
      </w:r>
    </w:p>
    <w:p w14:paraId="4AD74CE7" w14:textId="77777777" w:rsidR="00040B09" w:rsidRPr="00683965" w:rsidRDefault="00040B09" w:rsidP="00040B09">
      <w:pPr>
        <w:tabs>
          <w:tab w:val="left" w:pos="488"/>
        </w:tabs>
        <w:spacing w:line="276" w:lineRule="auto"/>
        <w:ind w:right="-1"/>
        <w:jc w:val="both"/>
        <w:outlineLvl w:val="0"/>
        <w:rPr>
          <w:rFonts w:ascii="Gotham" w:hAnsi="Gotham" w:cs="Arial"/>
          <w:sz w:val="18"/>
          <w:szCs w:val="18"/>
          <w:lang w:eastAsia="en-US"/>
        </w:rPr>
      </w:pPr>
    </w:p>
    <w:p w14:paraId="40AE0C6A" w14:textId="77777777" w:rsidR="00040B09" w:rsidRPr="00683965" w:rsidRDefault="00040B09" w:rsidP="00040B09">
      <w:pPr>
        <w:spacing w:line="276" w:lineRule="auto"/>
        <w:ind w:right="-1"/>
        <w:jc w:val="both"/>
        <w:rPr>
          <w:rFonts w:ascii="Gotham" w:hAnsi="Gotham" w:cs="Arial"/>
          <w:sz w:val="18"/>
          <w:szCs w:val="18"/>
          <w:lang w:eastAsia="en-US"/>
        </w:rPr>
      </w:pPr>
      <w:r w:rsidRPr="00683965">
        <w:rPr>
          <w:rFonts w:ascii="Gotham" w:hAnsi="Gotham" w:cs="Arial"/>
          <w:b/>
          <w:sz w:val="18"/>
          <w:szCs w:val="18"/>
          <w:lang w:eastAsia="en-US"/>
        </w:rPr>
        <w:t>En el Capítulo 1000 “Servicios Personales”</w:t>
      </w:r>
      <w:r w:rsidRPr="00683965">
        <w:rPr>
          <w:rFonts w:ascii="Gotham" w:hAnsi="Gotham" w:cs="Arial"/>
          <w:sz w:val="18"/>
          <w:szCs w:val="18"/>
          <w:lang w:eastAsia="en-US"/>
        </w:rPr>
        <w:t>. – La variación relativa del 8 por ciento, obedece a que el presupuesto autorizado por la Secretaría de Finanzas es superior al costo de la plantilla de este Instituto.</w:t>
      </w:r>
    </w:p>
    <w:p w14:paraId="701F17D2" w14:textId="77777777" w:rsidR="00040B09" w:rsidRPr="00683965" w:rsidRDefault="00040B09" w:rsidP="00040B09">
      <w:pPr>
        <w:spacing w:line="276" w:lineRule="auto"/>
        <w:ind w:right="-1"/>
        <w:jc w:val="both"/>
        <w:rPr>
          <w:rFonts w:ascii="Gotham" w:hAnsi="Gotham" w:cs="Arial"/>
          <w:sz w:val="18"/>
          <w:szCs w:val="18"/>
          <w:lang w:eastAsia="en-US"/>
        </w:rPr>
      </w:pPr>
    </w:p>
    <w:p w14:paraId="73E1C0E8" w14:textId="77777777" w:rsidR="00040B09" w:rsidRPr="00683965" w:rsidRDefault="00040B09" w:rsidP="00040B09">
      <w:pPr>
        <w:spacing w:line="276" w:lineRule="auto"/>
        <w:ind w:right="-1"/>
        <w:jc w:val="both"/>
        <w:rPr>
          <w:rFonts w:ascii="Gotham" w:hAnsi="Gotham" w:cs="Arial"/>
          <w:sz w:val="18"/>
          <w:szCs w:val="18"/>
          <w:lang w:eastAsia="en-US"/>
        </w:rPr>
      </w:pPr>
      <w:r w:rsidRPr="00683965">
        <w:rPr>
          <w:rFonts w:ascii="Gotham" w:hAnsi="Gotham" w:cs="Arial"/>
          <w:b/>
          <w:sz w:val="18"/>
          <w:szCs w:val="18"/>
          <w:lang w:eastAsia="en-US"/>
        </w:rPr>
        <w:t>En el Capítulo 2000 “Materiales y Suministros”</w:t>
      </w:r>
      <w:r w:rsidRPr="00683965">
        <w:rPr>
          <w:rFonts w:ascii="Gotham" w:hAnsi="Gotham" w:cs="Arial"/>
          <w:sz w:val="18"/>
          <w:szCs w:val="18"/>
          <w:lang w:eastAsia="en-US"/>
        </w:rPr>
        <w:t>. – La variación relativa del 21 por ciento, obedece a que se encuentra en proceso la sustanciación de los procedimientos adquisitivos.</w:t>
      </w:r>
    </w:p>
    <w:p w14:paraId="36B27A98" w14:textId="77777777" w:rsidR="00040B09" w:rsidRPr="00683965" w:rsidRDefault="00040B09" w:rsidP="00040B09">
      <w:pPr>
        <w:spacing w:line="276" w:lineRule="auto"/>
        <w:ind w:right="-1"/>
        <w:jc w:val="both"/>
        <w:rPr>
          <w:rFonts w:ascii="Gotham" w:hAnsi="Gotham" w:cs="Arial"/>
          <w:sz w:val="18"/>
          <w:szCs w:val="18"/>
          <w:lang w:eastAsia="en-US"/>
        </w:rPr>
      </w:pPr>
    </w:p>
    <w:p w14:paraId="7815EBDD" w14:textId="58465BFF" w:rsidR="00040B09" w:rsidRPr="00683965" w:rsidRDefault="00040B09" w:rsidP="00040B09">
      <w:pPr>
        <w:spacing w:line="276" w:lineRule="auto"/>
        <w:ind w:right="-1"/>
        <w:jc w:val="both"/>
        <w:rPr>
          <w:rFonts w:ascii="Gotham" w:hAnsi="Gotham" w:cs="Arial"/>
          <w:sz w:val="18"/>
          <w:szCs w:val="18"/>
          <w:lang w:eastAsia="en-US"/>
        </w:rPr>
      </w:pPr>
      <w:r w:rsidRPr="00683965">
        <w:rPr>
          <w:rFonts w:ascii="Gotham" w:hAnsi="Gotham" w:cs="Arial"/>
          <w:b/>
          <w:sz w:val="18"/>
          <w:szCs w:val="18"/>
          <w:lang w:eastAsia="en-US"/>
        </w:rPr>
        <w:t>En el Capítulo 3000 “Servicios Generales”</w:t>
      </w:r>
      <w:r w:rsidRPr="00683965">
        <w:rPr>
          <w:rFonts w:ascii="Gotham" w:hAnsi="Gotham" w:cs="Arial"/>
          <w:sz w:val="18"/>
          <w:szCs w:val="18"/>
          <w:lang w:eastAsia="en-US"/>
        </w:rPr>
        <w:t>- La variación relativa del 63 por ciento, corresponde a que aún se encuentra pendiente de pago los contratos de los servicios básicos para la operación del Instituto. Así mismo, se encuentra en proceso la contratación de servicio que fortalecerán la infraestructura tecnológica de este Instituto.</w:t>
      </w:r>
    </w:p>
    <w:p w14:paraId="7C066488" w14:textId="77777777" w:rsidR="00040B09" w:rsidRPr="00683965" w:rsidRDefault="00040B09" w:rsidP="00040B09">
      <w:pPr>
        <w:spacing w:line="276" w:lineRule="auto"/>
        <w:ind w:right="-1"/>
        <w:jc w:val="both"/>
        <w:rPr>
          <w:rFonts w:ascii="Gotham" w:hAnsi="Gotham" w:cs="Arial"/>
          <w:sz w:val="18"/>
          <w:szCs w:val="18"/>
          <w:lang w:eastAsia="en-US"/>
        </w:rPr>
      </w:pPr>
    </w:p>
    <w:p w14:paraId="0BD3575D" w14:textId="3E46C0BC" w:rsidR="00040B09" w:rsidRPr="00683965" w:rsidRDefault="00040B09" w:rsidP="00040B09">
      <w:pPr>
        <w:spacing w:line="276" w:lineRule="auto"/>
        <w:ind w:right="-1"/>
        <w:jc w:val="both"/>
        <w:rPr>
          <w:rFonts w:ascii="Gotham" w:hAnsi="Gotham" w:cs="Arial"/>
          <w:sz w:val="18"/>
          <w:szCs w:val="18"/>
          <w:lang w:eastAsia="en-US"/>
        </w:rPr>
      </w:pPr>
      <w:r w:rsidRPr="00683965">
        <w:rPr>
          <w:rFonts w:ascii="Gotham" w:hAnsi="Gotham" w:cs="Arial"/>
          <w:b/>
          <w:sz w:val="18"/>
          <w:szCs w:val="18"/>
          <w:lang w:eastAsia="en-US"/>
        </w:rPr>
        <w:t>En el Capítulo 4000 “Transferencias, Asignaciones, Subsidios y Otras Ayudas”</w:t>
      </w:r>
      <w:r w:rsidRPr="00683965">
        <w:rPr>
          <w:rFonts w:ascii="Gotham" w:hAnsi="Gotham" w:cs="Arial"/>
          <w:sz w:val="18"/>
          <w:szCs w:val="18"/>
          <w:lang w:eastAsia="en-US"/>
        </w:rPr>
        <w:t>.- La variación relativa del  17 por ciento, se debe principalmente a que el objeto del gasto 4661 "Transferencias a fideicomisos de instituciones públicas financieras", obedece a la diferencia entre los ingresos transferidos al Fiduciario durante el presente periodo y el importe presupuestado mensualmente para el concepto en cita, por las transferencias al Fideicomiso de Cobranza que son realizadas de acuerdo a los contratos con las Instituciones Financieras, derivado de la captación de ingresos por los servicios registrales, fueron mayores al presupuesto programado y calendarizado para el mes que nos ocupa, no obstante el importe que está pendiente de registro</w:t>
      </w:r>
      <w:r w:rsidR="00266D6B" w:rsidRPr="00683965">
        <w:rPr>
          <w:rFonts w:ascii="Gotham" w:hAnsi="Gotham" w:cs="Arial"/>
          <w:sz w:val="18"/>
          <w:szCs w:val="18"/>
          <w:lang w:eastAsia="en-US"/>
        </w:rPr>
        <w:t xml:space="preserve"> </w:t>
      </w:r>
      <w:r w:rsidRPr="00683965">
        <w:rPr>
          <w:rFonts w:ascii="Gotham" w:hAnsi="Gotham" w:cs="Arial"/>
          <w:sz w:val="18"/>
          <w:szCs w:val="18"/>
          <w:lang w:eastAsia="en-US"/>
        </w:rPr>
        <w:t>se considerará en el acumulado anual para su afectación en los meses subsecuentes, hasta que se agote la diferencia determinada y en su caso, se requiera una ampliación presupuestal no líquida.</w:t>
      </w:r>
    </w:p>
    <w:p w14:paraId="45CB50EB" w14:textId="77777777" w:rsidR="00040B09" w:rsidRPr="00683965" w:rsidRDefault="00040B09" w:rsidP="00040B09">
      <w:pPr>
        <w:spacing w:line="276" w:lineRule="auto"/>
        <w:ind w:right="-1"/>
        <w:jc w:val="both"/>
        <w:rPr>
          <w:rFonts w:ascii="Gotham" w:hAnsi="Gotham" w:cs="Arial"/>
          <w:sz w:val="18"/>
          <w:szCs w:val="18"/>
          <w:lang w:eastAsia="en-US"/>
        </w:rPr>
      </w:pPr>
    </w:p>
    <w:p w14:paraId="34D9E541" w14:textId="2F8E65A8" w:rsidR="00040B09" w:rsidRPr="00683965" w:rsidRDefault="00040B09" w:rsidP="00040B09">
      <w:pPr>
        <w:spacing w:line="276" w:lineRule="auto"/>
        <w:ind w:right="-1"/>
        <w:jc w:val="both"/>
        <w:rPr>
          <w:rFonts w:ascii="Gotham" w:hAnsi="Gotham" w:cs="Arial"/>
          <w:sz w:val="18"/>
          <w:szCs w:val="18"/>
          <w:lang w:eastAsia="en-US"/>
        </w:rPr>
      </w:pPr>
      <w:r w:rsidRPr="00683965">
        <w:rPr>
          <w:rFonts w:ascii="Gotham" w:hAnsi="Gotham" w:cs="Arial"/>
          <w:b/>
          <w:sz w:val="18"/>
          <w:szCs w:val="18"/>
          <w:lang w:eastAsia="en-US"/>
        </w:rPr>
        <w:t>En el Capítulo 5000 “Bienes Muebles, Inmuebles e Intangibles”</w:t>
      </w:r>
      <w:r w:rsidRPr="00683965">
        <w:rPr>
          <w:rFonts w:ascii="Gotham" w:hAnsi="Gotham" w:cs="Arial"/>
          <w:sz w:val="18"/>
          <w:szCs w:val="18"/>
          <w:lang w:eastAsia="en-US"/>
        </w:rPr>
        <w:t>- La variación relativa del 36 por ciento obedece a que se encuentra en proceso los proyectos que generarán la adquisición de infraestructura tecnológica, así como, otros bienes muebles para este Instituto.</w:t>
      </w:r>
    </w:p>
    <w:p w14:paraId="592A10F6" w14:textId="6C21EC25" w:rsidR="00040B09" w:rsidRPr="00683965" w:rsidRDefault="00040B09" w:rsidP="00040B09">
      <w:pPr>
        <w:spacing w:after="160"/>
        <w:rPr>
          <w:rFonts w:ascii="Gotham" w:eastAsia="Times New Roman" w:hAnsi="Gotham" w:cs="Times New Roman"/>
          <w:b/>
          <w:bCs/>
          <w:color w:val="000000"/>
          <w:sz w:val="18"/>
          <w:szCs w:val="18"/>
        </w:rPr>
      </w:pPr>
    </w:p>
    <w:p w14:paraId="6C6D4731" w14:textId="77777777" w:rsidR="00194155" w:rsidRPr="00683965" w:rsidRDefault="00194155" w:rsidP="00040B09">
      <w:pPr>
        <w:spacing w:after="160"/>
        <w:rPr>
          <w:rFonts w:ascii="Gotham" w:eastAsia="Times New Roman" w:hAnsi="Gotham" w:cs="Times New Roman"/>
          <w:b/>
          <w:bCs/>
          <w:color w:val="000000"/>
          <w:sz w:val="18"/>
          <w:szCs w:val="18"/>
        </w:rPr>
      </w:pPr>
    </w:p>
    <w:p w14:paraId="31FEC776" w14:textId="77777777" w:rsidR="00040B09" w:rsidRPr="00683965" w:rsidRDefault="00040B09" w:rsidP="00040B09">
      <w:pPr>
        <w:spacing w:after="160"/>
        <w:rPr>
          <w:rFonts w:ascii="Gotham" w:eastAsia="Times New Roman" w:hAnsi="Gotham" w:cs="Times New Roman"/>
          <w:b/>
          <w:bCs/>
          <w:color w:val="000000"/>
          <w:sz w:val="18"/>
          <w:szCs w:val="18"/>
        </w:rPr>
      </w:pPr>
    </w:p>
    <w:p w14:paraId="5C7FB4EC" w14:textId="69E4EB5A" w:rsidR="00040B09" w:rsidRPr="00683965" w:rsidRDefault="00040B09" w:rsidP="00040B09">
      <w:pPr>
        <w:spacing w:after="160"/>
        <w:rPr>
          <w:rFonts w:ascii="Gotham" w:eastAsia="Times New Roman" w:hAnsi="Gotham" w:cs="Times New Roman"/>
          <w:b/>
          <w:bCs/>
          <w:color w:val="000000"/>
          <w:sz w:val="18"/>
          <w:szCs w:val="18"/>
        </w:rPr>
      </w:pPr>
    </w:p>
    <w:p w14:paraId="2FC37AFF" w14:textId="2B0560AA" w:rsidR="00040B09" w:rsidRPr="00683965" w:rsidRDefault="00040B09" w:rsidP="00040B09">
      <w:pPr>
        <w:spacing w:after="160"/>
        <w:rPr>
          <w:rFonts w:ascii="Gotham" w:eastAsia="Times New Roman" w:hAnsi="Gotham" w:cs="Times New Roman"/>
          <w:sz w:val="18"/>
          <w:szCs w:val="18"/>
        </w:rPr>
      </w:pPr>
      <w:r w:rsidRPr="00683965">
        <w:rPr>
          <w:rFonts w:ascii="Gotham" w:eastAsia="Times New Roman" w:hAnsi="Gotham" w:cs="Times New Roman"/>
          <w:b/>
          <w:bCs/>
          <w:color w:val="000000"/>
          <w:sz w:val="18"/>
          <w:szCs w:val="18"/>
        </w:rPr>
        <w:lastRenderedPageBreak/>
        <w:t>c) NOTAS DE GESTIÓN ADMINISTRATIVA</w:t>
      </w:r>
    </w:p>
    <w:p w14:paraId="79525C41" w14:textId="77777777" w:rsidR="00040B09" w:rsidRPr="00683965" w:rsidRDefault="00040B09" w:rsidP="00040B09">
      <w:pPr>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El objetivo del presente documento es la revelación del contexto y de los aspectos económico-financieros más importantes que influyeron en las decisiones del periodo,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14:paraId="67AA1EB9" w14:textId="77777777" w:rsidR="00040B09" w:rsidRPr="00683965" w:rsidRDefault="00040B09" w:rsidP="00040B09">
      <w:pPr>
        <w:rPr>
          <w:rFonts w:ascii="Gotham" w:eastAsia="Times New Roman" w:hAnsi="Gotham" w:cs="Times New Roman"/>
          <w:sz w:val="18"/>
          <w:szCs w:val="18"/>
        </w:rPr>
      </w:pPr>
    </w:p>
    <w:p w14:paraId="04699BD1" w14:textId="77777777" w:rsidR="00040B09" w:rsidRPr="00683965" w:rsidRDefault="00040B09" w:rsidP="00040B09">
      <w:pPr>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28B5706" w14:textId="77777777" w:rsidR="00040B09" w:rsidRPr="00683965" w:rsidRDefault="00040B09" w:rsidP="00040B09">
      <w:pPr>
        <w:rPr>
          <w:rFonts w:ascii="Gotham" w:eastAsia="Times New Roman" w:hAnsi="Gotham" w:cs="Times New Roman"/>
          <w:sz w:val="18"/>
          <w:szCs w:val="18"/>
        </w:rPr>
      </w:pPr>
    </w:p>
    <w:p w14:paraId="16966091" w14:textId="77777777" w:rsidR="00040B09" w:rsidRPr="00683965" w:rsidRDefault="00040B09" w:rsidP="00040B09">
      <w:pPr>
        <w:numPr>
          <w:ilvl w:val="0"/>
          <w:numId w:val="8"/>
        </w:numPr>
        <w:ind w:left="851"/>
        <w:jc w:val="both"/>
        <w:textAlignment w:val="baseline"/>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Introducción</w:t>
      </w:r>
    </w:p>
    <w:p w14:paraId="220356EC" w14:textId="77777777" w:rsidR="00040B09" w:rsidRPr="00683965" w:rsidRDefault="00040B09" w:rsidP="00040B09">
      <w:pPr>
        <w:rPr>
          <w:rFonts w:ascii="Gotham" w:eastAsia="Times New Roman" w:hAnsi="Gotham" w:cs="Times New Roman"/>
          <w:sz w:val="18"/>
          <w:szCs w:val="18"/>
        </w:rPr>
      </w:pPr>
    </w:p>
    <w:p w14:paraId="752A50B5" w14:textId="77777777"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14:paraId="736719B3" w14:textId="77777777"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14:paraId="4160FB87" w14:textId="23EC0849" w:rsidR="00040B09" w:rsidRPr="00683965" w:rsidRDefault="00040B09" w:rsidP="00266D6B">
      <w:pPr>
        <w:spacing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14:paraId="409E3AD1" w14:textId="19ECF082" w:rsidR="00040B09" w:rsidRPr="00683965" w:rsidRDefault="00040B09" w:rsidP="00194155">
      <w:pPr>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legales aplicables, en los cuales mandata que su objeto es de interés general, beneficio colectivo y para la prestación de un servicio público. Los Derechos por la prestación de los servicios se encuentran establecidos en la Ley de Ingresos del Estado de México, para el ejercicio fiscal correspondiente, en el Código Financiero del Estado de México y Municipios.</w:t>
      </w:r>
    </w:p>
    <w:p w14:paraId="31D364FF" w14:textId="77777777" w:rsidR="00194155" w:rsidRPr="00683965" w:rsidRDefault="00194155" w:rsidP="00194155">
      <w:pPr>
        <w:jc w:val="both"/>
        <w:rPr>
          <w:rFonts w:ascii="Gotham" w:eastAsia="Times New Roman" w:hAnsi="Gotham" w:cs="Times New Roman"/>
          <w:sz w:val="18"/>
          <w:szCs w:val="18"/>
        </w:rPr>
      </w:pPr>
    </w:p>
    <w:p w14:paraId="1143366D" w14:textId="77777777" w:rsidR="00040B09" w:rsidRPr="00683965" w:rsidRDefault="00040B09" w:rsidP="00040B09">
      <w:pPr>
        <w:numPr>
          <w:ilvl w:val="0"/>
          <w:numId w:val="9"/>
        </w:numPr>
        <w:jc w:val="both"/>
        <w:textAlignment w:val="baseline"/>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Panorama Económico y Financiero</w:t>
      </w:r>
    </w:p>
    <w:p w14:paraId="5A8BA68C" w14:textId="77777777" w:rsidR="00040B09" w:rsidRPr="00683965" w:rsidRDefault="00040B09" w:rsidP="00040B09">
      <w:pPr>
        <w:rPr>
          <w:rFonts w:ascii="Gotham" w:eastAsia="Times New Roman" w:hAnsi="Gotham" w:cs="Times New Roman"/>
          <w:sz w:val="18"/>
          <w:szCs w:val="18"/>
        </w:rPr>
      </w:pPr>
    </w:p>
    <w:p w14:paraId="3A81367B" w14:textId="30981B26" w:rsidR="00040B09" w:rsidRPr="00683965" w:rsidRDefault="00040B09" w:rsidP="00040B09">
      <w:pPr>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Se informa sobre las principales condiciones económico-financieras bajo las cuales, el Instituto de la Función Registral del Estado de México estuvo operando; las cuales influyeron en la toma de decisiones de la administración pública.</w:t>
      </w:r>
    </w:p>
    <w:p w14:paraId="56563DDF" w14:textId="77777777" w:rsidR="002742A6" w:rsidRPr="00683965" w:rsidRDefault="002742A6" w:rsidP="00040B09">
      <w:pPr>
        <w:jc w:val="both"/>
        <w:rPr>
          <w:rFonts w:ascii="Gotham" w:eastAsia="Times New Roman" w:hAnsi="Gotham" w:cs="Times New Roman"/>
          <w:sz w:val="18"/>
          <w:szCs w:val="18"/>
        </w:rPr>
      </w:pPr>
    </w:p>
    <w:p w14:paraId="0A13DC90" w14:textId="77777777" w:rsidR="00040B09" w:rsidRPr="00683965" w:rsidRDefault="00040B09" w:rsidP="00040B09">
      <w:pPr>
        <w:numPr>
          <w:ilvl w:val="0"/>
          <w:numId w:val="10"/>
        </w:numPr>
        <w:spacing w:after="160"/>
        <w:jc w:val="both"/>
        <w:textAlignment w:val="baseline"/>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Autorización e Historia</w:t>
      </w:r>
    </w:p>
    <w:p w14:paraId="3701258E" w14:textId="3CDDA078"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El 3 de diciembre de 2007</w:t>
      </w:r>
      <w:r w:rsidR="00266D6B" w:rsidRPr="00683965">
        <w:rPr>
          <w:rFonts w:ascii="Gotham" w:eastAsia="Times New Roman" w:hAnsi="Gotham" w:cs="Times New Roman"/>
          <w:color w:val="000000"/>
          <w:sz w:val="18"/>
          <w:szCs w:val="18"/>
        </w:rPr>
        <w:t>,</w:t>
      </w:r>
      <w:r w:rsidRPr="00683965">
        <w:rPr>
          <w:rFonts w:ascii="Gotham" w:eastAsia="Times New Roman" w:hAnsi="Gotham" w:cs="Times New Roman"/>
          <w:color w:val="000000"/>
          <w:sz w:val="18"/>
          <w:szCs w:val="18"/>
        </w:rPr>
        <w:t xml:space="preserve"> se publicó en el periódic</w:t>
      </w:r>
      <w:r w:rsidR="00266D6B" w:rsidRPr="00683965">
        <w:rPr>
          <w:rFonts w:ascii="Gotham" w:eastAsia="Times New Roman" w:hAnsi="Gotham" w:cs="Times New Roman"/>
          <w:color w:val="000000"/>
          <w:sz w:val="18"/>
          <w:szCs w:val="18"/>
        </w:rPr>
        <w:t>o oficial "Gaceta del Gobierno"</w:t>
      </w:r>
      <w:r w:rsidRPr="00683965">
        <w:rPr>
          <w:rFonts w:ascii="Gotham" w:eastAsia="Times New Roman" w:hAnsi="Gotham" w:cs="Times New Roman"/>
          <w:color w:val="000000"/>
          <w:sz w:val="18"/>
          <w:szCs w:val="18"/>
        </w:rPr>
        <w:t xml:space="preserve">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Secretaría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14:paraId="420A76A0" w14:textId="44B17C21" w:rsidR="00040B09" w:rsidRPr="00683965" w:rsidRDefault="00040B09" w:rsidP="00040B09">
      <w:pPr>
        <w:spacing w:after="160"/>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Cabe señalar que</w:t>
      </w:r>
      <w:r w:rsidR="00266D6B" w:rsidRPr="00683965">
        <w:rPr>
          <w:rFonts w:ascii="Gotham" w:eastAsia="Times New Roman" w:hAnsi="Gotham" w:cs="Times New Roman"/>
          <w:color w:val="000000"/>
          <w:sz w:val="18"/>
          <w:szCs w:val="18"/>
        </w:rPr>
        <w:t>,</w:t>
      </w:r>
      <w:r w:rsidRPr="00683965">
        <w:rPr>
          <w:rFonts w:ascii="Gotham" w:eastAsia="Times New Roman" w:hAnsi="Gotham" w:cs="Times New Roman"/>
          <w:color w:val="000000"/>
          <w:sz w:val="18"/>
          <w:szCs w:val="18"/>
        </w:rPr>
        <w:t xml:space="preserve"> hasta diciembre de 2007 la función registral era atendida por la Dirección General del Registro Público de la Propiedad, adscrita a la Secretaría General de Gobierno; sin e</w:t>
      </w:r>
      <w:r w:rsidR="00266D6B" w:rsidRPr="00683965">
        <w:rPr>
          <w:rFonts w:ascii="Gotham" w:eastAsia="Times New Roman" w:hAnsi="Gotham" w:cs="Times New Roman"/>
          <w:color w:val="000000"/>
          <w:sz w:val="18"/>
          <w:szCs w:val="18"/>
        </w:rPr>
        <w:t>mbargo, con la entrada en vigor el 2 de enero de 2008</w:t>
      </w:r>
      <w:r w:rsidRPr="00683965">
        <w:rPr>
          <w:rFonts w:ascii="Gotham" w:eastAsia="Times New Roman" w:hAnsi="Gotham" w:cs="Times New Roman"/>
          <w:color w:val="000000"/>
          <w:sz w:val="18"/>
          <w:szCs w:val="18"/>
        </w:rPr>
        <w:t xml:space="preserve"> de la Ley que Crea el Instituto de la Función Registral del Estado de México, los recursos humanos, materiales y financieros con los que venía operando esa unidad administrativa</w:t>
      </w:r>
      <w:r w:rsidR="00266D6B" w:rsidRPr="00683965">
        <w:rPr>
          <w:rFonts w:ascii="Gotham" w:eastAsia="Times New Roman" w:hAnsi="Gotham" w:cs="Times New Roman"/>
          <w:color w:val="000000"/>
          <w:sz w:val="18"/>
          <w:szCs w:val="18"/>
        </w:rPr>
        <w:t>,</w:t>
      </w:r>
      <w:r w:rsidRPr="00683965">
        <w:rPr>
          <w:rFonts w:ascii="Gotham" w:eastAsia="Times New Roman" w:hAnsi="Gotham" w:cs="Times New Roman"/>
          <w:color w:val="000000"/>
          <w:sz w:val="18"/>
          <w:szCs w:val="18"/>
        </w:rPr>
        <w:t xml:space="preserve"> fueron transferidos al citado Organismo Descentralizado.</w:t>
      </w:r>
    </w:p>
    <w:p w14:paraId="41A08A93" w14:textId="1AD7C0A4" w:rsidR="00040B09" w:rsidRPr="00683965" w:rsidRDefault="00040B09" w:rsidP="00040B09">
      <w:pPr>
        <w:spacing w:after="160"/>
        <w:jc w:val="both"/>
        <w:rPr>
          <w:rFonts w:ascii="Gotham" w:eastAsia="Times New Roman" w:hAnsi="Gotham" w:cs="Times New Roman"/>
          <w:color w:val="000000"/>
          <w:sz w:val="18"/>
          <w:szCs w:val="18"/>
        </w:rPr>
      </w:pPr>
    </w:p>
    <w:p w14:paraId="62061D3B" w14:textId="77777777" w:rsidR="00040B09" w:rsidRPr="00683965" w:rsidRDefault="00040B09" w:rsidP="00040B09">
      <w:pPr>
        <w:spacing w:after="160"/>
        <w:jc w:val="both"/>
        <w:rPr>
          <w:rFonts w:ascii="Gotham" w:eastAsia="Times New Roman" w:hAnsi="Gotham" w:cs="Times New Roman"/>
          <w:sz w:val="18"/>
          <w:szCs w:val="18"/>
        </w:rPr>
      </w:pPr>
    </w:p>
    <w:p w14:paraId="2675C140" w14:textId="77777777"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lastRenderedPageBreak/>
        <w:t>Asimismo, se subrogaron al Instituto de la Función Registral del Estado de México, los derechos y obligaciones de la Dirección General del Registro Público de la Propiedad de la Secretaría General de Gobierno.</w:t>
      </w:r>
    </w:p>
    <w:p w14:paraId="0E838806" w14:textId="5A5C49F7"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A fin de dar cumplimiento al objeto y atribuciones conferidas al Instituto de la Función Registral del Estado de México, est</w:t>
      </w:r>
      <w:r w:rsidR="00266D6B" w:rsidRPr="00683965">
        <w:rPr>
          <w:rFonts w:ascii="Gotham" w:eastAsia="Times New Roman" w:hAnsi="Gotham" w:cs="Times New Roman"/>
          <w:color w:val="000000"/>
          <w:sz w:val="18"/>
          <w:szCs w:val="18"/>
        </w:rPr>
        <w:t>ablecidas en su ley de creación</w:t>
      </w:r>
      <w:r w:rsidRPr="00683965">
        <w:rPr>
          <w:rFonts w:ascii="Gotham" w:eastAsia="Times New Roman" w:hAnsi="Gotham" w:cs="Times New Roman"/>
          <w:color w:val="000000"/>
          <w:sz w:val="18"/>
          <w:szCs w:val="18"/>
        </w:rPr>
        <w:t xml:space="preserve"> y con el propó</w:t>
      </w:r>
      <w:r w:rsidR="00266D6B" w:rsidRPr="00683965">
        <w:rPr>
          <w:rFonts w:ascii="Gotham" w:eastAsia="Times New Roman" w:hAnsi="Gotham" w:cs="Times New Roman"/>
          <w:color w:val="000000"/>
          <w:sz w:val="18"/>
          <w:szCs w:val="18"/>
        </w:rPr>
        <w:t>sito de fortalecer al Organismo,</w:t>
      </w:r>
      <w:r w:rsidRPr="00683965">
        <w:rPr>
          <w:rFonts w:ascii="Gotham" w:eastAsia="Times New Roman" w:hAnsi="Gotham" w:cs="Times New Roman"/>
          <w:color w:val="000000"/>
          <w:sz w:val="18"/>
          <w:szCs w:val="18"/>
        </w:rPr>
        <w:t xml:space="preserve">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14:paraId="67060480" w14:textId="77777777"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14:paraId="6CE796C9" w14:textId="77777777"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 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w:t>
      </w:r>
    </w:p>
    <w:p w14:paraId="0B9099A1" w14:textId="77777777"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14:paraId="45626BA9" w14:textId="77777777"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14:paraId="6BC918BF" w14:textId="77777777" w:rsidR="00040B09" w:rsidRPr="00683965" w:rsidRDefault="00040B09" w:rsidP="00040B09">
      <w:pPr>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El 13 de septiembre de 2017, se publicó en el Periódico Oficial "Gaceta del Gobierno" el Decreto No. 244 por el que se reforman diversas disposiciones, entre otras, la Ley que Crea el Organismo Público Descentralizado 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14:paraId="1CC735E0" w14:textId="00D2573B" w:rsidR="00040B09" w:rsidRPr="00683965" w:rsidRDefault="00040B09" w:rsidP="00040B09">
      <w:pPr>
        <w:rPr>
          <w:rFonts w:ascii="Gotham" w:eastAsia="Times New Roman" w:hAnsi="Gotham" w:cs="Times New Roman"/>
          <w:sz w:val="18"/>
          <w:szCs w:val="18"/>
        </w:rPr>
      </w:pPr>
    </w:p>
    <w:p w14:paraId="216A87CD" w14:textId="77777777" w:rsidR="00040B09" w:rsidRPr="00683965" w:rsidRDefault="00040B09" w:rsidP="00040B09">
      <w:pPr>
        <w:numPr>
          <w:ilvl w:val="0"/>
          <w:numId w:val="11"/>
        </w:numPr>
        <w:spacing w:after="160"/>
        <w:jc w:val="both"/>
        <w:textAlignment w:val="baseline"/>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Organización y Objeto Social</w:t>
      </w:r>
    </w:p>
    <w:p w14:paraId="4AD0BAD0" w14:textId="6DDD1664" w:rsidR="00D260A7" w:rsidRDefault="00040B09" w:rsidP="00040B09">
      <w:pPr>
        <w:spacing w:after="160"/>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La máxima autoridad del Instituto de la Función Registral del Estado de México, está a cargo del Consejo Directivo. La administración del Instituto de la Función Registral del Estado de México, está a cargo de un Director</w:t>
      </w:r>
      <w:r w:rsidR="00D260A7">
        <w:rPr>
          <w:rFonts w:ascii="Gotham" w:eastAsia="Times New Roman" w:hAnsi="Gotham" w:cs="Times New Roman"/>
          <w:color w:val="000000"/>
          <w:sz w:val="18"/>
          <w:szCs w:val="18"/>
        </w:rPr>
        <w:t xml:space="preserve"> </w:t>
      </w:r>
      <w:r w:rsidRPr="00683965">
        <w:rPr>
          <w:rFonts w:ascii="Gotham" w:eastAsia="Times New Roman" w:hAnsi="Gotham" w:cs="Times New Roman"/>
          <w:color w:val="000000"/>
          <w:sz w:val="18"/>
          <w:szCs w:val="18"/>
        </w:rPr>
        <w:t>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que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14:paraId="1E44FDAB" w14:textId="77777777" w:rsidR="00D97423" w:rsidRDefault="00D97423" w:rsidP="00040B09">
      <w:pPr>
        <w:spacing w:after="160"/>
        <w:jc w:val="both"/>
        <w:rPr>
          <w:rFonts w:ascii="Gotham" w:eastAsia="Times New Roman" w:hAnsi="Gotham" w:cs="Times New Roman"/>
          <w:color w:val="000000"/>
          <w:sz w:val="18"/>
          <w:szCs w:val="18"/>
        </w:rPr>
      </w:pPr>
    </w:p>
    <w:p w14:paraId="1DBD321C" w14:textId="77777777" w:rsidR="00D97423" w:rsidRDefault="00D97423" w:rsidP="00040B09">
      <w:pPr>
        <w:spacing w:after="160"/>
        <w:jc w:val="both"/>
        <w:rPr>
          <w:rFonts w:ascii="Gotham" w:eastAsia="Times New Roman" w:hAnsi="Gotham" w:cs="Times New Roman"/>
          <w:color w:val="000000"/>
          <w:sz w:val="18"/>
          <w:szCs w:val="18"/>
        </w:rPr>
      </w:pPr>
    </w:p>
    <w:p w14:paraId="4BA857D7" w14:textId="77777777" w:rsidR="00D97423" w:rsidRPr="00D260A7" w:rsidRDefault="00D97423" w:rsidP="00040B09">
      <w:pPr>
        <w:spacing w:after="160"/>
        <w:jc w:val="both"/>
        <w:rPr>
          <w:rFonts w:ascii="Gotham" w:eastAsia="Times New Roman" w:hAnsi="Gotham" w:cs="Times New Roman"/>
          <w:color w:val="000000"/>
          <w:sz w:val="18"/>
          <w:szCs w:val="18"/>
        </w:rPr>
      </w:pPr>
    </w:p>
    <w:p w14:paraId="0A165833" w14:textId="758255B0"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lastRenderedPageBreak/>
        <w:t xml:space="preserve">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 El Organigrama se puede consultar en la siguiente liga: </w:t>
      </w:r>
      <w:hyperlink r:id="rId24" w:history="1">
        <w:r w:rsidRPr="00683965">
          <w:rPr>
            <w:rFonts w:ascii="Gotham" w:eastAsia="Times New Roman" w:hAnsi="Gotham" w:cs="Times New Roman"/>
            <w:color w:val="000000"/>
            <w:sz w:val="18"/>
            <w:szCs w:val="18"/>
            <w:u w:val="single"/>
          </w:rPr>
          <w:t>http://ifrem.edomex.gob.mx/organigrama</w:t>
        </w:r>
      </w:hyperlink>
      <w:r w:rsidRPr="00683965">
        <w:rPr>
          <w:rFonts w:ascii="Gotham" w:eastAsia="Times New Roman" w:hAnsi="Gotham" w:cs="Times New Roman"/>
          <w:color w:val="000000"/>
          <w:sz w:val="18"/>
          <w:szCs w:val="18"/>
        </w:rPr>
        <w:t>.</w:t>
      </w:r>
    </w:p>
    <w:p w14:paraId="4B6C5581" w14:textId="143EC021" w:rsidR="00D260A7" w:rsidRPr="00D97423" w:rsidRDefault="00040B09" w:rsidP="00040B09">
      <w:pPr>
        <w:spacing w:after="160"/>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El Instituto, para el cumplimiento de su objeto, tendrá las atribuciones que se mencionan en su Decreto de creación publicado en el Periódico Oficial Gaceta del Gobierno.</w:t>
      </w:r>
    </w:p>
    <w:p w14:paraId="08BC2B46" w14:textId="77777777" w:rsidR="00040B09" w:rsidRPr="00683965" w:rsidRDefault="00040B09" w:rsidP="00040B09">
      <w:pPr>
        <w:spacing w:after="160"/>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El Instituto como patrón sustituto del personal que laboró hasta el 31 de diciembre de 2007, en la Dirección de Registro Público de la Propiedad y del Comercio asumió los derechos laborales devengados de los trabajadores contratados y del personal, el Manual Único de Contabilidad Gubernamental para las Dependencias y Entidades Públicas del Gobierno y Municipios del Estado de México, no considera provisiones para contingencias por las eventuales indemnizaciones y compensaciones que tenga que pagar a su personal incluso a favor de terceros, la administración del Instituto estima que de presentarse esta obligación, se solicitará el monto correspondiente al área jurídica. Por lo tanto, cuando se tenga la documentación soporte de cualquier resolución judicial o cualquier otra derivada de las relaciones laborales, se dará la suficiencia presupuestal y se creará el pasivo correspondiente, mismo que se deberá cancelar con el pago en el mismo ejercicio fiscal.</w:t>
      </w:r>
    </w:p>
    <w:p w14:paraId="10CBE48F" w14:textId="77777777" w:rsidR="00040B09" w:rsidRPr="00683965" w:rsidRDefault="00040B09" w:rsidP="00040B09">
      <w:pPr>
        <w:numPr>
          <w:ilvl w:val="0"/>
          <w:numId w:val="12"/>
        </w:numPr>
        <w:jc w:val="both"/>
        <w:textAlignment w:val="baseline"/>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Bases preparación de los Estados Financieros</w:t>
      </w:r>
    </w:p>
    <w:p w14:paraId="790C0947" w14:textId="77777777" w:rsidR="00040B09" w:rsidRPr="00683965" w:rsidRDefault="00040B09" w:rsidP="00040B09">
      <w:pPr>
        <w:rPr>
          <w:rFonts w:ascii="Gotham" w:eastAsia="Times New Roman" w:hAnsi="Gotham" w:cs="Times New Roman"/>
          <w:sz w:val="18"/>
          <w:szCs w:val="18"/>
        </w:rPr>
      </w:pPr>
    </w:p>
    <w:p w14:paraId="5DCCE5FF" w14:textId="77777777" w:rsidR="00040B09" w:rsidRPr="00683965" w:rsidRDefault="00040B09" w:rsidP="00040B09">
      <w:pPr>
        <w:spacing w:after="101"/>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Los Estados Financieros que se acompañan, fueron preparados observando la normatividad emitida por el CONAC y las disposiciones legales aplicables, con base en el Manual Único de Contabilidad Gubernamental para las Dependencias y Entidades del Gobierno y Municipios del Estado de México, vigente para el presente ejercicio fiscal, publicado en la “Gaceta del Gobierno”, aplicable a los Organismos Auxiliares del Gobierno del Estado de México, para efectos de la Ley para la Coordinación y Control de Organismos Auxiliares.</w:t>
      </w:r>
    </w:p>
    <w:p w14:paraId="18A0558F" w14:textId="77777777"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Con base en dicho manual, en este ejercicio se han realizado las adecuaciones de presentación necesarias para estas notas. Así mismo, la información se elaboró conforme a las normas, criterios y principios técnicos y las disposiciones legales aplicables, obedeciendo a las mejores prácticas contables, se incluye lo correspondiente a las normas y lineamientos emitidos por el Consejo Nacional de Armonización Contable (CONAC); publicados el 13 de octubre de 2014, en el Periódico Oficial del Gobierno del Estado de México, denominado “Gaceta del Gobierno”.</w:t>
      </w:r>
    </w:p>
    <w:p w14:paraId="59FF1455" w14:textId="77777777"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14:paraId="29BBE25D" w14:textId="45D34416" w:rsidR="00040B09" w:rsidRDefault="00040B09" w:rsidP="00040B09">
      <w:pPr>
        <w:spacing w:after="160"/>
        <w:jc w:val="both"/>
        <w:rPr>
          <w:rFonts w:ascii="Gotham" w:eastAsia="Times New Roman" w:hAnsi="Gotham" w:cs="Times New Roman"/>
          <w:i/>
          <w:iCs/>
          <w:color w:val="000000"/>
          <w:sz w:val="18"/>
          <w:szCs w:val="18"/>
        </w:rPr>
      </w:pPr>
      <w:r w:rsidRPr="00683965">
        <w:rPr>
          <w:rFonts w:ascii="Gotham" w:eastAsia="Times New Roman" w:hAnsi="Gotham" w:cs="Times New Roman"/>
          <w:color w:val="000000"/>
          <w:sz w:val="18"/>
          <w:szCs w:val="18"/>
        </w:rPr>
        <w:t>El 26 de octubre de 2018, el Consejo Nacional de Armonización Contable con fundamento en los artículos 6, 7, 9 y 14 de la Ley General de Contabilidad Gubernamental, aprobó los siguientes: “</w:t>
      </w:r>
      <w:r w:rsidRPr="00683965">
        <w:rPr>
          <w:rFonts w:ascii="Gotham" w:eastAsia="Times New Roman" w:hAnsi="Gotham" w:cs="Times New Roman"/>
          <w:b/>
          <w:bCs/>
          <w:color w:val="000000"/>
          <w:sz w:val="18"/>
          <w:szCs w:val="18"/>
        </w:rPr>
        <w:t xml:space="preserve">Acuerdo por el que se reforman y adicionan las Normas y Metodología para la Determinación de los Momentos Contables de los Ingresos”, </w:t>
      </w:r>
      <w:r w:rsidRPr="00683965">
        <w:rPr>
          <w:rFonts w:ascii="Gotham" w:eastAsia="Times New Roman" w:hAnsi="Gotham" w:cs="Times New Roman"/>
          <w:color w:val="000000"/>
          <w:sz w:val="18"/>
          <w:szCs w:val="18"/>
        </w:rPr>
        <w:t>así como</w:t>
      </w:r>
      <w:r w:rsidRPr="00683965">
        <w:rPr>
          <w:rFonts w:ascii="Gotham" w:eastAsia="Times New Roman" w:hAnsi="Gotham" w:cs="Times New Roman"/>
          <w:b/>
          <w:bCs/>
          <w:color w:val="000000"/>
          <w:sz w:val="18"/>
          <w:szCs w:val="18"/>
        </w:rPr>
        <w:t xml:space="preserve">; el Acuerdo por el que se reforma y adiciona el Manual de Contabilidad Gubernamental. </w:t>
      </w:r>
      <w:r w:rsidRPr="00683965">
        <w:rPr>
          <w:rFonts w:ascii="Gotham" w:eastAsia="Times New Roman" w:hAnsi="Gotham" w:cs="Times New Roman"/>
          <w:b/>
          <w:bCs/>
          <w:i/>
          <w:iCs/>
          <w:color w:val="000000"/>
          <w:sz w:val="18"/>
          <w:szCs w:val="18"/>
        </w:rPr>
        <w:t>“</w:t>
      </w:r>
      <w:r w:rsidRPr="00683965">
        <w:rPr>
          <w:rFonts w:ascii="Gotham" w:eastAsia="Times New Roman" w:hAnsi="Gotham" w:cs="Times New Roman"/>
          <w:i/>
          <w:iCs/>
          <w:color w:val="000000"/>
          <w:sz w:val="18"/>
          <w:szCs w:val="18"/>
        </w:rPr>
        <w:t>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DE MEMORIA (CUENTAS DE ORDEN) y reforma segundo párrafo de la Finalidad del “Estado Analítico de Ingresos”, respecto al avance que se registra en las cuentas de orden presupuestarias previo al cierre presupuestario de cada periodo que se reporte”:</w:t>
      </w:r>
    </w:p>
    <w:p w14:paraId="09B0E4E5" w14:textId="77777777" w:rsidR="00D97423" w:rsidRPr="00683965" w:rsidRDefault="00D97423" w:rsidP="00040B09">
      <w:pPr>
        <w:spacing w:after="160"/>
        <w:jc w:val="both"/>
        <w:rPr>
          <w:rFonts w:ascii="Gotham" w:eastAsia="Times New Roman" w:hAnsi="Gotham" w:cs="Times New Roman"/>
          <w:i/>
          <w:iCs/>
          <w:color w:val="000000"/>
          <w:sz w:val="18"/>
          <w:szCs w:val="18"/>
        </w:rPr>
      </w:pPr>
    </w:p>
    <w:p w14:paraId="7C72B8DC" w14:textId="6249E03C" w:rsidR="00D260A7" w:rsidRPr="00D97423" w:rsidRDefault="00040B09" w:rsidP="00040B09">
      <w:pPr>
        <w:spacing w:after="160"/>
        <w:jc w:val="both"/>
        <w:rPr>
          <w:rFonts w:ascii="Gotham" w:eastAsia="Times New Roman" w:hAnsi="Gotham" w:cs="Times New Roman"/>
          <w:i/>
          <w:iCs/>
          <w:color w:val="000000"/>
          <w:sz w:val="18"/>
          <w:szCs w:val="18"/>
        </w:rPr>
      </w:pPr>
      <w:r w:rsidRPr="00683965">
        <w:rPr>
          <w:rFonts w:ascii="Gotham" w:eastAsia="Times New Roman" w:hAnsi="Gotham" w:cs="Times New Roman"/>
          <w:b/>
          <w:bCs/>
          <w:color w:val="000000"/>
          <w:sz w:val="18"/>
          <w:szCs w:val="18"/>
        </w:rPr>
        <w:lastRenderedPageBreak/>
        <w:t>Acuerdo por el que se reforman los Criterios para la elaboración y presentación homogénea de la información financiera y de los formatos a que hace referencia la Ley de Disciplina Financiera de las Entidades Federativas y los Municipios Políticas de Contabilidad Significativas”.</w:t>
      </w:r>
      <w:r w:rsidRPr="00683965">
        <w:rPr>
          <w:rFonts w:ascii="Gotham" w:eastAsia="Times New Roman" w:hAnsi="Gotham" w:cs="Times New Roman"/>
          <w:color w:val="000000"/>
          <w:sz w:val="18"/>
          <w:szCs w:val="18"/>
        </w:rPr>
        <w:t xml:space="preserve"> </w:t>
      </w:r>
      <w:r w:rsidRPr="00683965">
        <w:rPr>
          <w:rFonts w:ascii="Gotham" w:eastAsia="Times New Roman" w:hAnsi="Gotham" w:cs="Times New Roman"/>
          <w:i/>
          <w:iCs/>
          <w:color w:val="000000"/>
          <w:sz w:val="18"/>
          <w:szCs w:val="18"/>
        </w:rPr>
        <w:t>Se reforman en los formatos 5 Estado Analítico de Ingresos Detallado – LDF, 7 a) Proyecciones de Ingresos – LDF y 7 c) Resultados de Ingresos – LDF, los incisos G y J de “Ingresos de Libre Disposición” y el inciso D de las “Transferencias Federales Etiquetadas”.</w:t>
      </w:r>
    </w:p>
    <w:p w14:paraId="02235032" w14:textId="77777777"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b/>
          <w:bCs/>
          <w:color w:val="000000"/>
          <w:sz w:val="18"/>
          <w:szCs w:val="18"/>
        </w:rPr>
        <w:t xml:space="preserve">“Acuerdo por el que se reforma y adiciona el Formato de Conciliación entre los Ingresos Presupuestarios y Contables, así como entre los Egresos Presupuestarios y los Gastos Contables”. </w:t>
      </w:r>
      <w:r w:rsidRPr="00683965">
        <w:rPr>
          <w:rFonts w:ascii="Gotham" w:eastAsia="Times New Roman" w:hAnsi="Gotham" w:cs="Times New Roman"/>
          <w:i/>
          <w:iCs/>
          <w:color w:val="000000"/>
          <w:sz w:val="18"/>
          <w:szCs w:val="18"/>
        </w:rPr>
        <w:t>“Se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Total,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w:t>
      </w:r>
    </w:p>
    <w:p w14:paraId="1FC835E1" w14:textId="77777777" w:rsidR="00040B09" w:rsidRPr="00683965" w:rsidRDefault="00040B09" w:rsidP="001C69E8">
      <w:pPr>
        <w:spacing w:after="160"/>
        <w:jc w:val="both"/>
        <w:rPr>
          <w:rFonts w:ascii="Gotham" w:eastAsia="Times New Roman" w:hAnsi="Gotham" w:cs="Times New Roman"/>
          <w:sz w:val="18"/>
          <w:szCs w:val="18"/>
        </w:rPr>
      </w:pPr>
      <w:r w:rsidRPr="00683965">
        <w:rPr>
          <w:rFonts w:ascii="Gotham" w:eastAsia="Times New Roman" w:hAnsi="Gotham" w:cs="Times New Roman"/>
          <w:b/>
          <w:bCs/>
          <w:color w:val="000000"/>
          <w:sz w:val="18"/>
          <w:szCs w:val="18"/>
        </w:rPr>
        <w:t>“Acuerdo por el que se reforma el Clasificador por Rubros de Ingresos”. “</w:t>
      </w:r>
      <w:r w:rsidRPr="00683965">
        <w:rPr>
          <w:rFonts w:ascii="Gotham" w:eastAsia="Times New Roman" w:hAnsi="Gotham" w:cs="Times New Roman"/>
          <w:i/>
          <w:iCs/>
          <w:color w:val="000000"/>
          <w:sz w:val="18"/>
          <w:szCs w:val="18"/>
        </w:rPr>
        <w:t>Se reforman el párrafo sexto de antecedentes y el párrafo catorce del punto A. ASPECTOS GENERALES”.</w:t>
      </w:r>
    </w:p>
    <w:p w14:paraId="5EC7B68E" w14:textId="77777777" w:rsidR="00040B09" w:rsidRPr="00683965" w:rsidRDefault="00040B09" w:rsidP="001C69E8">
      <w:pPr>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Cabe mencionar que, en cumplimiento a los acuerdos referidos anteriormente, a partir de marzo de 2019, se envía la información en pesos, en los formatos del CONAC, con la finalidad de facilitar la fiscalización de los activos, pasivos, ingresos, egresos y, en general, que posibilite medir la eficacia del gasto público y contener las medidas de control interno que permitan verificar el registro de la totalidad de las operaciones financieras.</w:t>
      </w:r>
    </w:p>
    <w:p w14:paraId="2EB350CF" w14:textId="2814D71C" w:rsidR="00040B09" w:rsidRPr="00683965" w:rsidRDefault="00040B09" w:rsidP="001C69E8">
      <w:pPr>
        <w:jc w:val="both"/>
        <w:rPr>
          <w:rFonts w:ascii="Gotham" w:eastAsia="Times New Roman" w:hAnsi="Gotham" w:cs="Times New Roman"/>
          <w:sz w:val="18"/>
          <w:szCs w:val="18"/>
        </w:rPr>
      </w:pPr>
    </w:p>
    <w:p w14:paraId="302FEC44" w14:textId="77777777" w:rsidR="00040B09" w:rsidRPr="00683965" w:rsidRDefault="00040B09" w:rsidP="00040B09">
      <w:pPr>
        <w:numPr>
          <w:ilvl w:val="0"/>
          <w:numId w:val="13"/>
        </w:numPr>
        <w:spacing w:after="160"/>
        <w:jc w:val="both"/>
        <w:textAlignment w:val="baseline"/>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Políticas de Contabilidad Significativas</w:t>
      </w:r>
    </w:p>
    <w:p w14:paraId="3987C917" w14:textId="77777777" w:rsidR="00040B09" w:rsidRPr="00683965" w:rsidRDefault="00040B09" w:rsidP="00040B09">
      <w:pPr>
        <w:numPr>
          <w:ilvl w:val="0"/>
          <w:numId w:val="23"/>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Los Estados Financieros se preparan tomando como base los Postulados Básicos de Contabilidad Gubernamental.</w:t>
      </w:r>
    </w:p>
    <w:p w14:paraId="293A4FC6" w14:textId="77777777" w:rsidR="00040B09" w:rsidRPr="00683965" w:rsidRDefault="00040B09" w:rsidP="00040B09">
      <w:pPr>
        <w:numPr>
          <w:ilvl w:val="0"/>
          <w:numId w:val="23"/>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14:paraId="3D131F4B" w14:textId="77777777" w:rsidR="00040B09" w:rsidRPr="00683965" w:rsidRDefault="00040B09" w:rsidP="00040B09">
      <w:pPr>
        <w:numPr>
          <w:ilvl w:val="0"/>
          <w:numId w:val="23"/>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14:paraId="21A45B36" w14:textId="77777777" w:rsidR="00040B09" w:rsidRPr="00683965" w:rsidRDefault="00040B09" w:rsidP="00040B09">
      <w:pPr>
        <w:numPr>
          <w:ilvl w:val="0"/>
          <w:numId w:val="23"/>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La información de obra pública se clasifica en Obras en Proceso y Gasto Ejercido; y Obras Concluidas y su Costo. Así como la información de la nómina: Plantilla de personal.</w:t>
      </w:r>
    </w:p>
    <w:p w14:paraId="394BEDBA" w14:textId="77777777" w:rsidR="00040B09" w:rsidRPr="00683965" w:rsidRDefault="00040B09" w:rsidP="00040B09">
      <w:pPr>
        <w:numPr>
          <w:ilvl w:val="0"/>
          <w:numId w:val="23"/>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Respecto a la clasificación del pasivo, se considerará a corto plazo el que vence dentro del ejercicio fiscal correspondiente y, a largo plazo el que venza en ejercicios fiscales posteriores al que corresponda la información.</w:t>
      </w:r>
    </w:p>
    <w:p w14:paraId="42912046" w14:textId="5188A6DA" w:rsidR="00040B09" w:rsidRDefault="00040B09" w:rsidP="00040B09">
      <w:pPr>
        <w:numPr>
          <w:ilvl w:val="0"/>
          <w:numId w:val="23"/>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14:paraId="0722B119" w14:textId="77777777" w:rsidR="00D97423" w:rsidRDefault="00D97423" w:rsidP="00D97423">
      <w:pPr>
        <w:spacing w:after="160"/>
        <w:jc w:val="both"/>
        <w:textAlignment w:val="baseline"/>
        <w:rPr>
          <w:rFonts w:ascii="Gotham" w:eastAsia="Times New Roman" w:hAnsi="Gotham" w:cs="Times New Roman"/>
          <w:color w:val="000000"/>
          <w:sz w:val="18"/>
          <w:szCs w:val="18"/>
        </w:rPr>
      </w:pPr>
    </w:p>
    <w:p w14:paraId="251FF793" w14:textId="77777777" w:rsidR="00D97423" w:rsidRPr="00074ABC" w:rsidRDefault="00D97423" w:rsidP="00D97423">
      <w:pPr>
        <w:spacing w:after="160"/>
        <w:jc w:val="both"/>
        <w:textAlignment w:val="baseline"/>
        <w:rPr>
          <w:rFonts w:ascii="Gotham" w:eastAsia="Times New Roman" w:hAnsi="Gotham" w:cs="Times New Roman"/>
          <w:color w:val="000000"/>
          <w:sz w:val="18"/>
          <w:szCs w:val="18"/>
        </w:rPr>
      </w:pPr>
    </w:p>
    <w:p w14:paraId="5E5EE112" w14:textId="77777777" w:rsidR="00040B09" w:rsidRPr="00683965" w:rsidRDefault="00040B09" w:rsidP="00040B09">
      <w:pPr>
        <w:numPr>
          <w:ilvl w:val="0"/>
          <w:numId w:val="23"/>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lastRenderedPageBreak/>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14:paraId="7C0B7F00" w14:textId="181AFC59" w:rsidR="00074ABC" w:rsidRDefault="00040B09" w:rsidP="00074ABC">
      <w:pPr>
        <w:numPr>
          <w:ilvl w:val="0"/>
          <w:numId w:val="23"/>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14:paraId="2E4FB694" w14:textId="77777777" w:rsidR="00074ABC" w:rsidRPr="00074ABC" w:rsidRDefault="00074ABC" w:rsidP="00074ABC">
      <w:pPr>
        <w:spacing w:after="160"/>
        <w:ind w:left="720"/>
        <w:jc w:val="both"/>
        <w:textAlignment w:val="baseline"/>
        <w:rPr>
          <w:rFonts w:ascii="Gotham" w:eastAsia="Times New Roman" w:hAnsi="Gotham" w:cs="Times New Roman"/>
          <w:color w:val="000000"/>
          <w:sz w:val="18"/>
          <w:szCs w:val="18"/>
        </w:rPr>
      </w:pPr>
    </w:p>
    <w:p w14:paraId="439D6EF8" w14:textId="77777777" w:rsidR="00040B09" w:rsidRPr="00683965" w:rsidRDefault="00040B09" w:rsidP="00040B09">
      <w:pPr>
        <w:numPr>
          <w:ilvl w:val="0"/>
          <w:numId w:val="23"/>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14:paraId="09B6F6CA" w14:textId="77777777" w:rsidR="00040B09" w:rsidRPr="00683965" w:rsidRDefault="00040B09" w:rsidP="00040B09">
      <w:pPr>
        <w:numPr>
          <w:ilvl w:val="0"/>
          <w:numId w:val="23"/>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Las existencias del almacén se valúan a costo promedio y se afectará tanto el resultado del ejercicio como el presupuesto de egresos en el momento en que el gasto se considere devengado, en términos de lo dispuesto por el Postulado Básico de Contabilidad Gubernamental; por otro lado, las existencias se controlarán en cuentas de orden.</w:t>
      </w:r>
    </w:p>
    <w:p w14:paraId="4B265CED" w14:textId="77777777" w:rsidR="00040B09" w:rsidRPr="00683965" w:rsidRDefault="00040B09" w:rsidP="00040B09">
      <w:pPr>
        <w:numPr>
          <w:ilvl w:val="0"/>
          <w:numId w:val="14"/>
        </w:numPr>
        <w:spacing w:after="160"/>
        <w:jc w:val="both"/>
        <w:textAlignment w:val="baseline"/>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Posición en Moneda Extranjera y Protección por Riesgo Cambiario</w:t>
      </w:r>
    </w:p>
    <w:p w14:paraId="19C7DD1F" w14:textId="5A942B4A" w:rsidR="00040B09" w:rsidRPr="00683965" w:rsidRDefault="00040B09" w:rsidP="00040B09">
      <w:pPr>
        <w:spacing w:after="101"/>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Los estados financieros antes mencionados se presentan en moneda de informe peso mexicano, que es igual a la moneda de registro y a su moneda funcional; por lo tanto, este punto no es aplicable para la entidad.</w:t>
      </w:r>
    </w:p>
    <w:p w14:paraId="014D8D67" w14:textId="77777777" w:rsidR="00194155" w:rsidRPr="00683965" w:rsidRDefault="00194155" w:rsidP="00040B09">
      <w:pPr>
        <w:spacing w:after="101"/>
        <w:jc w:val="both"/>
        <w:rPr>
          <w:rFonts w:ascii="Gotham" w:eastAsia="Times New Roman" w:hAnsi="Gotham" w:cs="Times New Roman"/>
          <w:color w:val="000000"/>
          <w:sz w:val="18"/>
          <w:szCs w:val="18"/>
        </w:rPr>
      </w:pPr>
    </w:p>
    <w:p w14:paraId="3E1CEFD9" w14:textId="77777777" w:rsidR="00040B09" w:rsidRPr="00683965" w:rsidRDefault="00040B09" w:rsidP="00040B09">
      <w:pPr>
        <w:numPr>
          <w:ilvl w:val="0"/>
          <w:numId w:val="15"/>
        </w:numPr>
        <w:spacing w:after="160"/>
        <w:jc w:val="both"/>
        <w:textAlignment w:val="baseline"/>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Reporte Analítico del Activo</w:t>
      </w:r>
    </w:p>
    <w:p w14:paraId="772A2441" w14:textId="77777777" w:rsidR="00040B09" w:rsidRPr="00683965" w:rsidRDefault="00040B09" w:rsidP="00040B09">
      <w:pPr>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En el “</w:t>
      </w:r>
      <w:r w:rsidRPr="00683965">
        <w:rPr>
          <w:rFonts w:ascii="Gotham" w:eastAsia="Times New Roman" w:hAnsi="Gotham" w:cs="Times New Roman"/>
          <w:b/>
          <w:bCs/>
          <w:color w:val="000000"/>
          <w:sz w:val="18"/>
          <w:szCs w:val="18"/>
        </w:rPr>
        <w:t xml:space="preserve">Estado Analítico del Activo”, </w:t>
      </w:r>
      <w:r w:rsidRPr="00683965">
        <w:rPr>
          <w:rFonts w:ascii="Gotham" w:eastAsia="Times New Roman" w:hAnsi="Gotham" w:cs="Times New Roman"/>
          <w:color w:val="000000"/>
          <w:sz w:val="18"/>
          <w:szCs w:val="18"/>
        </w:rPr>
        <w:t>se observa el comportamiento de los fondos, valores y bienes identificados y cuantificados en términos monetarios, que dispone el Instituto para realizar sus actividades, los cuales fueron comentados en párrafos anteriores y los</w:t>
      </w:r>
      <w:r w:rsidRPr="00683965">
        <w:rPr>
          <w:rFonts w:ascii="Gotham" w:eastAsia="Times New Roman" w:hAnsi="Gotham" w:cs="Times New Roman"/>
          <w:b/>
          <w:bCs/>
          <w:color w:val="000000"/>
          <w:sz w:val="18"/>
          <w:szCs w:val="18"/>
        </w:rPr>
        <w:t xml:space="preserve"> bienes muebles e inmuebles, </w:t>
      </w:r>
      <w:r w:rsidRPr="00683965">
        <w:rPr>
          <w:rFonts w:ascii="Gotham" w:eastAsia="Times New Roman" w:hAnsi="Gotham" w:cs="Times New Roman"/>
          <w:color w:val="000000"/>
          <w:sz w:val="18"/>
          <w:szCs w:val="18"/>
        </w:rPr>
        <w:t>como</w:t>
      </w:r>
      <w:r w:rsidRPr="00683965">
        <w:rPr>
          <w:rFonts w:ascii="Gotham" w:eastAsia="Times New Roman" w:hAnsi="Gotham" w:cs="Times New Roman"/>
          <w:b/>
          <w:bCs/>
          <w:color w:val="000000"/>
          <w:sz w:val="18"/>
          <w:szCs w:val="18"/>
        </w:rPr>
        <w:t xml:space="preserve"> </w:t>
      </w:r>
      <w:r w:rsidRPr="00683965">
        <w:rPr>
          <w:rFonts w:ascii="Gotham" w:eastAsia="Times New Roman" w:hAnsi="Gotham" w:cs="Times New Roman"/>
          <w:color w:val="000000"/>
          <w:sz w:val="18"/>
          <w:szCs w:val="18"/>
        </w:rPr>
        <w:t>se detallan a continuación:</w:t>
      </w:r>
    </w:p>
    <w:p w14:paraId="26BDDC4F" w14:textId="77777777" w:rsidR="00040B09" w:rsidRPr="00683965" w:rsidRDefault="00040B09" w:rsidP="00040B09">
      <w:pPr>
        <w:jc w:val="both"/>
        <w:rPr>
          <w:rFonts w:ascii="Gotham" w:eastAsia="Times New Roman" w:hAnsi="Gotham" w:cs="Times New Roman"/>
          <w:sz w:val="18"/>
          <w:szCs w:val="18"/>
        </w:rPr>
      </w:pPr>
    </w:p>
    <w:p w14:paraId="5CB97E91" w14:textId="77777777" w:rsidR="00040B09" w:rsidRPr="00683965" w:rsidRDefault="00040B09" w:rsidP="00040B09">
      <w:pPr>
        <w:jc w:val="center"/>
        <w:rPr>
          <w:rFonts w:ascii="Gotham" w:eastAsia="Times New Roman" w:hAnsi="Gotham" w:cs="Times New Roman"/>
          <w:sz w:val="18"/>
          <w:szCs w:val="18"/>
        </w:rPr>
      </w:pPr>
      <w:r w:rsidRPr="00683965">
        <w:rPr>
          <w:rFonts w:ascii="Gotham" w:hAnsi="Gotham"/>
          <w:noProof/>
          <w:sz w:val="18"/>
          <w:szCs w:val="18"/>
        </w:rPr>
        <w:drawing>
          <wp:inline distT="0" distB="0" distL="0" distR="0" wp14:anchorId="60ACD6DA" wp14:editId="7925C5D1">
            <wp:extent cx="4385945" cy="2552131"/>
            <wp:effectExtent l="0" t="0" r="0" b="635"/>
            <wp:docPr id="111449501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31522" cy="2578652"/>
                    </a:xfrm>
                    <a:prstGeom prst="rect">
                      <a:avLst/>
                    </a:prstGeom>
                    <a:noFill/>
                    <a:ln>
                      <a:noFill/>
                    </a:ln>
                  </pic:spPr>
                </pic:pic>
              </a:graphicData>
            </a:graphic>
          </wp:inline>
        </w:drawing>
      </w:r>
    </w:p>
    <w:p w14:paraId="262E16F6" w14:textId="77777777" w:rsidR="001C69E8" w:rsidRDefault="001C69E8" w:rsidP="00040B09">
      <w:pPr>
        <w:spacing w:after="160"/>
        <w:jc w:val="both"/>
        <w:rPr>
          <w:rFonts w:ascii="Gotham" w:eastAsia="Times New Roman" w:hAnsi="Gotham" w:cs="Times New Roman"/>
          <w:b/>
          <w:bCs/>
          <w:color w:val="000000"/>
          <w:sz w:val="18"/>
          <w:szCs w:val="18"/>
        </w:rPr>
      </w:pPr>
    </w:p>
    <w:p w14:paraId="22564B1B" w14:textId="77777777" w:rsidR="0008025B" w:rsidRDefault="0008025B" w:rsidP="00040B09">
      <w:pPr>
        <w:spacing w:after="160"/>
        <w:jc w:val="both"/>
        <w:rPr>
          <w:rFonts w:ascii="Gotham" w:eastAsia="Times New Roman" w:hAnsi="Gotham" w:cs="Times New Roman"/>
          <w:b/>
          <w:bCs/>
          <w:color w:val="000000"/>
          <w:sz w:val="18"/>
          <w:szCs w:val="18"/>
        </w:rPr>
      </w:pPr>
    </w:p>
    <w:p w14:paraId="0EFC9152" w14:textId="77777777" w:rsidR="0008025B" w:rsidRDefault="0008025B" w:rsidP="00040B09">
      <w:pPr>
        <w:spacing w:after="160"/>
        <w:jc w:val="both"/>
        <w:rPr>
          <w:rFonts w:ascii="Gotham" w:eastAsia="Times New Roman" w:hAnsi="Gotham" w:cs="Times New Roman"/>
          <w:b/>
          <w:bCs/>
          <w:color w:val="000000"/>
          <w:sz w:val="18"/>
          <w:szCs w:val="18"/>
        </w:rPr>
      </w:pPr>
    </w:p>
    <w:p w14:paraId="141F185A" w14:textId="77777777" w:rsidR="0008025B" w:rsidRPr="00683965" w:rsidRDefault="0008025B" w:rsidP="00040B09">
      <w:pPr>
        <w:spacing w:after="160"/>
        <w:jc w:val="both"/>
        <w:rPr>
          <w:rFonts w:ascii="Gotham" w:eastAsia="Times New Roman" w:hAnsi="Gotham" w:cs="Times New Roman"/>
          <w:b/>
          <w:bCs/>
          <w:color w:val="000000"/>
          <w:sz w:val="18"/>
          <w:szCs w:val="18"/>
        </w:rPr>
      </w:pPr>
    </w:p>
    <w:p w14:paraId="5B12E2F5" w14:textId="2651AB87"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b/>
          <w:bCs/>
          <w:color w:val="000000"/>
          <w:sz w:val="18"/>
          <w:szCs w:val="18"/>
        </w:rPr>
        <w:lastRenderedPageBreak/>
        <w:t xml:space="preserve">Depreciación. - </w:t>
      </w:r>
      <w:r w:rsidRPr="00683965">
        <w:rPr>
          <w:rFonts w:ascii="Gotham" w:eastAsia="Times New Roman" w:hAnsi="Gotham" w:cs="Times New Roman"/>
          <w:color w:val="000000"/>
          <w:sz w:val="18"/>
          <w:szCs w:val="18"/>
        </w:rPr>
        <w:t>La depreciación representa la parte estimada de la capacidad de los activos que se han consumido durante un periodo, su fin es de índole informativo.</w:t>
      </w:r>
    </w:p>
    <w:p w14:paraId="7E99C92F" w14:textId="2DCEC18E" w:rsidR="00040B09" w:rsidRPr="00683965" w:rsidRDefault="00040B09" w:rsidP="00040B09">
      <w:pPr>
        <w:spacing w:after="160"/>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El registro contable de la depreciación tiene como objetivo reconocer la pérdida de valor de un activo que puede originarse por obsolescencia, desgaste o deterioro ordinario, defectos de fabricación, falta de uso, insuficiencia, entre otros.</w:t>
      </w:r>
    </w:p>
    <w:tbl>
      <w:tblPr>
        <w:tblW w:w="7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89"/>
        <w:gridCol w:w="904"/>
      </w:tblGrid>
      <w:tr w:rsidR="00040B09" w:rsidRPr="00683965" w14:paraId="046C13E4" w14:textId="77777777" w:rsidTr="001D0DD7">
        <w:trPr>
          <w:trHeight w:val="95"/>
          <w:jc w:val="center"/>
        </w:trPr>
        <w:tc>
          <w:tcPr>
            <w:tcW w:w="0" w:type="auto"/>
            <w:tcMar>
              <w:top w:w="0" w:type="dxa"/>
              <w:left w:w="115" w:type="dxa"/>
              <w:bottom w:w="0" w:type="dxa"/>
              <w:right w:w="115" w:type="dxa"/>
            </w:tcMar>
            <w:hideMark/>
          </w:tcPr>
          <w:p w14:paraId="6CC81DC3" w14:textId="77777777" w:rsidR="00040B09" w:rsidRPr="00683965" w:rsidRDefault="00040B09" w:rsidP="00040B09">
            <w:pPr>
              <w:rPr>
                <w:rFonts w:ascii="Gotham" w:eastAsia="Times New Roman" w:hAnsi="Gotham" w:cs="Times New Roman"/>
                <w:sz w:val="18"/>
                <w:szCs w:val="18"/>
              </w:rPr>
            </w:pPr>
            <w:r w:rsidRPr="00683965">
              <w:rPr>
                <w:rFonts w:ascii="Gotham" w:eastAsia="Times New Roman" w:hAnsi="Gotham" w:cs="Arial"/>
                <w:color w:val="000000"/>
                <w:sz w:val="18"/>
                <w:szCs w:val="18"/>
              </w:rPr>
              <w:t xml:space="preserve">La depreciación deberá calcularse, a partir del mes siguiente al de su adquisición, aplicando los porcentajes siguientes: </w:t>
            </w:r>
            <w:r w:rsidRPr="00683965">
              <w:rPr>
                <w:rFonts w:ascii="Gotham" w:eastAsia="Times New Roman" w:hAnsi="Gotham" w:cs="Arial"/>
                <w:b/>
                <w:bCs/>
                <w:color w:val="000000"/>
                <w:sz w:val="18"/>
                <w:szCs w:val="18"/>
              </w:rPr>
              <w:t>Bienes </w:t>
            </w:r>
          </w:p>
        </w:tc>
        <w:tc>
          <w:tcPr>
            <w:tcW w:w="0" w:type="auto"/>
            <w:tcMar>
              <w:top w:w="0" w:type="dxa"/>
              <w:left w:w="115" w:type="dxa"/>
              <w:bottom w:w="0" w:type="dxa"/>
              <w:right w:w="115" w:type="dxa"/>
            </w:tcMar>
            <w:hideMark/>
          </w:tcPr>
          <w:p w14:paraId="542AAE43" w14:textId="77777777" w:rsidR="00040B09" w:rsidRPr="00683965" w:rsidRDefault="00040B09" w:rsidP="00040B09">
            <w:pPr>
              <w:rPr>
                <w:rFonts w:ascii="Gotham" w:eastAsia="Times New Roman" w:hAnsi="Gotham" w:cs="Times New Roman"/>
                <w:sz w:val="18"/>
                <w:szCs w:val="18"/>
              </w:rPr>
            </w:pPr>
            <w:r w:rsidRPr="00683965">
              <w:rPr>
                <w:rFonts w:ascii="Gotham" w:eastAsia="Times New Roman" w:hAnsi="Gotham" w:cs="Arial"/>
                <w:b/>
                <w:bCs/>
                <w:color w:val="000000"/>
                <w:sz w:val="18"/>
                <w:szCs w:val="18"/>
              </w:rPr>
              <w:t>% Anual </w:t>
            </w:r>
          </w:p>
        </w:tc>
      </w:tr>
      <w:tr w:rsidR="00040B09" w:rsidRPr="00683965" w14:paraId="079D5D78" w14:textId="77777777" w:rsidTr="001D0DD7">
        <w:trPr>
          <w:trHeight w:val="95"/>
          <w:jc w:val="center"/>
        </w:trPr>
        <w:tc>
          <w:tcPr>
            <w:tcW w:w="0" w:type="auto"/>
            <w:tcMar>
              <w:top w:w="0" w:type="dxa"/>
              <w:left w:w="115" w:type="dxa"/>
              <w:bottom w:w="0" w:type="dxa"/>
              <w:right w:w="115" w:type="dxa"/>
            </w:tcMar>
            <w:hideMark/>
          </w:tcPr>
          <w:p w14:paraId="4143B33F" w14:textId="77777777" w:rsidR="00040B09" w:rsidRPr="00683965" w:rsidRDefault="00040B09" w:rsidP="00040B09">
            <w:pPr>
              <w:rPr>
                <w:rFonts w:ascii="Gotham" w:eastAsia="Times New Roman" w:hAnsi="Gotham" w:cs="Times New Roman"/>
                <w:sz w:val="18"/>
                <w:szCs w:val="18"/>
              </w:rPr>
            </w:pPr>
            <w:r w:rsidRPr="00683965">
              <w:rPr>
                <w:rFonts w:ascii="Gotham" w:eastAsia="Times New Roman" w:hAnsi="Gotham" w:cs="Arial"/>
                <w:color w:val="000000"/>
                <w:sz w:val="18"/>
                <w:szCs w:val="18"/>
              </w:rPr>
              <w:t>Vehículos </w:t>
            </w:r>
          </w:p>
        </w:tc>
        <w:tc>
          <w:tcPr>
            <w:tcW w:w="0" w:type="auto"/>
            <w:tcMar>
              <w:top w:w="0" w:type="dxa"/>
              <w:left w:w="115" w:type="dxa"/>
              <w:bottom w:w="0" w:type="dxa"/>
              <w:right w:w="115" w:type="dxa"/>
            </w:tcMar>
            <w:hideMark/>
          </w:tcPr>
          <w:p w14:paraId="5D40522D" w14:textId="77777777" w:rsidR="00040B09" w:rsidRPr="00683965" w:rsidRDefault="00040B09" w:rsidP="00040B09">
            <w:pPr>
              <w:jc w:val="center"/>
              <w:rPr>
                <w:rFonts w:ascii="Gotham" w:eastAsia="Times New Roman" w:hAnsi="Gotham" w:cs="Times New Roman"/>
                <w:sz w:val="18"/>
                <w:szCs w:val="18"/>
              </w:rPr>
            </w:pPr>
            <w:r w:rsidRPr="00683965">
              <w:rPr>
                <w:rFonts w:ascii="Gotham" w:eastAsia="Times New Roman" w:hAnsi="Gotham" w:cs="Times New Roman"/>
                <w:color w:val="000000"/>
                <w:sz w:val="18"/>
                <w:szCs w:val="18"/>
              </w:rPr>
              <w:t>10</w:t>
            </w:r>
          </w:p>
        </w:tc>
      </w:tr>
      <w:tr w:rsidR="00040B09" w:rsidRPr="00683965" w14:paraId="4EBDE9C3" w14:textId="77777777" w:rsidTr="001D0DD7">
        <w:trPr>
          <w:trHeight w:val="95"/>
          <w:jc w:val="center"/>
        </w:trPr>
        <w:tc>
          <w:tcPr>
            <w:tcW w:w="0" w:type="auto"/>
            <w:tcMar>
              <w:top w:w="0" w:type="dxa"/>
              <w:left w:w="115" w:type="dxa"/>
              <w:bottom w:w="0" w:type="dxa"/>
              <w:right w:w="115" w:type="dxa"/>
            </w:tcMar>
            <w:hideMark/>
          </w:tcPr>
          <w:p w14:paraId="3B178542" w14:textId="77777777" w:rsidR="00040B09" w:rsidRPr="00683965" w:rsidRDefault="00040B09" w:rsidP="00040B09">
            <w:pPr>
              <w:rPr>
                <w:rFonts w:ascii="Gotham" w:eastAsia="Times New Roman" w:hAnsi="Gotham" w:cs="Times New Roman"/>
                <w:sz w:val="18"/>
                <w:szCs w:val="18"/>
              </w:rPr>
            </w:pPr>
            <w:r w:rsidRPr="00683965">
              <w:rPr>
                <w:rFonts w:ascii="Gotham" w:eastAsia="Times New Roman" w:hAnsi="Gotham" w:cs="Arial"/>
                <w:color w:val="000000"/>
                <w:sz w:val="18"/>
                <w:szCs w:val="18"/>
              </w:rPr>
              <w:t>Vehículos de Seguridad Pública y atención de urgencias </w:t>
            </w:r>
          </w:p>
        </w:tc>
        <w:tc>
          <w:tcPr>
            <w:tcW w:w="0" w:type="auto"/>
            <w:tcMar>
              <w:top w:w="0" w:type="dxa"/>
              <w:left w:w="115" w:type="dxa"/>
              <w:bottom w:w="0" w:type="dxa"/>
              <w:right w:w="115" w:type="dxa"/>
            </w:tcMar>
            <w:hideMark/>
          </w:tcPr>
          <w:p w14:paraId="10600574" w14:textId="77777777" w:rsidR="00040B09" w:rsidRPr="00683965" w:rsidRDefault="00040B09" w:rsidP="00040B09">
            <w:pPr>
              <w:jc w:val="center"/>
              <w:rPr>
                <w:rFonts w:ascii="Gotham" w:eastAsia="Times New Roman" w:hAnsi="Gotham" w:cs="Times New Roman"/>
                <w:sz w:val="18"/>
                <w:szCs w:val="18"/>
              </w:rPr>
            </w:pPr>
            <w:r w:rsidRPr="00683965">
              <w:rPr>
                <w:rFonts w:ascii="Gotham" w:eastAsia="Times New Roman" w:hAnsi="Gotham" w:cs="Times New Roman"/>
                <w:color w:val="000000"/>
                <w:sz w:val="18"/>
                <w:szCs w:val="18"/>
              </w:rPr>
              <w:t>20</w:t>
            </w:r>
          </w:p>
        </w:tc>
      </w:tr>
      <w:tr w:rsidR="00040B09" w:rsidRPr="00683965" w14:paraId="42CD5534" w14:textId="77777777" w:rsidTr="001D0DD7">
        <w:trPr>
          <w:trHeight w:val="95"/>
          <w:jc w:val="center"/>
        </w:trPr>
        <w:tc>
          <w:tcPr>
            <w:tcW w:w="0" w:type="auto"/>
            <w:tcMar>
              <w:top w:w="0" w:type="dxa"/>
              <w:left w:w="115" w:type="dxa"/>
              <w:bottom w:w="0" w:type="dxa"/>
              <w:right w:w="115" w:type="dxa"/>
            </w:tcMar>
            <w:hideMark/>
          </w:tcPr>
          <w:p w14:paraId="66BDC7A3" w14:textId="77777777" w:rsidR="00040B09" w:rsidRPr="00683965" w:rsidRDefault="00040B09" w:rsidP="00040B09">
            <w:pPr>
              <w:rPr>
                <w:rFonts w:ascii="Gotham" w:eastAsia="Times New Roman" w:hAnsi="Gotham" w:cs="Times New Roman"/>
                <w:sz w:val="18"/>
                <w:szCs w:val="18"/>
              </w:rPr>
            </w:pPr>
            <w:r w:rsidRPr="00683965">
              <w:rPr>
                <w:rFonts w:ascii="Gotham" w:eastAsia="Times New Roman" w:hAnsi="Gotham" w:cs="Arial"/>
                <w:color w:val="000000"/>
                <w:sz w:val="18"/>
                <w:szCs w:val="18"/>
              </w:rPr>
              <w:t>Equipo de cómputo </w:t>
            </w:r>
          </w:p>
        </w:tc>
        <w:tc>
          <w:tcPr>
            <w:tcW w:w="0" w:type="auto"/>
            <w:tcMar>
              <w:top w:w="0" w:type="dxa"/>
              <w:left w:w="115" w:type="dxa"/>
              <w:bottom w:w="0" w:type="dxa"/>
              <w:right w:w="115" w:type="dxa"/>
            </w:tcMar>
            <w:hideMark/>
          </w:tcPr>
          <w:p w14:paraId="19A0A457" w14:textId="77777777" w:rsidR="00040B09" w:rsidRPr="00683965" w:rsidRDefault="00040B09" w:rsidP="00040B09">
            <w:pPr>
              <w:jc w:val="center"/>
              <w:rPr>
                <w:rFonts w:ascii="Gotham" w:eastAsia="Times New Roman" w:hAnsi="Gotham" w:cs="Times New Roman"/>
                <w:sz w:val="18"/>
                <w:szCs w:val="18"/>
              </w:rPr>
            </w:pPr>
            <w:r w:rsidRPr="00683965">
              <w:rPr>
                <w:rFonts w:ascii="Gotham" w:eastAsia="Times New Roman" w:hAnsi="Gotham" w:cs="Times New Roman"/>
                <w:color w:val="000000"/>
                <w:sz w:val="18"/>
                <w:szCs w:val="18"/>
              </w:rPr>
              <w:t>20</w:t>
            </w:r>
          </w:p>
        </w:tc>
      </w:tr>
      <w:tr w:rsidR="00040B09" w:rsidRPr="00683965" w14:paraId="113C742A" w14:textId="77777777" w:rsidTr="001D0DD7">
        <w:trPr>
          <w:trHeight w:val="95"/>
          <w:jc w:val="center"/>
        </w:trPr>
        <w:tc>
          <w:tcPr>
            <w:tcW w:w="0" w:type="auto"/>
            <w:tcMar>
              <w:top w:w="0" w:type="dxa"/>
              <w:left w:w="115" w:type="dxa"/>
              <w:bottom w:w="0" w:type="dxa"/>
              <w:right w:w="115" w:type="dxa"/>
            </w:tcMar>
            <w:hideMark/>
          </w:tcPr>
          <w:p w14:paraId="5A4A7D30" w14:textId="77777777" w:rsidR="00040B09" w:rsidRPr="00683965" w:rsidRDefault="00040B09" w:rsidP="00040B09">
            <w:pPr>
              <w:rPr>
                <w:rFonts w:ascii="Gotham" w:eastAsia="Times New Roman" w:hAnsi="Gotham" w:cs="Times New Roman"/>
                <w:sz w:val="18"/>
                <w:szCs w:val="18"/>
              </w:rPr>
            </w:pPr>
            <w:r w:rsidRPr="00683965">
              <w:rPr>
                <w:rFonts w:ascii="Gotham" w:eastAsia="Times New Roman" w:hAnsi="Gotham" w:cs="Arial"/>
                <w:color w:val="000000"/>
                <w:sz w:val="18"/>
                <w:szCs w:val="18"/>
              </w:rPr>
              <w:t>Mobiliario y equipo de oficina </w:t>
            </w:r>
          </w:p>
        </w:tc>
        <w:tc>
          <w:tcPr>
            <w:tcW w:w="0" w:type="auto"/>
            <w:tcMar>
              <w:top w:w="0" w:type="dxa"/>
              <w:left w:w="115" w:type="dxa"/>
              <w:bottom w:w="0" w:type="dxa"/>
              <w:right w:w="115" w:type="dxa"/>
            </w:tcMar>
            <w:hideMark/>
          </w:tcPr>
          <w:p w14:paraId="76B17758" w14:textId="77777777" w:rsidR="00040B09" w:rsidRPr="00683965" w:rsidRDefault="00040B09" w:rsidP="00040B09">
            <w:pPr>
              <w:jc w:val="center"/>
              <w:rPr>
                <w:rFonts w:ascii="Gotham" w:eastAsia="Times New Roman" w:hAnsi="Gotham" w:cs="Times New Roman"/>
                <w:sz w:val="18"/>
                <w:szCs w:val="18"/>
              </w:rPr>
            </w:pPr>
            <w:r w:rsidRPr="00683965">
              <w:rPr>
                <w:rFonts w:ascii="Gotham" w:eastAsia="Times New Roman" w:hAnsi="Gotham" w:cs="Times New Roman"/>
                <w:color w:val="000000"/>
                <w:sz w:val="18"/>
                <w:szCs w:val="18"/>
              </w:rPr>
              <w:t>3</w:t>
            </w:r>
          </w:p>
        </w:tc>
      </w:tr>
      <w:tr w:rsidR="00040B09" w:rsidRPr="00683965" w14:paraId="3F65B5AF" w14:textId="77777777" w:rsidTr="001D0DD7">
        <w:trPr>
          <w:trHeight w:val="95"/>
          <w:jc w:val="center"/>
        </w:trPr>
        <w:tc>
          <w:tcPr>
            <w:tcW w:w="0" w:type="auto"/>
            <w:tcMar>
              <w:top w:w="0" w:type="dxa"/>
              <w:left w:w="115" w:type="dxa"/>
              <w:bottom w:w="0" w:type="dxa"/>
              <w:right w:w="115" w:type="dxa"/>
            </w:tcMar>
            <w:hideMark/>
          </w:tcPr>
          <w:p w14:paraId="57413936" w14:textId="77777777" w:rsidR="00040B09" w:rsidRPr="00683965" w:rsidRDefault="00040B09" w:rsidP="00040B09">
            <w:pPr>
              <w:rPr>
                <w:rFonts w:ascii="Gotham" w:eastAsia="Times New Roman" w:hAnsi="Gotham" w:cs="Times New Roman"/>
                <w:sz w:val="18"/>
                <w:szCs w:val="18"/>
              </w:rPr>
            </w:pPr>
            <w:r w:rsidRPr="00683965">
              <w:rPr>
                <w:rFonts w:ascii="Gotham" w:eastAsia="Times New Roman" w:hAnsi="Gotham" w:cs="Arial"/>
                <w:color w:val="000000"/>
                <w:sz w:val="18"/>
                <w:szCs w:val="18"/>
              </w:rPr>
              <w:t>Edificios </w:t>
            </w:r>
          </w:p>
        </w:tc>
        <w:tc>
          <w:tcPr>
            <w:tcW w:w="0" w:type="auto"/>
            <w:tcMar>
              <w:top w:w="0" w:type="dxa"/>
              <w:left w:w="115" w:type="dxa"/>
              <w:bottom w:w="0" w:type="dxa"/>
              <w:right w:w="115" w:type="dxa"/>
            </w:tcMar>
            <w:hideMark/>
          </w:tcPr>
          <w:p w14:paraId="7C3CB12B" w14:textId="77777777" w:rsidR="00040B09" w:rsidRPr="00683965" w:rsidRDefault="00040B09" w:rsidP="00040B09">
            <w:pPr>
              <w:jc w:val="center"/>
              <w:rPr>
                <w:rFonts w:ascii="Gotham" w:eastAsia="Times New Roman" w:hAnsi="Gotham" w:cs="Times New Roman"/>
                <w:sz w:val="18"/>
                <w:szCs w:val="18"/>
              </w:rPr>
            </w:pPr>
            <w:r w:rsidRPr="00683965">
              <w:rPr>
                <w:rFonts w:ascii="Gotham" w:eastAsia="Times New Roman" w:hAnsi="Gotham" w:cs="Times New Roman"/>
                <w:color w:val="000000"/>
                <w:sz w:val="18"/>
                <w:szCs w:val="18"/>
              </w:rPr>
              <w:t>2</w:t>
            </w:r>
          </w:p>
        </w:tc>
      </w:tr>
      <w:tr w:rsidR="00040B09" w:rsidRPr="00683965" w14:paraId="180FFEE1" w14:textId="77777777" w:rsidTr="001D0DD7">
        <w:trPr>
          <w:trHeight w:val="95"/>
          <w:jc w:val="center"/>
        </w:trPr>
        <w:tc>
          <w:tcPr>
            <w:tcW w:w="0" w:type="auto"/>
            <w:tcMar>
              <w:top w:w="0" w:type="dxa"/>
              <w:left w:w="115" w:type="dxa"/>
              <w:bottom w:w="0" w:type="dxa"/>
              <w:right w:w="115" w:type="dxa"/>
            </w:tcMar>
            <w:hideMark/>
          </w:tcPr>
          <w:p w14:paraId="3BF7C62D" w14:textId="77777777" w:rsidR="00040B09" w:rsidRPr="00683965" w:rsidRDefault="00040B09" w:rsidP="00040B09">
            <w:pPr>
              <w:rPr>
                <w:rFonts w:ascii="Gotham" w:eastAsia="Times New Roman" w:hAnsi="Gotham" w:cs="Times New Roman"/>
                <w:sz w:val="18"/>
                <w:szCs w:val="18"/>
              </w:rPr>
            </w:pPr>
            <w:r w:rsidRPr="00683965">
              <w:rPr>
                <w:rFonts w:ascii="Gotham" w:eastAsia="Times New Roman" w:hAnsi="Gotham" w:cs="Arial"/>
                <w:color w:val="000000"/>
                <w:sz w:val="18"/>
                <w:szCs w:val="18"/>
              </w:rPr>
              <w:t>Maquinaria </w:t>
            </w:r>
          </w:p>
        </w:tc>
        <w:tc>
          <w:tcPr>
            <w:tcW w:w="0" w:type="auto"/>
            <w:tcMar>
              <w:top w:w="0" w:type="dxa"/>
              <w:left w:w="115" w:type="dxa"/>
              <w:bottom w:w="0" w:type="dxa"/>
              <w:right w:w="115" w:type="dxa"/>
            </w:tcMar>
            <w:hideMark/>
          </w:tcPr>
          <w:p w14:paraId="2B7A90C1" w14:textId="77777777" w:rsidR="00040B09" w:rsidRPr="00683965" w:rsidRDefault="00040B09" w:rsidP="00040B09">
            <w:pPr>
              <w:jc w:val="center"/>
              <w:rPr>
                <w:rFonts w:ascii="Gotham" w:eastAsia="Times New Roman" w:hAnsi="Gotham" w:cs="Times New Roman"/>
                <w:sz w:val="18"/>
                <w:szCs w:val="18"/>
              </w:rPr>
            </w:pPr>
            <w:r w:rsidRPr="00683965">
              <w:rPr>
                <w:rFonts w:ascii="Gotham" w:eastAsia="Times New Roman" w:hAnsi="Gotham" w:cs="Times New Roman"/>
                <w:color w:val="000000"/>
                <w:sz w:val="18"/>
                <w:szCs w:val="18"/>
              </w:rPr>
              <w:t>10</w:t>
            </w:r>
          </w:p>
        </w:tc>
      </w:tr>
      <w:tr w:rsidR="00040B09" w:rsidRPr="00683965" w14:paraId="5D484940" w14:textId="77777777" w:rsidTr="001D0DD7">
        <w:trPr>
          <w:trHeight w:val="95"/>
          <w:jc w:val="center"/>
        </w:trPr>
        <w:tc>
          <w:tcPr>
            <w:tcW w:w="0" w:type="auto"/>
            <w:tcMar>
              <w:top w:w="0" w:type="dxa"/>
              <w:left w:w="115" w:type="dxa"/>
              <w:bottom w:w="0" w:type="dxa"/>
              <w:right w:w="115" w:type="dxa"/>
            </w:tcMar>
            <w:hideMark/>
          </w:tcPr>
          <w:p w14:paraId="38B1AB25" w14:textId="77777777" w:rsidR="00040B09" w:rsidRPr="00683965" w:rsidRDefault="00040B09" w:rsidP="00040B09">
            <w:pPr>
              <w:rPr>
                <w:rFonts w:ascii="Gotham" w:eastAsia="Times New Roman" w:hAnsi="Gotham" w:cs="Times New Roman"/>
                <w:sz w:val="18"/>
                <w:szCs w:val="18"/>
              </w:rPr>
            </w:pPr>
            <w:r w:rsidRPr="00683965">
              <w:rPr>
                <w:rFonts w:ascii="Gotham" w:eastAsia="Times New Roman" w:hAnsi="Gotham" w:cs="Arial"/>
                <w:color w:val="000000"/>
                <w:sz w:val="18"/>
                <w:szCs w:val="18"/>
              </w:rPr>
              <w:t>El resto </w:t>
            </w:r>
          </w:p>
        </w:tc>
        <w:tc>
          <w:tcPr>
            <w:tcW w:w="0" w:type="auto"/>
            <w:tcMar>
              <w:top w:w="0" w:type="dxa"/>
              <w:left w:w="115" w:type="dxa"/>
              <w:bottom w:w="0" w:type="dxa"/>
              <w:right w:w="115" w:type="dxa"/>
            </w:tcMar>
            <w:hideMark/>
          </w:tcPr>
          <w:p w14:paraId="12FF8721" w14:textId="77777777" w:rsidR="00040B09" w:rsidRPr="00683965" w:rsidRDefault="00040B09" w:rsidP="00040B09">
            <w:pPr>
              <w:jc w:val="center"/>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10</w:t>
            </w:r>
          </w:p>
          <w:p w14:paraId="6FEFCAE9" w14:textId="77777777" w:rsidR="00040B09" w:rsidRPr="00683965" w:rsidRDefault="00040B09" w:rsidP="00040B09">
            <w:pPr>
              <w:jc w:val="center"/>
              <w:rPr>
                <w:rFonts w:ascii="Gotham" w:eastAsia="Times New Roman" w:hAnsi="Gotham" w:cs="Times New Roman"/>
                <w:sz w:val="18"/>
                <w:szCs w:val="18"/>
              </w:rPr>
            </w:pPr>
          </w:p>
        </w:tc>
      </w:tr>
    </w:tbl>
    <w:p w14:paraId="49300CC2" w14:textId="77777777" w:rsidR="00194155" w:rsidRPr="00683965" w:rsidRDefault="00194155" w:rsidP="00194155">
      <w:pPr>
        <w:jc w:val="both"/>
        <w:rPr>
          <w:rFonts w:ascii="Gotham" w:eastAsia="Times New Roman" w:hAnsi="Gotham" w:cs="Times New Roman"/>
          <w:b/>
          <w:bCs/>
          <w:color w:val="000000"/>
          <w:sz w:val="18"/>
          <w:szCs w:val="18"/>
        </w:rPr>
      </w:pPr>
    </w:p>
    <w:p w14:paraId="5A0B1D5F" w14:textId="3736B7A5"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b/>
          <w:bCs/>
          <w:color w:val="000000"/>
          <w:sz w:val="18"/>
          <w:szCs w:val="18"/>
        </w:rPr>
        <w:t>Depreciación, Deterioro y Amortización Acumulada de Bienes</w:t>
      </w:r>
      <w:r w:rsidRPr="00683965">
        <w:rPr>
          <w:rFonts w:ascii="Gotham" w:eastAsia="Times New Roman" w:hAnsi="Gotham" w:cs="Times New Roman"/>
          <w:color w:val="000000"/>
          <w:sz w:val="18"/>
          <w:szCs w:val="18"/>
        </w:rPr>
        <w:t>. - El saldo de 160,322,323.90, se integra de las siguientes cuentas, dando un total neto en el rubro de activo fijo de 299,641,358.67.</w:t>
      </w:r>
    </w:p>
    <w:p w14:paraId="7772A3FE" w14:textId="77777777"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b/>
          <w:bCs/>
          <w:color w:val="000000"/>
          <w:sz w:val="18"/>
          <w:szCs w:val="18"/>
        </w:rPr>
        <w:t>Depreciación Acumulada de Bienes Inmuebles. -</w:t>
      </w:r>
      <w:r w:rsidRPr="00683965">
        <w:rPr>
          <w:rFonts w:ascii="Gotham" w:eastAsia="Times New Roman" w:hAnsi="Gotham" w:cs="Times New Roman"/>
          <w:color w:val="000000"/>
          <w:sz w:val="18"/>
          <w:szCs w:val="18"/>
        </w:rPr>
        <w:t xml:space="preserve"> El saldo de 13,970,263.98, es el importe de la disminución a valores históricos de los bienes inmuebles del Instituto, el total neto en la cuenta de Edificios No Habitacionales es por 107,251,531.60 y de Terrenos por 2,793,209.00.</w:t>
      </w:r>
    </w:p>
    <w:p w14:paraId="040A495A" w14:textId="77777777"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b/>
          <w:bCs/>
          <w:color w:val="000000"/>
          <w:sz w:val="18"/>
          <w:szCs w:val="18"/>
        </w:rPr>
        <w:t>Depreciación Acumulada de Bienes Muebles. -</w:t>
      </w:r>
      <w:r w:rsidRPr="00683965">
        <w:rPr>
          <w:rFonts w:ascii="Gotham" w:eastAsia="Times New Roman" w:hAnsi="Gotham" w:cs="Times New Roman"/>
          <w:color w:val="000000"/>
          <w:sz w:val="18"/>
          <w:szCs w:val="18"/>
        </w:rPr>
        <w:t xml:space="preserve"> El saldo de 146,352,059.92, es el importe de la disminución a valores históricos de los bienes muebles del Instituto, dando un total neto en este rubro por 189,596,618.07.</w:t>
      </w:r>
    </w:p>
    <w:p w14:paraId="19ACC1C3" w14:textId="77777777" w:rsidR="00040B09" w:rsidRPr="00683965" w:rsidRDefault="00040B09" w:rsidP="00040B09">
      <w:pPr>
        <w:numPr>
          <w:ilvl w:val="0"/>
          <w:numId w:val="16"/>
        </w:numPr>
        <w:spacing w:after="160"/>
        <w:jc w:val="both"/>
        <w:textAlignment w:val="baseline"/>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Fideicomisos, Mandatos y Análogos</w:t>
      </w:r>
    </w:p>
    <w:p w14:paraId="139214EF" w14:textId="77777777" w:rsidR="00040B09" w:rsidRPr="00683965" w:rsidRDefault="00040B09" w:rsidP="00040B09">
      <w:pPr>
        <w:numPr>
          <w:ilvl w:val="0"/>
          <w:numId w:val="24"/>
        </w:numPr>
        <w:spacing w:after="24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14:paraId="6639C60D" w14:textId="77777777" w:rsidR="00040B09" w:rsidRPr="00683965" w:rsidRDefault="00040B09" w:rsidP="00040B09">
      <w:pPr>
        <w:numPr>
          <w:ilvl w:val="0"/>
          <w:numId w:val="24"/>
        </w:numPr>
        <w:spacing w:after="24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14:paraId="516FC786" w14:textId="77777777" w:rsidR="00040B09" w:rsidRPr="00683965" w:rsidRDefault="00040B09" w:rsidP="00040B09">
      <w:pPr>
        <w:numPr>
          <w:ilvl w:val="0"/>
          <w:numId w:val="24"/>
        </w:numPr>
        <w:spacing w:after="24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14:paraId="4846419C" w14:textId="3B539D12" w:rsidR="00040B09" w:rsidRDefault="00040B09" w:rsidP="00945E3F">
      <w:pPr>
        <w:numPr>
          <w:ilvl w:val="0"/>
          <w:numId w:val="24"/>
        </w:numPr>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Invex, S.A., Institución de Banca Múltiple Invex Grupo Financiero y Monex Casa de Bolsa, S.A. de C.V., como “Fiduciarios” representantes comunes de los tenedores de los Certificados Bursátiles Fiduciarios Series “A” y “B”.</w:t>
      </w:r>
    </w:p>
    <w:p w14:paraId="7FD5D1C8" w14:textId="77777777" w:rsidR="0008025B" w:rsidRDefault="0008025B" w:rsidP="0008025B">
      <w:pPr>
        <w:jc w:val="both"/>
        <w:textAlignment w:val="baseline"/>
        <w:rPr>
          <w:rFonts w:ascii="Gotham" w:eastAsia="Times New Roman" w:hAnsi="Gotham" w:cs="Times New Roman"/>
          <w:color w:val="000000"/>
          <w:sz w:val="18"/>
          <w:szCs w:val="18"/>
        </w:rPr>
      </w:pPr>
    </w:p>
    <w:p w14:paraId="0454D443" w14:textId="77777777" w:rsidR="0008025B" w:rsidRDefault="0008025B" w:rsidP="0008025B">
      <w:pPr>
        <w:jc w:val="both"/>
        <w:textAlignment w:val="baseline"/>
        <w:rPr>
          <w:rFonts w:ascii="Gotham" w:eastAsia="Times New Roman" w:hAnsi="Gotham" w:cs="Times New Roman"/>
          <w:color w:val="000000"/>
          <w:sz w:val="18"/>
          <w:szCs w:val="18"/>
        </w:rPr>
      </w:pPr>
    </w:p>
    <w:p w14:paraId="0405F2D6" w14:textId="77777777" w:rsidR="0008025B" w:rsidRPr="00683965" w:rsidRDefault="0008025B" w:rsidP="0008025B">
      <w:pPr>
        <w:jc w:val="both"/>
        <w:textAlignment w:val="baseline"/>
        <w:rPr>
          <w:rFonts w:ascii="Gotham" w:eastAsia="Times New Roman" w:hAnsi="Gotham" w:cs="Times New Roman"/>
          <w:color w:val="000000"/>
          <w:sz w:val="18"/>
          <w:szCs w:val="18"/>
        </w:rPr>
      </w:pPr>
    </w:p>
    <w:p w14:paraId="11BD83B3" w14:textId="77777777" w:rsidR="00945E3F" w:rsidRPr="00683965" w:rsidRDefault="00945E3F" w:rsidP="00945E3F">
      <w:pPr>
        <w:ind w:left="720"/>
        <w:jc w:val="both"/>
        <w:textAlignment w:val="baseline"/>
        <w:rPr>
          <w:rFonts w:ascii="Gotham" w:eastAsia="Times New Roman" w:hAnsi="Gotham" w:cs="Times New Roman"/>
          <w:color w:val="000000"/>
          <w:sz w:val="18"/>
          <w:szCs w:val="18"/>
        </w:rPr>
      </w:pPr>
    </w:p>
    <w:p w14:paraId="4A4FE705" w14:textId="482BE6B7" w:rsidR="00040B09" w:rsidRPr="00683965" w:rsidRDefault="00040B09" w:rsidP="00040B09">
      <w:pPr>
        <w:numPr>
          <w:ilvl w:val="0"/>
          <w:numId w:val="24"/>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lastRenderedPageBreak/>
        <w:t>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Monex Casa de Bolsa, S.A. de C.V., Monex Grupo Financiero, como representante común de los tenedores de los Certificados Bursátiles y The Bank of New York Mellon, S.A., Institución de Banca Múltiple como mandatario del Garante “A” y del Garante “B”.</w:t>
      </w:r>
    </w:p>
    <w:p w14:paraId="54529471" w14:textId="786E8D6A" w:rsidR="00074ABC" w:rsidRPr="00106FAD" w:rsidRDefault="00040B09" w:rsidP="00074ABC">
      <w:pPr>
        <w:numPr>
          <w:ilvl w:val="0"/>
          <w:numId w:val="24"/>
        </w:numPr>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r w:rsidR="00106FAD">
        <w:rPr>
          <w:rFonts w:ascii="Gotham" w:eastAsia="Times New Roman" w:hAnsi="Gotham" w:cs="Times New Roman"/>
          <w:color w:val="000000"/>
          <w:sz w:val="18"/>
          <w:szCs w:val="18"/>
        </w:rPr>
        <w:t>.</w:t>
      </w:r>
    </w:p>
    <w:p w14:paraId="254D1919" w14:textId="6A83566D" w:rsidR="00040B09" w:rsidRPr="00683965" w:rsidRDefault="00040B09" w:rsidP="00106FAD">
      <w:pPr>
        <w:contextualSpacing/>
        <w:rPr>
          <w:rFonts w:ascii="Gotham" w:eastAsia="Times New Roman" w:hAnsi="Gotham" w:cs="Times New Roman"/>
          <w:sz w:val="18"/>
          <w:szCs w:val="18"/>
        </w:rPr>
      </w:pPr>
    </w:p>
    <w:p w14:paraId="19C8A322" w14:textId="77777777" w:rsidR="00040B09" w:rsidRPr="00683965" w:rsidRDefault="00040B09" w:rsidP="00040B09">
      <w:pPr>
        <w:numPr>
          <w:ilvl w:val="0"/>
          <w:numId w:val="24"/>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Con esta misma fecha de conformidad con los artículos 61 a 64 de la Ley del Mercado de Valores, la Emisora Promotora de Infraestructura Registral, S.A. de C.V. SOFOM., E.N.R., emitió, ofreció y colocó, de forma privada, certificados bursátiles fiduciarios serie (i) “A” por un monto de 2 mil 765 millones de pesos, con una tasa de interés anual igual a la suma del U.S. Treasury Cost, más 3.5 por ciento, y (ii) “B” por un monto de 1 mil 300 millones de pesos, con una tasa de interés anual igual al resultado de multiplicar 1.10 por la tasa moratoria que se establece en el Macrotítulo de los Certificados Bursátiles Fiduciarios Serie “B”, y se encuentran respaldados por los remanentes del Fideicomiso de Cobranza.</w:t>
      </w:r>
    </w:p>
    <w:p w14:paraId="41271B08" w14:textId="77777777" w:rsidR="00040B09" w:rsidRPr="00683965" w:rsidRDefault="00040B09" w:rsidP="00040B09">
      <w:pPr>
        <w:numPr>
          <w:ilvl w:val="0"/>
          <w:numId w:val="24"/>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14:paraId="1444C6EB" w14:textId="77777777" w:rsidR="00040B09" w:rsidRPr="00683965" w:rsidRDefault="00040B09" w:rsidP="00040B09">
      <w:pPr>
        <w:numPr>
          <w:ilvl w:val="0"/>
          <w:numId w:val="24"/>
        </w:numPr>
        <w:spacing w:after="24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Adicionalmente los CBFS Serie A contarán con una garantía financiera de Overseas Private Investment Corporation (OPIC) por US $250 millones de dólares (MDD) de principal más los intereses asociados; mientras que los CBFS Serie B tendrán una garantía financiera de Corporación Andina de Fomento (CAF) por el 30 por ciento del saldo insoluto.</w:t>
      </w:r>
    </w:p>
    <w:p w14:paraId="2D8FE403" w14:textId="77777777" w:rsidR="00040B09" w:rsidRPr="00683965" w:rsidRDefault="00040B09" w:rsidP="00040B09">
      <w:pPr>
        <w:numPr>
          <w:ilvl w:val="0"/>
          <w:numId w:val="24"/>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14:paraId="042B1B3D" w14:textId="77777777" w:rsidR="00040B09" w:rsidRPr="00683965" w:rsidRDefault="00040B09" w:rsidP="00040B09">
      <w:pPr>
        <w:numPr>
          <w:ilvl w:val="0"/>
          <w:numId w:val="24"/>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14:paraId="23F0043A" w14:textId="78653617" w:rsidR="001D0DD7" w:rsidRDefault="00040B09" w:rsidP="00961B5A">
      <w:pPr>
        <w:numPr>
          <w:ilvl w:val="0"/>
          <w:numId w:val="24"/>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Por lo anterior, desde el ejercicio de 2010, se definió que el Fideicomiso de Cobranza se reconociera en el Instituto, de acuerdo al Manual Único de Contabilidad Gubernamental para las Dependencias y Entidades Públicas del Gobierno y Municipios del Estado de México, en cumplimiento con los lineamientos de la Guía Contabilizadora del Gobierno del Estado de México.</w:t>
      </w:r>
    </w:p>
    <w:p w14:paraId="755D1068" w14:textId="77777777" w:rsidR="00DE5431" w:rsidRDefault="00DE5431" w:rsidP="00DE5431">
      <w:pPr>
        <w:spacing w:after="160"/>
        <w:jc w:val="both"/>
        <w:textAlignment w:val="baseline"/>
        <w:rPr>
          <w:rFonts w:ascii="Gotham" w:eastAsia="Times New Roman" w:hAnsi="Gotham" w:cs="Times New Roman"/>
          <w:color w:val="000000"/>
          <w:sz w:val="18"/>
          <w:szCs w:val="18"/>
        </w:rPr>
      </w:pPr>
    </w:p>
    <w:p w14:paraId="7E29BF91" w14:textId="77777777" w:rsidR="00DE5431" w:rsidRPr="00961B5A" w:rsidRDefault="00DE5431" w:rsidP="00DE5431">
      <w:pPr>
        <w:spacing w:after="160"/>
        <w:jc w:val="both"/>
        <w:textAlignment w:val="baseline"/>
        <w:rPr>
          <w:rFonts w:ascii="Gotham" w:eastAsia="Times New Roman" w:hAnsi="Gotham" w:cs="Times New Roman"/>
          <w:color w:val="000000"/>
          <w:sz w:val="18"/>
          <w:szCs w:val="18"/>
        </w:rPr>
      </w:pPr>
    </w:p>
    <w:p w14:paraId="590899D9" w14:textId="48AAB1C1" w:rsidR="00961B5A" w:rsidRPr="00DE5431" w:rsidRDefault="00040B09" w:rsidP="00961B5A">
      <w:pPr>
        <w:numPr>
          <w:ilvl w:val="0"/>
          <w:numId w:val="24"/>
        </w:numPr>
        <w:spacing w:after="160"/>
        <w:jc w:val="both"/>
        <w:textAlignment w:val="baseline"/>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lastRenderedPageBreak/>
        <w:t>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Crédito.</w:t>
      </w:r>
    </w:p>
    <w:p w14:paraId="6E4100D6" w14:textId="7527C6E3" w:rsidR="00040B09" w:rsidRPr="00683965" w:rsidRDefault="00040B09" w:rsidP="00040B09">
      <w:pPr>
        <w:numPr>
          <w:ilvl w:val="0"/>
          <w:numId w:val="17"/>
        </w:numPr>
        <w:jc w:val="both"/>
        <w:textAlignment w:val="baseline"/>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Reporte de la Recaudación</w:t>
      </w:r>
    </w:p>
    <w:p w14:paraId="1205DD64" w14:textId="77777777" w:rsidR="00945E3F" w:rsidRPr="00683965" w:rsidRDefault="00945E3F" w:rsidP="00945E3F">
      <w:pPr>
        <w:jc w:val="both"/>
        <w:textAlignment w:val="baseline"/>
        <w:rPr>
          <w:rFonts w:ascii="Gotham" w:eastAsia="Times New Roman" w:hAnsi="Gotham" w:cs="Times New Roman"/>
          <w:b/>
          <w:bCs/>
          <w:color w:val="000000"/>
          <w:sz w:val="18"/>
          <w:szCs w:val="18"/>
        </w:rPr>
      </w:pPr>
    </w:p>
    <w:p w14:paraId="4ECA02F5" w14:textId="77777777" w:rsidR="00040B09" w:rsidRPr="00F46023" w:rsidRDefault="00040B09" w:rsidP="00040B09">
      <w:pPr>
        <w:jc w:val="center"/>
        <w:rPr>
          <w:rFonts w:ascii="Gotham" w:eastAsia="Times New Roman" w:hAnsi="Gotham" w:cs="Times New Roman"/>
          <w:sz w:val="18"/>
          <w:szCs w:val="18"/>
        </w:rPr>
      </w:pPr>
      <w:r w:rsidRPr="00F46023">
        <w:rPr>
          <w:rFonts w:ascii="Gotham" w:hAnsi="Gotham"/>
          <w:noProof/>
          <w:sz w:val="18"/>
          <w:szCs w:val="18"/>
        </w:rPr>
        <w:drawing>
          <wp:inline distT="0" distB="0" distL="0" distR="0" wp14:anchorId="6CBBEBC0" wp14:editId="24D4EFBA">
            <wp:extent cx="6007474" cy="3139200"/>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0053" cy="3150998"/>
                    </a:xfrm>
                    <a:prstGeom prst="rect">
                      <a:avLst/>
                    </a:prstGeom>
                    <a:noFill/>
                    <a:ln>
                      <a:noFill/>
                    </a:ln>
                  </pic:spPr>
                </pic:pic>
              </a:graphicData>
            </a:graphic>
          </wp:inline>
        </w:drawing>
      </w:r>
    </w:p>
    <w:p w14:paraId="36E05C87" w14:textId="77777777" w:rsidR="00040B09" w:rsidRPr="00F46023" w:rsidRDefault="00040B09" w:rsidP="00040B09">
      <w:pPr>
        <w:jc w:val="center"/>
        <w:rPr>
          <w:rFonts w:ascii="Gotham" w:eastAsia="Times New Roman" w:hAnsi="Gotham" w:cs="Times New Roman"/>
          <w:sz w:val="18"/>
          <w:szCs w:val="18"/>
        </w:rPr>
      </w:pPr>
    </w:p>
    <w:p w14:paraId="3B4266AA" w14:textId="77777777" w:rsidR="00040B09" w:rsidRPr="00F46023" w:rsidRDefault="00040B09" w:rsidP="00040B09">
      <w:pPr>
        <w:jc w:val="both"/>
        <w:rPr>
          <w:rFonts w:ascii="Gotham" w:hAnsi="Gotham" w:cs="Arial"/>
          <w:b/>
          <w:sz w:val="18"/>
          <w:szCs w:val="18"/>
          <w:lang w:eastAsia="en-US"/>
        </w:rPr>
      </w:pPr>
      <w:r w:rsidRPr="00F46023">
        <w:rPr>
          <w:rFonts w:ascii="Gotham" w:hAnsi="Gotham" w:cs="Arial"/>
          <w:b/>
          <w:sz w:val="18"/>
          <w:szCs w:val="18"/>
          <w:lang w:eastAsia="en-US"/>
        </w:rPr>
        <w:t>INGRESOS.</w:t>
      </w:r>
    </w:p>
    <w:p w14:paraId="7D6961AB" w14:textId="77777777" w:rsidR="00040B09" w:rsidRPr="00F46023" w:rsidRDefault="00040B09" w:rsidP="00040B09">
      <w:pPr>
        <w:tabs>
          <w:tab w:val="left" w:pos="7560"/>
        </w:tabs>
        <w:jc w:val="both"/>
        <w:rPr>
          <w:rFonts w:ascii="Gotham" w:hAnsi="Gotham" w:cs="Times New Roman"/>
          <w:sz w:val="18"/>
          <w:szCs w:val="18"/>
          <w:lang w:eastAsia="en-US"/>
        </w:rPr>
      </w:pPr>
      <w:r w:rsidRPr="00F46023">
        <w:rPr>
          <w:rFonts w:ascii="Gotham" w:hAnsi="Gotham" w:cs="Times New Roman"/>
          <w:sz w:val="18"/>
          <w:szCs w:val="18"/>
          <w:lang w:eastAsia="en-US"/>
        </w:rPr>
        <w:tab/>
      </w:r>
    </w:p>
    <w:p w14:paraId="4ED4DC20" w14:textId="70FA5C04" w:rsidR="00040B09" w:rsidRPr="00F46023" w:rsidRDefault="00040B09" w:rsidP="00040B09">
      <w:pPr>
        <w:jc w:val="both"/>
        <w:rPr>
          <w:rFonts w:ascii="Gotham" w:hAnsi="Gotham" w:cs="Arial"/>
          <w:sz w:val="18"/>
          <w:szCs w:val="18"/>
          <w:lang w:eastAsia="en-US"/>
        </w:rPr>
      </w:pPr>
      <w:r w:rsidRPr="00F46023">
        <w:rPr>
          <w:rFonts w:ascii="Gotham" w:hAnsi="Gotham" w:cs="Arial"/>
          <w:sz w:val="18"/>
          <w:szCs w:val="18"/>
          <w:lang w:eastAsia="en-US"/>
        </w:rPr>
        <w:t>Inicialmente</w:t>
      </w:r>
      <w:r w:rsidR="001C69E8" w:rsidRPr="00F46023">
        <w:rPr>
          <w:rFonts w:ascii="Gotham" w:hAnsi="Gotham" w:cs="Arial"/>
          <w:sz w:val="18"/>
          <w:szCs w:val="18"/>
          <w:lang w:eastAsia="en-US"/>
        </w:rPr>
        <w:t>,</w:t>
      </w:r>
      <w:r w:rsidRPr="00F46023">
        <w:rPr>
          <w:rFonts w:ascii="Gotham" w:hAnsi="Gotham" w:cs="Arial"/>
          <w:sz w:val="18"/>
          <w:szCs w:val="18"/>
          <w:lang w:eastAsia="en-US"/>
        </w:rPr>
        <w:t xml:space="preserve"> se previó recaudar en la Ley de Ingresos Estimada la cantidad de </w:t>
      </w:r>
      <w:r w:rsidRPr="00F46023">
        <w:rPr>
          <w:rFonts w:ascii="Gotham" w:hAnsi="Gotham" w:cs="Arial"/>
          <w:bCs/>
          <w:sz w:val="18"/>
          <w:szCs w:val="18"/>
          <w:lang w:eastAsia="en-US"/>
        </w:rPr>
        <w:t>3,118,386,257.00</w:t>
      </w:r>
      <w:r w:rsidRPr="00F46023">
        <w:rPr>
          <w:rFonts w:ascii="Gotham" w:hAnsi="Gotham" w:cs="Arial"/>
          <w:sz w:val="18"/>
          <w:szCs w:val="18"/>
          <w:lang w:eastAsia="en-US"/>
        </w:rPr>
        <w:t xml:space="preserve">. Se han realizado ampliaciones al presupuesto por 38,000,000.00, por concepto de “Ingresos por disponibilidades presupuestarias”, 38,921,594.44 de subsidios y subvenciones destinados al capítulo 1000 “Servicios Personales” y 96,200,000.00 para “reestructura de los CEBURS Serie C”. Así mismo se autorizó la cancelación de recursos por 38,921,594.44 por concepto de “Ingresos por disponibilidades presupuestarias”. El importe total recaudado al mes de septiembre fue de </w:t>
      </w:r>
      <w:r w:rsidRPr="00F46023">
        <w:rPr>
          <w:rFonts w:ascii="Gotham" w:hAnsi="Gotham" w:cs="Arial"/>
          <w:bCs/>
          <w:sz w:val="18"/>
          <w:szCs w:val="18"/>
          <w:lang w:eastAsia="en-US"/>
        </w:rPr>
        <w:t>2,493,543,682.36</w:t>
      </w:r>
      <w:r w:rsidRPr="00F46023">
        <w:rPr>
          <w:rFonts w:ascii="Gotham" w:hAnsi="Gotham" w:cs="Arial"/>
          <w:sz w:val="18"/>
          <w:szCs w:val="18"/>
          <w:lang w:eastAsia="en-US"/>
        </w:rPr>
        <w:t xml:space="preserve">, por lo que existe una variación del 23.6 por ciento menor con respecto al total autorizado anual. </w:t>
      </w:r>
    </w:p>
    <w:p w14:paraId="2C9C77B6" w14:textId="77777777" w:rsidR="00040B09" w:rsidRPr="00F46023" w:rsidRDefault="00040B09" w:rsidP="00040B09">
      <w:pPr>
        <w:jc w:val="both"/>
        <w:rPr>
          <w:rFonts w:ascii="Gotham" w:hAnsi="Gotham" w:cs="Arial"/>
          <w:sz w:val="18"/>
          <w:szCs w:val="18"/>
          <w:lang w:eastAsia="en-US"/>
        </w:rPr>
      </w:pPr>
    </w:p>
    <w:p w14:paraId="09A955CA" w14:textId="77777777" w:rsidR="00040B09" w:rsidRPr="00F46023" w:rsidRDefault="00040B09" w:rsidP="00040B09">
      <w:pPr>
        <w:jc w:val="both"/>
        <w:rPr>
          <w:rFonts w:ascii="Gotham" w:hAnsi="Gotham" w:cs="Arial"/>
          <w:b/>
          <w:sz w:val="18"/>
          <w:szCs w:val="18"/>
          <w:lang w:eastAsia="en-US"/>
        </w:rPr>
      </w:pPr>
      <w:r w:rsidRPr="00F46023">
        <w:rPr>
          <w:rFonts w:ascii="Gotham" w:hAnsi="Gotham" w:cs="Arial"/>
          <w:b/>
          <w:sz w:val="18"/>
          <w:szCs w:val="18"/>
          <w:lang w:eastAsia="en-US"/>
        </w:rPr>
        <w:t>INGRESOS DE GESTIÓN.</w:t>
      </w:r>
    </w:p>
    <w:p w14:paraId="404CE399" w14:textId="77777777" w:rsidR="00040B09" w:rsidRPr="00F46023" w:rsidRDefault="00040B09" w:rsidP="00040B09">
      <w:pPr>
        <w:jc w:val="both"/>
        <w:rPr>
          <w:rFonts w:ascii="Gotham" w:hAnsi="Gotham" w:cs="Arial"/>
          <w:sz w:val="18"/>
          <w:szCs w:val="18"/>
          <w:lang w:eastAsia="en-US"/>
        </w:rPr>
      </w:pPr>
    </w:p>
    <w:p w14:paraId="60C44DC8" w14:textId="77777777" w:rsidR="00040B09" w:rsidRPr="00F46023" w:rsidRDefault="00040B09" w:rsidP="00040B09">
      <w:pPr>
        <w:jc w:val="both"/>
        <w:rPr>
          <w:rFonts w:ascii="Gotham" w:hAnsi="Gotham" w:cs="Arial"/>
          <w:sz w:val="18"/>
          <w:szCs w:val="18"/>
          <w:lang w:eastAsia="en-US"/>
        </w:rPr>
      </w:pPr>
      <w:r w:rsidRPr="00F46023">
        <w:rPr>
          <w:rFonts w:ascii="Gotham" w:hAnsi="Gotham" w:cs="Arial"/>
          <w:sz w:val="18"/>
          <w:szCs w:val="18"/>
          <w:lang w:eastAsia="en-US"/>
        </w:rPr>
        <w:t>De acuerdo a lo señalado en la Ley de Ingresos para el ejercicio 2023, se previó recaudar ingresos por concepto de derechos del Registro Público de la Propiedad y Comercio por un importe de 2,993,660,563.00. Se han realizado “traspasos internos” para dar suficiencia a otros ingresos y beneficios varios.</w:t>
      </w:r>
    </w:p>
    <w:p w14:paraId="65E8CC64" w14:textId="77777777" w:rsidR="00040B09" w:rsidRPr="00F46023" w:rsidRDefault="00040B09" w:rsidP="00040B09">
      <w:pPr>
        <w:jc w:val="both"/>
        <w:rPr>
          <w:rFonts w:ascii="Gotham" w:hAnsi="Gotham" w:cs="Arial"/>
          <w:sz w:val="18"/>
          <w:szCs w:val="18"/>
          <w:lang w:eastAsia="en-US"/>
        </w:rPr>
      </w:pPr>
    </w:p>
    <w:p w14:paraId="2EF61742" w14:textId="77777777" w:rsidR="00040B09" w:rsidRPr="00F46023" w:rsidRDefault="00040B09" w:rsidP="00040B09">
      <w:pPr>
        <w:jc w:val="both"/>
        <w:rPr>
          <w:rFonts w:ascii="Gotham" w:hAnsi="Gotham" w:cs="Arial"/>
          <w:sz w:val="18"/>
          <w:szCs w:val="18"/>
          <w:lang w:eastAsia="en-US"/>
        </w:rPr>
      </w:pPr>
      <w:r w:rsidRPr="00F46023">
        <w:rPr>
          <w:rFonts w:ascii="Gotham" w:hAnsi="Gotham" w:cs="Arial"/>
          <w:sz w:val="18"/>
          <w:szCs w:val="18"/>
          <w:lang w:eastAsia="en-US"/>
        </w:rPr>
        <w:t>Asimismo, se autorizaron Ingresos por Venta de Bienes, Prestación de Servicios y Otros Ingresos, por 124,725,694.00.</w:t>
      </w:r>
    </w:p>
    <w:p w14:paraId="31E70D47" w14:textId="77777777" w:rsidR="00040B09" w:rsidRPr="00F46023" w:rsidRDefault="00040B09" w:rsidP="00040B09">
      <w:pPr>
        <w:jc w:val="both"/>
        <w:rPr>
          <w:rFonts w:ascii="Gotham" w:hAnsi="Gotham" w:cs="Arial"/>
          <w:sz w:val="18"/>
          <w:szCs w:val="18"/>
          <w:lang w:eastAsia="en-US"/>
        </w:rPr>
      </w:pPr>
    </w:p>
    <w:p w14:paraId="07F52F84" w14:textId="226665AA" w:rsidR="00040B09" w:rsidRPr="00F46023" w:rsidRDefault="00040B09" w:rsidP="00040B09">
      <w:pPr>
        <w:jc w:val="both"/>
        <w:rPr>
          <w:rFonts w:ascii="Gotham" w:hAnsi="Gotham" w:cs="Arial"/>
          <w:sz w:val="18"/>
          <w:szCs w:val="18"/>
          <w:lang w:eastAsia="en-US"/>
        </w:rPr>
      </w:pPr>
      <w:r w:rsidRPr="00F46023">
        <w:rPr>
          <w:rFonts w:ascii="Gotham" w:hAnsi="Gotham" w:cs="Arial"/>
          <w:sz w:val="18"/>
          <w:szCs w:val="18"/>
          <w:lang w:eastAsia="en-US"/>
        </w:rPr>
        <w:t xml:space="preserve">Se han recaudado por los derechos de los servicios que presta el Instituto </w:t>
      </w:r>
      <w:r w:rsidRPr="00F46023">
        <w:rPr>
          <w:rFonts w:ascii="Gotham" w:hAnsi="Gotham" w:cs="HelveticaNeueLT Std Lt"/>
          <w:bCs/>
          <w:color w:val="000000"/>
          <w:sz w:val="18"/>
          <w:szCs w:val="18"/>
          <w:lang w:eastAsia="en-US"/>
        </w:rPr>
        <w:t>1,381,316,553.00</w:t>
      </w:r>
      <w:r w:rsidRPr="00F46023">
        <w:rPr>
          <w:rFonts w:ascii="Gotham" w:hAnsi="Gotham"/>
          <w:sz w:val="18"/>
          <w:szCs w:val="18"/>
          <w:lang w:eastAsia="en-US"/>
        </w:rPr>
        <w:t xml:space="preserve">, </w:t>
      </w:r>
      <w:r w:rsidRPr="00F46023">
        <w:rPr>
          <w:rFonts w:ascii="Gotham" w:hAnsi="Gotham" w:cs="Arial"/>
          <w:sz w:val="18"/>
          <w:szCs w:val="18"/>
          <w:lang w:eastAsia="en-US"/>
        </w:rPr>
        <w:t xml:space="preserve">lo que representa el 27.8 por ciento menos respecto del modificado anual de este concepto. </w:t>
      </w:r>
    </w:p>
    <w:p w14:paraId="47AD864B" w14:textId="77777777" w:rsidR="008C2184" w:rsidRDefault="008C2184" w:rsidP="00040B09">
      <w:pPr>
        <w:jc w:val="both"/>
        <w:rPr>
          <w:rFonts w:ascii="Gotham" w:hAnsi="Gotham" w:cs="Arial"/>
          <w:sz w:val="18"/>
          <w:szCs w:val="18"/>
          <w:lang w:eastAsia="en-US"/>
        </w:rPr>
      </w:pPr>
    </w:p>
    <w:p w14:paraId="4CC13E29" w14:textId="77777777" w:rsidR="00DE5431" w:rsidRDefault="00DE5431" w:rsidP="00040B09">
      <w:pPr>
        <w:jc w:val="both"/>
        <w:rPr>
          <w:rFonts w:ascii="Gotham" w:hAnsi="Gotham" w:cs="Arial"/>
          <w:sz w:val="18"/>
          <w:szCs w:val="18"/>
          <w:lang w:eastAsia="en-US"/>
        </w:rPr>
      </w:pPr>
    </w:p>
    <w:p w14:paraId="722EFE62" w14:textId="77777777" w:rsidR="00DE5431" w:rsidRDefault="00DE5431" w:rsidP="00040B09">
      <w:pPr>
        <w:jc w:val="both"/>
        <w:rPr>
          <w:rFonts w:ascii="Gotham" w:hAnsi="Gotham" w:cs="Arial"/>
          <w:sz w:val="18"/>
          <w:szCs w:val="18"/>
          <w:lang w:eastAsia="en-US"/>
        </w:rPr>
      </w:pPr>
    </w:p>
    <w:p w14:paraId="669A9FE1" w14:textId="77777777" w:rsidR="00DE5431" w:rsidRDefault="00DE5431" w:rsidP="00040B09">
      <w:pPr>
        <w:jc w:val="both"/>
        <w:rPr>
          <w:rFonts w:ascii="Gotham" w:hAnsi="Gotham" w:cs="Arial"/>
          <w:sz w:val="18"/>
          <w:szCs w:val="18"/>
          <w:lang w:eastAsia="en-US"/>
        </w:rPr>
      </w:pPr>
    </w:p>
    <w:p w14:paraId="3FF839ED" w14:textId="77777777" w:rsidR="00DE5431" w:rsidRDefault="00DE5431" w:rsidP="00040B09">
      <w:pPr>
        <w:jc w:val="both"/>
        <w:rPr>
          <w:rFonts w:ascii="Gotham" w:hAnsi="Gotham" w:cs="Arial"/>
          <w:sz w:val="18"/>
          <w:szCs w:val="18"/>
          <w:lang w:eastAsia="en-US"/>
        </w:rPr>
      </w:pPr>
    </w:p>
    <w:p w14:paraId="76DA1980" w14:textId="566FD3D5" w:rsidR="00040B09" w:rsidRDefault="00040B09" w:rsidP="00040B09">
      <w:pPr>
        <w:jc w:val="both"/>
        <w:rPr>
          <w:rFonts w:ascii="Gotham" w:hAnsi="Gotham" w:cs="Arial"/>
          <w:b/>
          <w:sz w:val="18"/>
          <w:szCs w:val="18"/>
          <w:lang w:eastAsia="en-US"/>
        </w:rPr>
      </w:pPr>
      <w:r w:rsidRPr="00F46023">
        <w:rPr>
          <w:rFonts w:ascii="Gotham" w:hAnsi="Gotham" w:cs="Arial"/>
          <w:b/>
          <w:sz w:val="18"/>
          <w:szCs w:val="18"/>
          <w:lang w:eastAsia="en-US"/>
        </w:rPr>
        <w:lastRenderedPageBreak/>
        <w:t>PARTICIPACIONES, APORTACIONES, TRANSFERENCIAS, ASIGNACIONES, SUBSIDIOS Y OTRAS AYUDAS.</w:t>
      </w:r>
    </w:p>
    <w:p w14:paraId="78589B74" w14:textId="77777777" w:rsidR="00961B5A" w:rsidRPr="00961B5A" w:rsidRDefault="00961B5A" w:rsidP="00040B09">
      <w:pPr>
        <w:jc w:val="both"/>
        <w:rPr>
          <w:rFonts w:ascii="Gotham" w:hAnsi="Gotham" w:cs="Arial"/>
          <w:b/>
          <w:sz w:val="18"/>
          <w:szCs w:val="18"/>
          <w:lang w:eastAsia="en-US"/>
        </w:rPr>
      </w:pPr>
    </w:p>
    <w:p w14:paraId="4BAD67B1" w14:textId="1B9F0C48" w:rsidR="00961B5A" w:rsidRPr="00F46023" w:rsidRDefault="00040B09" w:rsidP="00040B09">
      <w:pPr>
        <w:jc w:val="both"/>
        <w:rPr>
          <w:rFonts w:ascii="Gotham" w:hAnsi="Gotham" w:cs="Arial"/>
          <w:sz w:val="18"/>
          <w:szCs w:val="18"/>
          <w:lang w:eastAsia="en-US"/>
        </w:rPr>
      </w:pPr>
      <w:r w:rsidRPr="00F46023">
        <w:rPr>
          <w:rFonts w:ascii="Gotham" w:hAnsi="Gotham" w:cs="Arial"/>
          <w:sz w:val="18"/>
          <w:szCs w:val="18"/>
          <w:lang w:eastAsia="en-US"/>
        </w:rPr>
        <w:t xml:space="preserve">Se autorizó una ampliación presupuestal en el rubro de subsidios en “actualización de sistemas registrales”, destinada al capítulo 1000 “Servicios personales”, por 38,921,594.44, este importe se refleja y se va recaudando con los depósitos que realiza mensualmente el GEM, que al mes de septiembre es de </w:t>
      </w:r>
      <w:r w:rsidRPr="00F46023">
        <w:rPr>
          <w:rFonts w:ascii="Gotham" w:hAnsi="Gotham" w:cs="Arial"/>
          <w:bCs/>
          <w:sz w:val="18"/>
          <w:szCs w:val="18"/>
          <w:lang w:eastAsia="en-US"/>
        </w:rPr>
        <w:t>28,378,320.44</w:t>
      </w:r>
      <w:r w:rsidRPr="00F46023">
        <w:rPr>
          <w:rFonts w:ascii="Gotham" w:hAnsi="Gotham" w:cs="Arial"/>
          <w:sz w:val="18"/>
          <w:szCs w:val="18"/>
          <w:lang w:eastAsia="en-US"/>
        </w:rPr>
        <w:t>. Así como una ampliación por 96,200,000.00 para “Reestructura de los CEBURS Serie C”, con un monto recaudado al mes de septiembre de 5,220,000.00.</w:t>
      </w:r>
    </w:p>
    <w:p w14:paraId="35A7ACDF" w14:textId="77777777" w:rsidR="00040B09" w:rsidRPr="00F46023" w:rsidRDefault="00040B09" w:rsidP="00040B09">
      <w:pPr>
        <w:jc w:val="both"/>
        <w:rPr>
          <w:rFonts w:ascii="Gotham" w:hAnsi="Gotham" w:cs="Arial"/>
          <w:sz w:val="18"/>
          <w:szCs w:val="18"/>
          <w:lang w:eastAsia="en-US"/>
        </w:rPr>
      </w:pPr>
    </w:p>
    <w:p w14:paraId="15187B01" w14:textId="77777777" w:rsidR="00040B09" w:rsidRPr="00F46023" w:rsidRDefault="00040B09" w:rsidP="00040B09">
      <w:pPr>
        <w:jc w:val="both"/>
        <w:rPr>
          <w:rFonts w:ascii="Gotham" w:hAnsi="Gotham" w:cs="Arial"/>
          <w:b/>
          <w:sz w:val="18"/>
          <w:szCs w:val="18"/>
          <w:lang w:eastAsia="en-US"/>
        </w:rPr>
      </w:pPr>
      <w:r w:rsidRPr="00F46023">
        <w:rPr>
          <w:rFonts w:ascii="Gotham" w:hAnsi="Gotham" w:cs="Arial"/>
          <w:b/>
          <w:sz w:val="18"/>
          <w:szCs w:val="18"/>
          <w:lang w:eastAsia="en-US"/>
        </w:rPr>
        <w:t>OTROS INGRESOS Y BENEFICIOS.</w:t>
      </w:r>
    </w:p>
    <w:p w14:paraId="67338996" w14:textId="77777777" w:rsidR="00040B09" w:rsidRPr="00F46023" w:rsidRDefault="00040B09" w:rsidP="00040B09">
      <w:pPr>
        <w:jc w:val="both"/>
        <w:rPr>
          <w:rFonts w:ascii="Gotham" w:hAnsi="Gotham" w:cs="Arial"/>
          <w:sz w:val="18"/>
          <w:szCs w:val="18"/>
          <w:lang w:eastAsia="en-US"/>
        </w:rPr>
      </w:pPr>
    </w:p>
    <w:p w14:paraId="3F32307C" w14:textId="77777777" w:rsidR="00040B09" w:rsidRPr="00F46023" w:rsidRDefault="00040B09" w:rsidP="00040B09">
      <w:pPr>
        <w:jc w:val="both"/>
        <w:rPr>
          <w:rFonts w:ascii="Gotham" w:hAnsi="Gotham" w:cs="Arial"/>
          <w:sz w:val="18"/>
          <w:szCs w:val="18"/>
          <w:lang w:eastAsia="en-US"/>
        </w:rPr>
      </w:pPr>
      <w:r w:rsidRPr="00F46023">
        <w:rPr>
          <w:rFonts w:ascii="Gotham" w:hAnsi="Gotham" w:cs="Arial"/>
          <w:sz w:val="18"/>
          <w:szCs w:val="18"/>
          <w:lang w:eastAsia="en-US"/>
        </w:rPr>
        <w:t>Se han realizado traspasos internos para dar suficiencia presupuestal a los otros ingresos y beneficios varios.</w:t>
      </w:r>
    </w:p>
    <w:p w14:paraId="037ADB98" w14:textId="77777777" w:rsidR="00040B09" w:rsidRPr="00F46023" w:rsidRDefault="00040B09" w:rsidP="00040B09">
      <w:pPr>
        <w:jc w:val="both"/>
        <w:rPr>
          <w:rFonts w:ascii="Gotham" w:hAnsi="Gotham" w:cs="Arial"/>
          <w:sz w:val="18"/>
          <w:szCs w:val="18"/>
          <w:lang w:eastAsia="en-US"/>
        </w:rPr>
      </w:pPr>
    </w:p>
    <w:p w14:paraId="1B4701D4" w14:textId="77777777" w:rsidR="00040B09" w:rsidRPr="00F46023" w:rsidRDefault="00040B09" w:rsidP="00040B09">
      <w:pPr>
        <w:spacing w:after="160"/>
        <w:jc w:val="both"/>
        <w:rPr>
          <w:rFonts w:ascii="Gotham" w:hAnsi="Gotham" w:cs="Arial"/>
          <w:b/>
          <w:bCs/>
          <w:sz w:val="18"/>
          <w:szCs w:val="18"/>
          <w:lang w:eastAsia="en-US"/>
        </w:rPr>
      </w:pPr>
      <w:r w:rsidRPr="00F46023">
        <w:rPr>
          <w:rFonts w:ascii="Gotham" w:hAnsi="Gotham" w:cs="Arial"/>
          <w:b/>
          <w:sz w:val="18"/>
          <w:szCs w:val="18"/>
          <w:lang w:eastAsia="en-US"/>
        </w:rPr>
        <w:t>Otros Ingresos Financieros. -</w:t>
      </w:r>
      <w:r w:rsidRPr="00F46023">
        <w:rPr>
          <w:rFonts w:ascii="Gotham" w:hAnsi="Gotham" w:cs="Arial"/>
          <w:sz w:val="18"/>
          <w:szCs w:val="18"/>
          <w:lang w:eastAsia="en-US"/>
        </w:rPr>
        <w:t xml:space="preserve"> Se tiene recaudado la cantidad de </w:t>
      </w:r>
      <w:r w:rsidRPr="00F46023">
        <w:rPr>
          <w:rFonts w:ascii="Gotham" w:hAnsi="Gotham" w:cs="Arial"/>
          <w:bCs/>
          <w:sz w:val="18"/>
          <w:szCs w:val="18"/>
          <w:lang w:eastAsia="en-US"/>
        </w:rPr>
        <w:t>425,007,093.73</w:t>
      </w:r>
      <w:r w:rsidRPr="00F46023">
        <w:rPr>
          <w:rFonts w:ascii="Gotham" w:hAnsi="Gotham" w:cs="Arial"/>
          <w:sz w:val="18"/>
          <w:szCs w:val="18"/>
          <w:lang w:eastAsia="en-US"/>
        </w:rPr>
        <w:t xml:space="preserve">, de los cuales </w:t>
      </w:r>
      <w:r w:rsidRPr="00F46023">
        <w:rPr>
          <w:rFonts w:ascii="Gotham" w:hAnsi="Gotham" w:cs="Arial"/>
          <w:bCs/>
          <w:sz w:val="18"/>
          <w:szCs w:val="18"/>
          <w:lang w:eastAsia="en-US"/>
        </w:rPr>
        <w:t>403,945,864.87</w:t>
      </w:r>
      <w:r w:rsidRPr="00F46023">
        <w:rPr>
          <w:rFonts w:ascii="Gotham" w:hAnsi="Gotham" w:cs="Arial"/>
          <w:b/>
          <w:bCs/>
          <w:sz w:val="18"/>
          <w:szCs w:val="18"/>
          <w:lang w:eastAsia="en-US"/>
        </w:rPr>
        <w:t xml:space="preserve"> </w:t>
      </w:r>
      <w:r w:rsidRPr="00F46023">
        <w:rPr>
          <w:rFonts w:ascii="Gotham" w:hAnsi="Gotham" w:cs="Arial"/>
          <w:sz w:val="18"/>
          <w:szCs w:val="18"/>
          <w:lang w:eastAsia="en-US"/>
        </w:rPr>
        <w:t xml:space="preserve">corresponden a los ingresos del Fideicomiso de Cobranza para los pagos de intereses de los bonos correspondientes al ejercicio y </w:t>
      </w:r>
      <w:r w:rsidRPr="00F46023">
        <w:rPr>
          <w:rFonts w:ascii="Gotham" w:hAnsi="Gotham" w:cs="Arial"/>
          <w:bCs/>
          <w:sz w:val="18"/>
          <w:szCs w:val="18"/>
          <w:lang w:eastAsia="en-US"/>
        </w:rPr>
        <w:t xml:space="preserve">21,061,228.86 </w:t>
      </w:r>
      <w:r w:rsidRPr="00F46023">
        <w:rPr>
          <w:rFonts w:ascii="Gotham" w:hAnsi="Gotham" w:cs="Arial"/>
          <w:sz w:val="18"/>
          <w:szCs w:val="18"/>
          <w:lang w:eastAsia="en-US"/>
        </w:rPr>
        <w:t>se derivan de rendimientos por intereses financieros generados por las inversiones de las Instituciones Bancarias de este Instituto.</w:t>
      </w:r>
    </w:p>
    <w:p w14:paraId="0E1DF0EB" w14:textId="126C7FEB" w:rsidR="00040B09" w:rsidRDefault="00040B09" w:rsidP="00040B09">
      <w:pPr>
        <w:jc w:val="both"/>
        <w:rPr>
          <w:rFonts w:ascii="Gotham" w:hAnsi="Gotham" w:cs="Arial"/>
          <w:sz w:val="18"/>
          <w:szCs w:val="18"/>
          <w:lang w:eastAsia="en-US"/>
        </w:rPr>
      </w:pPr>
      <w:r w:rsidRPr="00F46023">
        <w:rPr>
          <w:rFonts w:ascii="Gotham" w:hAnsi="Gotham" w:cs="Arial"/>
          <w:b/>
          <w:sz w:val="18"/>
          <w:szCs w:val="18"/>
          <w:lang w:eastAsia="en-US"/>
        </w:rPr>
        <w:t xml:space="preserve">Otros Ingresos Diversos. - </w:t>
      </w:r>
      <w:r w:rsidRPr="00F46023">
        <w:rPr>
          <w:rFonts w:ascii="Gotham" w:hAnsi="Gotham" w:cs="Arial"/>
          <w:sz w:val="18"/>
          <w:szCs w:val="18"/>
          <w:lang w:eastAsia="en-US"/>
        </w:rPr>
        <w:t xml:space="preserve">Se registra en ingresos diversos, un monto recaudado por </w:t>
      </w:r>
      <w:r w:rsidRPr="00F46023">
        <w:rPr>
          <w:rFonts w:ascii="Gotham" w:hAnsi="Gotham" w:cs="HelveticaNeueLT Std Lt"/>
          <w:color w:val="000000"/>
          <w:sz w:val="18"/>
          <w:szCs w:val="18"/>
          <w:lang w:eastAsia="en-US"/>
        </w:rPr>
        <w:t>653,621,715.19</w:t>
      </w:r>
      <w:r w:rsidRPr="00F46023">
        <w:rPr>
          <w:rFonts w:ascii="Gotham" w:hAnsi="Gotham" w:cs="Arial"/>
          <w:sz w:val="18"/>
          <w:szCs w:val="18"/>
          <w:lang w:eastAsia="en-US"/>
        </w:rPr>
        <w:t xml:space="preserve">, los cuales se componen principalmente de la siguiente forma: </w:t>
      </w:r>
      <w:r w:rsidRPr="00F46023">
        <w:rPr>
          <w:rFonts w:ascii="Gotham" w:hAnsi="Gotham" w:cs="Arial"/>
          <w:bCs/>
          <w:sz w:val="18"/>
          <w:szCs w:val="18"/>
          <w:lang w:eastAsia="en-US"/>
        </w:rPr>
        <w:t xml:space="preserve">512,471,780.73 </w:t>
      </w:r>
      <w:r w:rsidRPr="00F46023">
        <w:rPr>
          <w:rFonts w:ascii="Gotham" w:hAnsi="Gotham" w:cs="Times New Roman"/>
          <w:sz w:val="18"/>
          <w:szCs w:val="18"/>
          <w:lang w:eastAsia="en-US"/>
        </w:rPr>
        <w:t>para pagos de amortización de capital de las series “A”, “B” y “C” por la emisión de los Certificados Bursátiles Fiduciarios</w:t>
      </w:r>
      <w:r w:rsidRPr="00F46023">
        <w:rPr>
          <w:rFonts w:ascii="Gotham" w:hAnsi="Gotham" w:cs="Arial"/>
          <w:sz w:val="18"/>
          <w:szCs w:val="18"/>
          <w:lang w:eastAsia="en-US"/>
        </w:rPr>
        <w:t xml:space="preserve">; 38,000,000.00 de ingresos por disponibilidades presupuestarias, </w:t>
      </w:r>
      <w:r w:rsidRPr="00F46023">
        <w:rPr>
          <w:rFonts w:ascii="Gotham" w:hAnsi="Gotham" w:cs="Arial"/>
          <w:bCs/>
          <w:sz w:val="18"/>
          <w:szCs w:val="18"/>
          <w:lang w:eastAsia="en-US"/>
        </w:rPr>
        <w:t xml:space="preserve">140,416.81 </w:t>
      </w:r>
      <w:r w:rsidRPr="00F46023">
        <w:rPr>
          <w:rFonts w:ascii="Gotham" w:hAnsi="Gotham" w:cs="Arial"/>
          <w:sz w:val="18"/>
          <w:szCs w:val="18"/>
          <w:lang w:eastAsia="en-US"/>
        </w:rPr>
        <w:t xml:space="preserve">de los intereses generados por las transferencias de los depósitos del Registro Público de Comercio (rendimientos de la remesa de ingresos por RPC), </w:t>
      </w:r>
      <w:r w:rsidRPr="00F46023">
        <w:rPr>
          <w:rFonts w:ascii="Gotham" w:hAnsi="Gotham" w:cs="Arial"/>
          <w:bCs/>
          <w:sz w:val="18"/>
          <w:szCs w:val="18"/>
          <w:lang w:eastAsia="en-US"/>
        </w:rPr>
        <w:t xml:space="preserve">102,538.486.10 </w:t>
      </w:r>
      <w:r w:rsidRPr="00F46023">
        <w:rPr>
          <w:rFonts w:ascii="Gotham" w:hAnsi="Gotham" w:cs="Arial"/>
          <w:sz w:val="18"/>
          <w:szCs w:val="18"/>
          <w:lang w:eastAsia="en-US"/>
        </w:rPr>
        <w:t xml:space="preserve">por concepto de remanentes transferidos al Gobierno del Estado de México. Asimismo, se han recaudado </w:t>
      </w:r>
      <w:r w:rsidRPr="00F46023">
        <w:rPr>
          <w:rFonts w:ascii="Gotham" w:hAnsi="Gotham" w:cs="Arial"/>
          <w:bCs/>
          <w:sz w:val="18"/>
          <w:szCs w:val="18"/>
          <w:lang w:eastAsia="en-US"/>
        </w:rPr>
        <w:t xml:space="preserve">471,031.55 </w:t>
      </w:r>
      <w:r w:rsidRPr="00F46023">
        <w:rPr>
          <w:rFonts w:ascii="Gotham" w:hAnsi="Gotham" w:cs="Arial"/>
          <w:sz w:val="18"/>
          <w:szCs w:val="18"/>
          <w:lang w:eastAsia="en-US"/>
        </w:rPr>
        <w:t xml:space="preserve">de ingresos varios (depósitos no referenciados, llamadas no oficiales, venta de bases de concursos, cancelación de cuentas por pagar, notas de crédito, expedición de gafetes, entre otros). </w:t>
      </w:r>
    </w:p>
    <w:p w14:paraId="7FBB64BA" w14:textId="77777777" w:rsidR="005635E4" w:rsidRDefault="005635E4" w:rsidP="00040B09">
      <w:pPr>
        <w:jc w:val="both"/>
        <w:rPr>
          <w:rFonts w:ascii="Gotham" w:hAnsi="Gotham" w:cs="Arial"/>
          <w:sz w:val="18"/>
          <w:szCs w:val="18"/>
          <w:lang w:eastAsia="en-US"/>
        </w:rPr>
      </w:pPr>
    </w:p>
    <w:p w14:paraId="474159A1" w14:textId="77777777" w:rsidR="005635E4" w:rsidRDefault="005635E4" w:rsidP="00040B09">
      <w:pPr>
        <w:jc w:val="both"/>
        <w:rPr>
          <w:rFonts w:ascii="Gotham" w:hAnsi="Gotham" w:cs="Arial"/>
          <w:sz w:val="18"/>
          <w:szCs w:val="18"/>
          <w:lang w:eastAsia="en-US"/>
        </w:rPr>
      </w:pPr>
    </w:p>
    <w:p w14:paraId="0A329783" w14:textId="77777777" w:rsidR="005635E4" w:rsidRDefault="005635E4" w:rsidP="00040B09">
      <w:pPr>
        <w:jc w:val="both"/>
        <w:rPr>
          <w:rFonts w:ascii="Gotham" w:hAnsi="Gotham" w:cs="Arial"/>
          <w:sz w:val="18"/>
          <w:szCs w:val="18"/>
          <w:lang w:eastAsia="en-US"/>
        </w:rPr>
      </w:pPr>
    </w:p>
    <w:p w14:paraId="4993CBD6" w14:textId="77777777" w:rsidR="005635E4" w:rsidRDefault="005635E4" w:rsidP="00040B09">
      <w:pPr>
        <w:jc w:val="both"/>
        <w:rPr>
          <w:rFonts w:ascii="Gotham" w:hAnsi="Gotham" w:cs="Arial"/>
          <w:sz w:val="18"/>
          <w:szCs w:val="18"/>
          <w:lang w:eastAsia="en-US"/>
        </w:rPr>
      </w:pPr>
    </w:p>
    <w:p w14:paraId="7ABBD942" w14:textId="77777777" w:rsidR="005635E4" w:rsidRDefault="005635E4" w:rsidP="00040B09">
      <w:pPr>
        <w:jc w:val="both"/>
        <w:rPr>
          <w:rFonts w:ascii="Gotham" w:hAnsi="Gotham" w:cs="Arial"/>
          <w:sz w:val="18"/>
          <w:szCs w:val="18"/>
          <w:lang w:eastAsia="en-US"/>
        </w:rPr>
      </w:pPr>
    </w:p>
    <w:p w14:paraId="4900AD49" w14:textId="77777777" w:rsidR="005635E4" w:rsidRDefault="005635E4" w:rsidP="00040B09">
      <w:pPr>
        <w:jc w:val="both"/>
        <w:rPr>
          <w:rFonts w:ascii="Gotham" w:hAnsi="Gotham" w:cs="Arial"/>
          <w:sz w:val="18"/>
          <w:szCs w:val="18"/>
          <w:lang w:eastAsia="en-US"/>
        </w:rPr>
      </w:pPr>
    </w:p>
    <w:p w14:paraId="6137D85B" w14:textId="77777777" w:rsidR="005635E4" w:rsidRDefault="005635E4" w:rsidP="00040B09">
      <w:pPr>
        <w:jc w:val="both"/>
        <w:rPr>
          <w:rFonts w:ascii="Gotham" w:hAnsi="Gotham" w:cs="Arial"/>
          <w:sz w:val="18"/>
          <w:szCs w:val="18"/>
          <w:lang w:eastAsia="en-US"/>
        </w:rPr>
      </w:pPr>
    </w:p>
    <w:p w14:paraId="1D0AA4C0" w14:textId="77777777" w:rsidR="005635E4" w:rsidRDefault="005635E4" w:rsidP="00040B09">
      <w:pPr>
        <w:jc w:val="both"/>
        <w:rPr>
          <w:rFonts w:ascii="Gotham" w:hAnsi="Gotham" w:cs="Arial"/>
          <w:sz w:val="18"/>
          <w:szCs w:val="18"/>
          <w:lang w:eastAsia="en-US"/>
        </w:rPr>
      </w:pPr>
    </w:p>
    <w:p w14:paraId="27A4C38F" w14:textId="77777777" w:rsidR="005635E4" w:rsidRDefault="005635E4" w:rsidP="00040B09">
      <w:pPr>
        <w:jc w:val="both"/>
        <w:rPr>
          <w:rFonts w:ascii="Gotham" w:hAnsi="Gotham" w:cs="Arial"/>
          <w:sz w:val="18"/>
          <w:szCs w:val="18"/>
          <w:lang w:eastAsia="en-US"/>
        </w:rPr>
      </w:pPr>
    </w:p>
    <w:p w14:paraId="4DEA63A6" w14:textId="77777777" w:rsidR="005635E4" w:rsidRDefault="005635E4" w:rsidP="00040B09">
      <w:pPr>
        <w:jc w:val="both"/>
        <w:rPr>
          <w:rFonts w:ascii="Gotham" w:hAnsi="Gotham" w:cs="Arial"/>
          <w:sz w:val="18"/>
          <w:szCs w:val="18"/>
          <w:lang w:eastAsia="en-US"/>
        </w:rPr>
      </w:pPr>
    </w:p>
    <w:p w14:paraId="29338B14" w14:textId="77777777" w:rsidR="005635E4" w:rsidRDefault="005635E4" w:rsidP="00040B09">
      <w:pPr>
        <w:jc w:val="both"/>
        <w:rPr>
          <w:rFonts w:ascii="Gotham" w:hAnsi="Gotham" w:cs="Arial"/>
          <w:sz w:val="18"/>
          <w:szCs w:val="18"/>
          <w:lang w:eastAsia="en-US"/>
        </w:rPr>
      </w:pPr>
    </w:p>
    <w:p w14:paraId="6190C9FC" w14:textId="77777777" w:rsidR="005635E4" w:rsidRDefault="005635E4" w:rsidP="00040B09">
      <w:pPr>
        <w:jc w:val="both"/>
        <w:rPr>
          <w:rFonts w:ascii="Gotham" w:hAnsi="Gotham" w:cs="Arial"/>
          <w:sz w:val="18"/>
          <w:szCs w:val="18"/>
          <w:lang w:eastAsia="en-US"/>
        </w:rPr>
      </w:pPr>
    </w:p>
    <w:p w14:paraId="7954D9CD" w14:textId="77777777" w:rsidR="005635E4" w:rsidRDefault="005635E4" w:rsidP="00040B09">
      <w:pPr>
        <w:jc w:val="both"/>
        <w:rPr>
          <w:rFonts w:ascii="Gotham" w:hAnsi="Gotham" w:cs="Arial"/>
          <w:sz w:val="18"/>
          <w:szCs w:val="18"/>
          <w:lang w:eastAsia="en-US"/>
        </w:rPr>
      </w:pPr>
    </w:p>
    <w:p w14:paraId="459C3E10" w14:textId="77777777" w:rsidR="005635E4" w:rsidRDefault="005635E4" w:rsidP="00040B09">
      <w:pPr>
        <w:jc w:val="both"/>
        <w:rPr>
          <w:rFonts w:ascii="Gotham" w:hAnsi="Gotham" w:cs="Arial"/>
          <w:sz w:val="18"/>
          <w:szCs w:val="18"/>
          <w:lang w:eastAsia="en-US"/>
        </w:rPr>
      </w:pPr>
    </w:p>
    <w:p w14:paraId="73D8E7BB" w14:textId="77777777" w:rsidR="005635E4" w:rsidRDefault="005635E4" w:rsidP="00040B09">
      <w:pPr>
        <w:jc w:val="both"/>
        <w:rPr>
          <w:rFonts w:ascii="Gotham" w:hAnsi="Gotham" w:cs="Arial"/>
          <w:sz w:val="18"/>
          <w:szCs w:val="18"/>
          <w:lang w:eastAsia="en-US"/>
        </w:rPr>
      </w:pPr>
    </w:p>
    <w:p w14:paraId="7C4BF05C" w14:textId="77777777" w:rsidR="005635E4" w:rsidRDefault="005635E4" w:rsidP="00040B09">
      <w:pPr>
        <w:jc w:val="both"/>
        <w:rPr>
          <w:rFonts w:ascii="Gotham" w:hAnsi="Gotham" w:cs="Arial"/>
          <w:sz w:val="18"/>
          <w:szCs w:val="18"/>
          <w:lang w:eastAsia="en-US"/>
        </w:rPr>
      </w:pPr>
    </w:p>
    <w:p w14:paraId="2309FD88" w14:textId="77777777" w:rsidR="005635E4" w:rsidRDefault="005635E4" w:rsidP="00040B09">
      <w:pPr>
        <w:jc w:val="both"/>
        <w:rPr>
          <w:rFonts w:ascii="Gotham" w:hAnsi="Gotham" w:cs="Arial"/>
          <w:sz w:val="18"/>
          <w:szCs w:val="18"/>
          <w:lang w:eastAsia="en-US"/>
        </w:rPr>
      </w:pPr>
    </w:p>
    <w:p w14:paraId="0552B2B3" w14:textId="77777777" w:rsidR="005635E4" w:rsidRDefault="005635E4" w:rsidP="00040B09">
      <w:pPr>
        <w:jc w:val="both"/>
        <w:rPr>
          <w:rFonts w:ascii="Gotham" w:hAnsi="Gotham" w:cs="Arial"/>
          <w:sz w:val="18"/>
          <w:szCs w:val="18"/>
          <w:lang w:eastAsia="en-US"/>
        </w:rPr>
      </w:pPr>
    </w:p>
    <w:p w14:paraId="5F5E7A8B" w14:textId="77777777" w:rsidR="005635E4" w:rsidRDefault="005635E4" w:rsidP="00040B09">
      <w:pPr>
        <w:jc w:val="both"/>
        <w:rPr>
          <w:rFonts w:ascii="Gotham" w:hAnsi="Gotham" w:cs="Arial"/>
          <w:sz w:val="18"/>
          <w:szCs w:val="18"/>
          <w:lang w:eastAsia="en-US"/>
        </w:rPr>
      </w:pPr>
    </w:p>
    <w:p w14:paraId="1F3E3FD6" w14:textId="77777777" w:rsidR="005635E4" w:rsidRDefault="005635E4" w:rsidP="00040B09">
      <w:pPr>
        <w:jc w:val="both"/>
        <w:rPr>
          <w:rFonts w:ascii="Gotham" w:hAnsi="Gotham" w:cs="Arial"/>
          <w:sz w:val="18"/>
          <w:szCs w:val="18"/>
          <w:lang w:eastAsia="en-US"/>
        </w:rPr>
      </w:pPr>
    </w:p>
    <w:p w14:paraId="1FB97E55" w14:textId="77777777" w:rsidR="005635E4" w:rsidRDefault="005635E4" w:rsidP="00040B09">
      <w:pPr>
        <w:jc w:val="both"/>
        <w:rPr>
          <w:rFonts w:ascii="Gotham" w:hAnsi="Gotham" w:cs="Arial"/>
          <w:sz w:val="18"/>
          <w:szCs w:val="18"/>
          <w:lang w:eastAsia="en-US"/>
        </w:rPr>
      </w:pPr>
    </w:p>
    <w:p w14:paraId="1A7C0660" w14:textId="77777777" w:rsidR="005635E4" w:rsidRDefault="005635E4" w:rsidP="00040B09">
      <w:pPr>
        <w:jc w:val="both"/>
        <w:rPr>
          <w:rFonts w:ascii="Gotham" w:hAnsi="Gotham" w:cs="Arial"/>
          <w:sz w:val="18"/>
          <w:szCs w:val="18"/>
          <w:lang w:eastAsia="en-US"/>
        </w:rPr>
      </w:pPr>
    </w:p>
    <w:p w14:paraId="4FD5D8ED" w14:textId="77777777" w:rsidR="005635E4" w:rsidRDefault="005635E4" w:rsidP="00040B09">
      <w:pPr>
        <w:jc w:val="both"/>
        <w:rPr>
          <w:rFonts w:ascii="Gotham" w:hAnsi="Gotham" w:cs="Arial"/>
          <w:sz w:val="18"/>
          <w:szCs w:val="18"/>
          <w:lang w:eastAsia="en-US"/>
        </w:rPr>
      </w:pPr>
    </w:p>
    <w:p w14:paraId="61C6C028" w14:textId="77777777" w:rsidR="005635E4" w:rsidRDefault="005635E4" w:rsidP="00040B09">
      <w:pPr>
        <w:jc w:val="both"/>
        <w:rPr>
          <w:rFonts w:ascii="Gotham" w:hAnsi="Gotham" w:cs="Arial"/>
          <w:sz w:val="18"/>
          <w:szCs w:val="18"/>
          <w:lang w:eastAsia="en-US"/>
        </w:rPr>
      </w:pPr>
    </w:p>
    <w:p w14:paraId="032B6880" w14:textId="77777777" w:rsidR="005635E4" w:rsidRDefault="005635E4" w:rsidP="00040B09">
      <w:pPr>
        <w:jc w:val="both"/>
        <w:rPr>
          <w:rFonts w:ascii="Gotham" w:hAnsi="Gotham" w:cs="Arial"/>
          <w:sz w:val="18"/>
          <w:szCs w:val="18"/>
          <w:lang w:eastAsia="en-US"/>
        </w:rPr>
      </w:pPr>
    </w:p>
    <w:p w14:paraId="5096DE2D" w14:textId="77777777" w:rsidR="005635E4" w:rsidRDefault="005635E4" w:rsidP="00040B09">
      <w:pPr>
        <w:jc w:val="both"/>
        <w:rPr>
          <w:rFonts w:ascii="Gotham" w:hAnsi="Gotham" w:cs="Arial"/>
          <w:sz w:val="18"/>
          <w:szCs w:val="18"/>
          <w:lang w:eastAsia="en-US"/>
        </w:rPr>
      </w:pPr>
    </w:p>
    <w:p w14:paraId="26ABEBA0" w14:textId="77777777" w:rsidR="005635E4" w:rsidRDefault="005635E4" w:rsidP="00040B09">
      <w:pPr>
        <w:jc w:val="both"/>
        <w:rPr>
          <w:rFonts w:ascii="Gotham" w:hAnsi="Gotham" w:cs="Arial"/>
          <w:sz w:val="18"/>
          <w:szCs w:val="18"/>
          <w:lang w:eastAsia="en-US"/>
        </w:rPr>
      </w:pPr>
    </w:p>
    <w:p w14:paraId="0A7960C6" w14:textId="77777777" w:rsidR="005635E4" w:rsidRDefault="005635E4" w:rsidP="00040B09">
      <w:pPr>
        <w:jc w:val="both"/>
        <w:rPr>
          <w:rFonts w:ascii="Gotham" w:hAnsi="Gotham" w:cs="Arial"/>
          <w:sz w:val="18"/>
          <w:szCs w:val="18"/>
          <w:lang w:eastAsia="en-US"/>
        </w:rPr>
      </w:pPr>
    </w:p>
    <w:p w14:paraId="37125E1D" w14:textId="77777777" w:rsidR="005635E4" w:rsidRDefault="005635E4" w:rsidP="00040B09">
      <w:pPr>
        <w:jc w:val="both"/>
        <w:rPr>
          <w:rFonts w:ascii="Gotham" w:hAnsi="Gotham" w:cs="Arial"/>
          <w:sz w:val="18"/>
          <w:szCs w:val="18"/>
          <w:lang w:eastAsia="en-US"/>
        </w:rPr>
      </w:pPr>
    </w:p>
    <w:p w14:paraId="68AFD98D" w14:textId="77777777" w:rsidR="005635E4" w:rsidRDefault="005635E4" w:rsidP="00040B09">
      <w:pPr>
        <w:jc w:val="both"/>
        <w:rPr>
          <w:rFonts w:ascii="Gotham" w:hAnsi="Gotham" w:cs="Arial"/>
          <w:sz w:val="18"/>
          <w:szCs w:val="18"/>
          <w:lang w:eastAsia="en-US"/>
        </w:rPr>
      </w:pPr>
    </w:p>
    <w:p w14:paraId="7011EEE9" w14:textId="77777777" w:rsidR="005635E4" w:rsidRDefault="005635E4" w:rsidP="00040B09">
      <w:pPr>
        <w:jc w:val="both"/>
        <w:rPr>
          <w:rFonts w:ascii="Gotham" w:hAnsi="Gotham" w:cs="Arial"/>
          <w:sz w:val="18"/>
          <w:szCs w:val="18"/>
          <w:lang w:eastAsia="en-US"/>
        </w:rPr>
      </w:pPr>
    </w:p>
    <w:p w14:paraId="62AE5283" w14:textId="77777777" w:rsidR="005635E4" w:rsidRDefault="005635E4" w:rsidP="00040B09">
      <w:pPr>
        <w:jc w:val="both"/>
        <w:rPr>
          <w:rFonts w:ascii="Gotham" w:hAnsi="Gotham" w:cs="Arial"/>
          <w:sz w:val="18"/>
          <w:szCs w:val="18"/>
          <w:lang w:eastAsia="en-US"/>
        </w:rPr>
      </w:pPr>
    </w:p>
    <w:p w14:paraId="25BC45CE" w14:textId="77777777" w:rsidR="005635E4" w:rsidRDefault="005635E4" w:rsidP="00040B09">
      <w:pPr>
        <w:jc w:val="both"/>
        <w:rPr>
          <w:rFonts w:ascii="Gotham" w:hAnsi="Gotham" w:cs="Arial"/>
          <w:sz w:val="18"/>
          <w:szCs w:val="18"/>
          <w:lang w:eastAsia="en-US"/>
        </w:rPr>
      </w:pPr>
    </w:p>
    <w:p w14:paraId="0E72ADAF" w14:textId="77777777" w:rsidR="005635E4" w:rsidRDefault="005635E4" w:rsidP="00040B09">
      <w:pPr>
        <w:jc w:val="both"/>
        <w:rPr>
          <w:rFonts w:ascii="Gotham" w:hAnsi="Gotham" w:cs="Arial"/>
          <w:sz w:val="18"/>
          <w:szCs w:val="18"/>
          <w:lang w:eastAsia="en-US"/>
        </w:rPr>
      </w:pPr>
    </w:p>
    <w:p w14:paraId="542F31E0" w14:textId="77777777" w:rsidR="005635E4" w:rsidRDefault="005635E4" w:rsidP="00040B09">
      <w:pPr>
        <w:jc w:val="both"/>
        <w:rPr>
          <w:rFonts w:ascii="Gotham" w:hAnsi="Gotham" w:cs="Arial"/>
          <w:sz w:val="18"/>
          <w:szCs w:val="18"/>
          <w:lang w:eastAsia="en-US"/>
        </w:rPr>
      </w:pPr>
    </w:p>
    <w:p w14:paraId="614482AA" w14:textId="77777777" w:rsidR="005635E4" w:rsidRPr="00F46023" w:rsidRDefault="005635E4" w:rsidP="00040B09">
      <w:pPr>
        <w:jc w:val="both"/>
        <w:rPr>
          <w:rFonts w:ascii="Gotham" w:hAnsi="Gotham" w:cs="Arial"/>
          <w:sz w:val="18"/>
          <w:szCs w:val="18"/>
          <w:lang w:eastAsia="en-US"/>
        </w:rPr>
      </w:pPr>
    </w:p>
    <w:p w14:paraId="140A9FC0" w14:textId="77777777" w:rsidR="00945E3F" w:rsidRPr="00F46023" w:rsidRDefault="00945E3F" w:rsidP="00040B09">
      <w:pPr>
        <w:jc w:val="both"/>
        <w:rPr>
          <w:rFonts w:ascii="Gotham" w:hAnsi="Gotham" w:cs="Arial"/>
          <w:sz w:val="18"/>
          <w:szCs w:val="18"/>
          <w:lang w:eastAsia="en-US"/>
        </w:rPr>
      </w:pPr>
    </w:p>
    <w:p w14:paraId="235D2D91" w14:textId="77777777" w:rsidR="00896D41" w:rsidRPr="00F46023" w:rsidRDefault="00896D41" w:rsidP="00896D41">
      <w:pPr>
        <w:jc w:val="both"/>
        <w:rPr>
          <w:rFonts w:ascii="Gotham" w:hAnsi="Gotham" w:cs="HelveticaNeueLT Std Lt"/>
          <w:b/>
          <w:color w:val="000000"/>
          <w:sz w:val="18"/>
          <w:szCs w:val="18"/>
          <w:lang w:eastAsia="en-US"/>
        </w:rPr>
      </w:pPr>
      <w:r w:rsidRPr="00F46023">
        <w:rPr>
          <w:rFonts w:ascii="Gotham" w:hAnsi="Gotham" w:cs="HelveticaNeueLT Std Lt"/>
          <w:b/>
          <w:color w:val="000000"/>
          <w:sz w:val="18"/>
          <w:szCs w:val="18"/>
          <w:lang w:eastAsia="en-US"/>
        </w:rPr>
        <w:lastRenderedPageBreak/>
        <w:t>11.</w:t>
      </w:r>
      <w:r w:rsidRPr="00F46023">
        <w:rPr>
          <w:rFonts w:ascii="Gotham" w:hAnsi="Gotham" w:cs="HelveticaNeueLT Std Lt"/>
          <w:b/>
          <w:color w:val="000000"/>
          <w:sz w:val="18"/>
          <w:szCs w:val="18"/>
          <w:lang w:eastAsia="en-US"/>
        </w:rPr>
        <w:tab/>
        <w:t>Información sobre la Deuda y el Reporte Analítico de la Deuda</w:t>
      </w:r>
    </w:p>
    <w:p w14:paraId="48A9DEFA" w14:textId="77777777" w:rsidR="00896D41" w:rsidRPr="00F46023" w:rsidRDefault="00896D41" w:rsidP="00896D41">
      <w:pPr>
        <w:jc w:val="both"/>
        <w:rPr>
          <w:rFonts w:ascii="Gotham" w:hAnsi="Gotham" w:cs="HelveticaNeueLT Std Lt"/>
          <w:color w:val="000000"/>
          <w:sz w:val="18"/>
          <w:szCs w:val="18"/>
          <w:lang w:eastAsia="en-US"/>
        </w:rPr>
      </w:pPr>
    </w:p>
    <w:p w14:paraId="5F77CE99" w14:textId="37DC0BB7" w:rsidR="00896D41" w:rsidRPr="00F46023" w:rsidRDefault="00896D41" w:rsidP="00896D41">
      <w:pPr>
        <w:jc w:val="both"/>
        <w:rPr>
          <w:rFonts w:ascii="Gotham" w:hAnsi="Gotham" w:cs="HelveticaNeueLT Std Lt"/>
          <w:color w:val="000000"/>
          <w:sz w:val="18"/>
          <w:szCs w:val="18"/>
          <w:lang w:eastAsia="en-US"/>
        </w:rPr>
      </w:pPr>
      <w:r w:rsidRPr="00F46023">
        <w:rPr>
          <w:rFonts w:ascii="Gotham" w:hAnsi="Gotham" w:cs="HelveticaNeueLT Std Lt"/>
          <w:color w:val="000000"/>
          <w:sz w:val="18"/>
          <w:szCs w:val="18"/>
          <w:lang w:eastAsia="en-US"/>
        </w:rPr>
        <w:t>Al mes actual el análisis de la deuda se integra de la siguiente manera:</w:t>
      </w:r>
    </w:p>
    <w:p w14:paraId="72A199FB" w14:textId="77777777" w:rsidR="00040B09" w:rsidRPr="00F46023" w:rsidRDefault="00040B09" w:rsidP="00040B09">
      <w:pPr>
        <w:jc w:val="both"/>
        <w:rPr>
          <w:rFonts w:ascii="Gotham" w:eastAsia="Times New Roman" w:hAnsi="Gotham" w:cs="Times New Roman"/>
          <w:b/>
          <w:bCs/>
          <w:color w:val="000000"/>
          <w:sz w:val="18"/>
          <w:szCs w:val="18"/>
        </w:rPr>
      </w:pPr>
    </w:p>
    <w:p w14:paraId="766598CF" w14:textId="19371EB4" w:rsidR="00040B09" w:rsidRPr="00F46023" w:rsidRDefault="00040B09" w:rsidP="00040B09">
      <w:pPr>
        <w:jc w:val="both"/>
        <w:rPr>
          <w:rFonts w:ascii="Gotham" w:eastAsia="Times New Roman" w:hAnsi="Gotham" w:cs="Times New Roman"/>
          <w:b/>
          <w:bCs/>
          <w:color w:val="000000"/>
          <w:sz w:val="18"/>
          <w:szCs w:val="18"/>
        </w:rPr>
      </w:pPr>
      <w:r w:rsidRPr="00F46023">
        <w:rPr>
          <w:rFonts w:ascii="Gotham" w:eastAsia="Times New Roman" w:hAnsi="Gotham" w:cs="Times New Roman"/>
          <w:b/>
          <w:bCs/>
          <w:color w:val="000000"/>
          <w:sz w:val="18"/>
          <w:szCs w:val="18"/>
        </w:rPr>
        <w:t>Mensual: </w:t>
      </w:r>
    </w:p>
    <w:p w14:paraId="32A42BF2" w14:textId="77777777" w:rsidR="00040B09" w:rsidRPr="00F46023" w:rsidRDefault="00040B09" w:rsidP="00040B09">
      <w:pPr>
        <w:jc w:val="both"/>
        <w:rPr>
          <w:rFonts w:ascii="Gotham" w:eastAsia="Times New Roman" w:hAnsi="Gotham" w:cs="Times New Roman"/>
          <w:b/>
          <w:bCs/>
          <w:color w:val="000000"/>
          <w:sz w:val="18"/>
          <w:szCs w:val="18"/>
        </w:rPr>
      </w:pPr>
    </w:p>
    <w:p w14:paraId="3DE05B08" w14:textId="0F8A3EFF" w:rsidR="001C69E8" w:rsidRPr="00683965" w:rsidRDefault="00040B09" w:rsidP="00AD7DC0">
      <w:pPr>
        <w:jc w:val="center"/>
        <w:rPr>
          <w:rFonts w:ascii="Gotham" w:eastAsia="Times New Roman" w:hAnsi="Gotham" w:cs="Times New Roman"/>
          <w:b/>
          <w:bCs/>
          <w:color w:val="000000"/>
          <w:sz w:val="18"/>
          <w:szCs w:val="18"/>
        </w:rPr>
      </w:pPr>
      <w:r w:rsidRPr="00F46023">
        <w:rPr>
          <w:rFonts w:ascii="Gotham" w:hAnsi="Gotham"/>
          <w:noProof/>
          <w:sz w:val="18"/>
          <w:szCs w:val="18"/>
        </w:rPr>
        <w:drawing>
          <wp:inline distT="0" distB="0" distL="0" distR="0" wp14:anchorId="1D86D7BD" wp14:editId="45342997">
            <wp:extent cx="5897286" cy="1864800"/>
            <wp:effectExtent l="0" t="0" r="0" b="2540"/>
            <wp:docPr id="144297378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20633" cy="1872183"/>
                    </a:xfrm>
                    <a:prstGeom prst="rect">
                      <a:avLst/>
                    </a:prstGeom>
                    <a:noFill/>
                    <a:ln>
                      <a:noFill/>
                    </a:ln>
                  </pic:spPr>
                </pic:pic>
              </a:graphicData>
            </a:graphic>
          </wp:inline>
        </w:drawing>
      </w:r>
    </w:p>
    <w:p w14:paraId="2152B473" w14:textId="77777777" w:rsidR="001C69E8" w:rsidRPr="00683965" w:rsidRDefault="001C69E8" w:rsidP="00040B09">
      <w:pPr>
        <w:spacing w:after="160"/>
        <w:rPr>
          <w:rFonts w:ascii="Gotham" w:eastAsia="Times New Roman" w:hAnsi="Gotham" w:cs="Times New Roman"/>
          <w:b/>
          <w:bCs/>
          <w:color w:val="000000"/>
          <w:sz w:val="18"/>
          <w:szCs w:val="18"/>
        </w:rPr>
      </w:pPr>
    </w:p>
    <w:p w14:paraId="6F57BB25" w14:textId="1A25DC34" w:rsidR="00040B09" w:rsidRPr="00683965" w:rsidRDefault="00040B09" w:rsidP="00040B09">
      <w:pPr>
        <w:spacing w:after="160"/>
        <w:rPr>
          <w:rFonts w:ascii="Gotham" w:eastAsia="Times New Roman" w:hAnsi="Gotham" w:cs="Times New Roman"/>
          <w:sz w:val="18"/>
          <w:szCs w:val="18"/>
        </w:rPr>
      </w:pPr>
      <w:r w:rsidRPr="00683965">
        <w:rPr>
          <w:rFonts w:ascii="Gotham" w:eastAsia="Times New Roman" w:hAnsi="Gotham" w:cs="Times New Roman"/>
          <w:b/>
          <w:bCs/>
          <w:color w:val="000000"/>
          <w:sz w:val="18"/>
          <w:szCs w:val="18"/>
        </w:rPr>
        <w:t>Acumulada: </w:t>
      </w:r>
    </w:p>
    <w:p w14:paraId="13B37C38" w14:textId="77777777" w:rsidR="00040B09" w:rsidRPr="00683965" w:rsidRDefault="00040B09" w:rsidP="00896D41">
      <w:pPr>
        <w:jc w:val="center"/>
        <w:rPr>
          <w:rFonts w:ascii="Gotham" w:eastAsia="Times New Roman" w:hAnsi="Gotham" w:cs="Times New Roman"/>
          <w:sz w:val="18"/>
          <w:szCs w:val="18"/>
        </w:rPr>
      </w:pPr>
      <w:r w:rsidRPr="00683965">
        <w:rPr>
          <w:rFonts w:ascii="Gotham" w:hAnsi="Gotham"/>
          <w:noProof/>
          <w:sz w:val="18"/>
          <w:szCs w:val="18"/>
        </w:rPr>
        <w:drawing>
          <wp:inline distT="0" distB="0" distL="0" distR="0" wp14:anchorId="35713086" wp14:editId="6119C535">
            <wp:extent cx="6002403" cy="1706245"/>
            <wp:effectExtent l="0" t="0" r="0" b="8255"/>
            <wp:docPr id="130285935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25610" cy="1712842"/>
                    </a:xfrm>
                    <a:prstGeom prst="rect">
                      <a:avLst/>
                    </a:prstGeom>
                    <a:noFill/>
                    <a:ln>
                      <a:noFill/>
                    </a:ln>
                  </pic:spPr>
                </pic:pic>
              </a:graphicData>
            </a:graphic>
          </wp:inline>
        </w:drawing>
      </w:r>
    </w:p>
    <w:p w14:paraId="67B13AE5" w14:textId="77777777" w:rsidR="00040B09" w:rsidRDefault="00040B09" w:rsidP="00040B09">
      <w:pPr>
        <w:spacing w:after="160"/>
        <w:rPr>
          <w:rFonts w:ascii="Gotham" w:eastAsia="Times New Roman" w:hAnsi="Gotham" w:cs="Times New Roman"/>
          <w:color w:val="000000"/>
          <w:sz w:val="18"/>
          <w:szCs w:val="18"/>
        </w:rPr>
      </w:pPr>
    </w:p>
    <w:p w14:paraId="2571447C" w14:textId="77777777" w:rsidR="00630F75" w:rsidRDefault="00630F75" w:rsidP="00040B09">
      <w:pPr>
        <w:spacing w:after="160"/>
        <w:rPr>
          <w:rFonts w:ascii="Gotham" w:eastAsia="Times New Roman" w:hAnsi="Gotham" w:cs="Times New Roman"/>
          <w:color w:val="000000"/>
          <w:sz w:val="18"/>
          <w:szCs w:val="18"/>
        </w:rPr>
      </w:pPr>
    </w:p>
    <w:p w14:paraId="2647E3B4" w14:textId="77777777" w:rsidR="00630F75" w:rsidRDefault="00630F75" w:rsidP="00040B09">
      <w:pPr>
        <w:spacing w:after="160"/>
        <w:rPr>
          <w:rFonts w:ascii="Gotham" w:eastAsia="Times New Roman" w:hAnsi="Gotham" w:cs="Times New Roman"/>
          <w:color w:val="000000"/>
          <w:sz w:val="18"/>
          <w:szCs w:val="18"/>
        </w:rPr>
      </w:pPr>
    </w:p>
    <w:p w14:paraId="1AACE6AB" w14:textId="77777777" w:rsidR="005635E4" w:rsidRDefault="005635E4" w:rsidP="00040B09">
      <w:pPr>
        <w:spacing w:after="160"/>
        <w:rPr>
          <w:rFonts w:ascii="Gotham" w:eastAsia="Times New Roman" w:hAnsi="Gotham" w:cs="Times New Roman"/>
          <w:color w:val="000000"/>
          <w:sz w:val="18"/>
          <w:szCs w:val="18"/>
        </w:rPr>
      </w:pPr>
    </w:p>
    <w:p w14:paraId="5C1E232A" w14:textId="77777777" w:rsidR="005635E4" w:rsidRDefault="005635E4" w:rsidP="00040B09">
      <w:pPr>
        <w:spacing w:after="160"/>
        <w:rPr>
          <w:rFonts w:ascii="Gotham" w:eastAsia="Times New Roman" w:hAnsi="Gotham" w:cs="Times New Roman"/>
          <w:color w:val="000000"/>
          <w:sz w:val="18"/>
          <w:szCs w:val="18"/>
        </w:rPr>
      </w:pPr>
    </w:p>
    <w:p w14:paraId="79DDF2EC" w14:textId="77777777" w:rsidR="005635E4" w:rsidRDefault="005635E4" w:rsidP="00040B09">
      <w:pPr>
        <w:spacing w:after="160"/>
        <w:rPr>
          <w:rFonts w:ascii="Gotham" w:eastAsia="Times New Roman" w:hAnsi="Gotham" w:cs="Times New Roman"/>
          <w:color w:val="000000"/>
          <w:sz w:val="18"/>
          <w:szCs w:val="18"/>
        </w:rPr>
      </w:pPr>
    </w:p>
    <w:p w14:paraId="417ADF93" w14:textId="77777777" w:rsidR="005635E4" w:rsidRDefault="005635E4" w:rsidP="00040B09">
      <w:pPr>
        <w:spacing w:after="160"/>
        <w:rPr>
          <w:rFonts w:ascii="Gotham" w:eastAsia="Times New Roman" w:hAnsi="Gotham" w:cs="Times New Roman"/>
          <w:color w:val="000000"/>
          <w:sz w:val="18"/>
          <w:szCs w:val="18"/>
        </w:rPr>
      </w:pPr>
    </w:p>
    <w:p w14:paraId="24555AEE" w14:textId="77777777" w:rsidR="005635E4" w:rsidRDefault="005635E4" w:rsidP="00040B09">
      <w:pPr>
        <w:spacing w:after="160"/>
        <w:rPr>
          <w:rFonts w:ascii="Gotham" w:eastAsia="Times New Roman" w:hAnsi="Gotham" w:cs="Times New Roman"/>
          <w:color w:val="000000"/>
          <w:sz w:val="18"/>
          <w:szCs w:val="18"/>
        </w:rPr>
      </w:pPr>
    </w:p>
    <w:p w14:paraId="5F391FFB" w14:textId="77777777" w:rsidR="005635E4" w:rsidRDefault="005635E4" w:rsidP="00040B09">
      <w:pPr>
        <w:spacing w:after="160"/>
        <w:rPr>
          <w:rFonts w:ascii="Gotham" w:eastAsia="Times New Roman" w:hAnsi="Gotham" w:cs="Times New Roman"/>
          <w:color w:val="000000"/>
          <w:sz w:val="18"/>
          <w:szCs w:val="18"/>
        </w:rPr>
      </w:pPr>
    </w:p>
    <w:p w14:paraId="0C3EF90B" w14:textId="77777777" w:rsidR="005635E4" w:rsidRDefault="005635E4" w:rsidP="00040B09">
      <w:pPr>
        <w:spacing w:after="160"/>
        <w:rPr>
          <w:rFonts w:ascii="Gotham" w:eastAsia="Times New Roman" w:hAnsi="Gotham" w:cs="Times New Roman"/>
          <w:color w:val="000000"/>
          <w:sz w:val="18"/>
          <w:szCs w:val="18"/>
        </w:rPr>
      </w:pPr>
    </w:p>
    <w:p w14:paraId="72F44813" w14:textId="77777777" w:rsidR="005635E4" w:rsidRDefault="005635E4" w:rsidP="00040B09">
      <w:pPr>
        <w:spacing w:after="160"/>
        <w:rPr>
          <w:rFonts w:ascii="Gotham" w:eastAsia="Times New Roman" w:hAnsi="Gotham" w:cs="Times New Roman"/>
          <w:color w:val="000000"/>
          <w:sz w:val="18"/>
          <w:szCs w:val="18"/>
        </w:rPr>
      </w:pPr>
    </w:p>
    <w:p w14:paraId="1B428E79" w14:textId="77777777" w:rsidR="005635E4" w:rsidRDefault="005635E4" w:rsidP="00040B09">
      <w:pPr>
        <w:spacing w:after="160"/>
        <w:rPr>
          <w:rFonts w:ascii="Gotham" w:eastAsia="Times New Roman" w:hAnsi="Gotham" w:cs="Times New Roman"/>
          <w:color w:val="000000"/>
          <w:sz w:val="18"/>
          <w:szCs w:val="18"/>
        </w:rPr>
      </w:pPr>
    </w:p>
    <w:p w14:paraId="45D9CB72" w14:textId="77777777" w:rsidR="005635E4" w:rsidRPr="00683965" w:rsidRDefault="005635E4" w:rsidP="00040B09">
      <w:pPr>
        <w:spacing w:after="160"/>
        <w:rPr>
          <w:rFonts w:ascii="Gotham" w:eastAsia="Times New Roman" w:hAnsi="Gotham" w:cs="Times New Roman"/>
          <w:color w:val="000000"/>
          <w:sz w:val="18"/>
          <w:szCs w:val="18"/>
        </w:rPr>
      </w:pPr>
    </w:p>
    <w:p w14:paraId="5F61F7F2" w14:textId="77777777" w:rsidR="00040B09" w:rsidRPr="00683965" w:rsidRDefault="00040B09" w:rsidP="00040B09">
      <w:pPr>
        <w:spacing w:after="160"/>
        <w:rPr>
          <w:rFonts w:ascii="Gotham" w:eastAsia="Times New Roman" w:hAnsi="Gotham" w:cs="Times New Roman"/>
          <w:sz w:val="18"/>
          <w:szCs w:val="18"/>
        </w:rPr>
      </w:pPr>
      <w:r w:rsidRPr="00683965">
        <w:rPr>
          <w:rFonts w:ascii="Gotham" w:eastAsia="Times New Roman" w:hAnsi="Gotham" w:cs="Times New Roman"/>
          <w:color w:val="000000"/>
          <w:sz w:val="18"/>
          <w:szCs w:val="18"/>
        </w:rPr>
        <w:lastRenderedPageBreak/>
        <w:t>La operación del Fideicomiso de Cobranza se ha comportado de la siguiente forma: </w:t>
      </w:r>
    </w:p>
    <w:p w14:paraId="4C71F53A" w14:textId="77777777" w:rsidR="00040B09" w:rsidRPr="00683965" w:rsidRDefault="00040B09" w:rsidP="00040B09">
      <w:pPr>
        <w:spacing w:after="160"/>
        <w:jc w:val="center"/>
        <w:rPr>
          <w:rFonts w:ascii="Gotham" w:eastAsia="Times New Roman" w:hAnsi="Gotham" w:cs="Times New Roman"/>
          <w:sz w:val="18"/>
          <w:szCs w:val="18"/>
        </w:rPr>
      </w:pPr>
      <w:r w:rsidRPr="00683965">
        <w:rPr>
          <w:rFonts w:ascii="Gotham" w:hAnsi="Gotham"/>
          <w:noProof/>
          <w:sz w:val="18"/>
          <w:szCs w:val="18"/>
        </w:rPr>
        <w:drawing>
          <wp:inline distT="0" distB="0" distL="0" distR="0" wp14:anchorId="2CF3E5EF" wp14:editId="6A535EBC">
            <wp:extent cx="5952965" cy="3555242"/>
            <wp:effectExtent l="0" t="0" r="0" b="7620"/>
            <wp:docPr id="185001227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9">
                      <a:extLst>
                        <a:ext uri="{28A0092B-C50C-407E-A947-70E740481C1C}">
                          <a14:useLocalDpi xmlns:a14="http://schemas.microsoft.com/office/drawing/2010/main" val="0"/>
                        </a:ext>
                      </a:extLst>
                    </a:blip>
                    <a:srcRect r="6589"/>
                    <a:stretch/>
                  </pic:blipFill>
                  <pic:spPr bwMode="auto">
                    <a:xfrm>
                      <a:off x="0" y="0"/>
                      <a:ext cx="5955189" cy="3556570"/>
                    </a:xfrm>
                    <a:prstGeom prst="rect">
                      <a:avLst/>
                    </a:prstGeom>
                    <a:noFill/>
                    <a:ln>
                      <a:noFill/>
                    </a:ln>
                    <a:extLst>
                      <a:ext uri="{53640926-AAD7-44D8-BBD7-CCE9431645EC}">
                        <a14:shadowObscured xmlns:a14="http://schemas.microsoft.com/office/drawing/2010/main"/>
                      </a:ext>
                    </a:extLst>
                  </pic:spPr>
                </pic:pic>
              </a:graphicData>
            </a:graphic>
          </wp:inline>
        </w:drawing>
      </w:r>
    </w:p>
    <w:p w14:paraId="4AD984A4" w14:textId="5C3B07B9"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El saldo de la cuenta 2221 “Documentos Comerciales Por Pagar a Largo Plazo”, después de la proyección y con la reclasificación de la porción de largo a cort</w:t>
      </w:r>
      <w:r w:rsidR="001C69E8" w:rsidRPr="00683965">
        <w:rPr>
          <w:rFonts w:ascii="Gotham" w:eastAsia="Times New Roman" w:hAnsi="Gotham" w:cs="Times New Roman"/>
          <w:color w:val="000000"/>
          <w:sz w:val="18"/>
          <w:szCs w:val="18"/>
        </w:rPr>
        <w:t>o plazo es de: 5,133,864,912.86</w:t>
      </w:r>
      <w:r w:rsidRPr="00683965">
        <w:rPr>
          <w:rFonts w:ascii="Gotham" w:eastAsia="Times New Roman" w:hAnsi="Gotham" w:cs="Times New Roman"/>
          <w:color w:val="000000"/>
          <w:sz w:val="18"/>
          <w:szCs w:val="18"/>
        </w:rPr>
        <w:t>, que se componen de; los CBFS de la Serie “A” por 1,544,482,354.45, para los CBFS de la Serie “B” 726,158,069.00 y para los CBFS Subordinados de la Serie “C” 2,863,224,489.41, cabe mencionar que esta última se contrató en Unidades de Inversión (UDI); por lo tanto, el Saldo Capital es de: 375,267,109.35 UDI; para la Amortización de capital es de 19,482,228.79 UDI y para los intereses es de 11,326,186.79UDI, de acuerdo con la Tabla de Amortización, Crédito 9439 del Fideicomiso F/1426, de acuerdo con la Tabla de Amortización, Crédito 9439 del Fideicomiso F/1426, (DEUTSCHE BANK MÉXICO, S.A. DIVISIÓN FIDUCIARIA) de fecha 28/09/2011.</w:t>
      </w:r>
    </w:p>
    <w:p w14:paraId="15C267DD" w14:textId="77777777" w:rsidR="00040B09" w:rsidRPr="00683965" w:rsidRDefault="00040B09" w:rsidP="00040B09">
      <w:pPr>
        <w:spacing w:after="160"/>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 xml:space="preserve">Al inicio del </w:t>
      </w:r>
      <w:r w:rsidRPr="00683965">
        <w:rPr>
          <w:rFonts w:ascii="Gotham" w:eastAsia="Times New Roman" w:hAnsi="Gotham" w:cs="Times New Roman"/>
          <w:b/>
          <w:bCs/>
          <w:color w:val="000000"/>
          <w:sz w:val="18"/>
          <w:szCs w:val="18"/>
        </w:rPr>
        <w:t>ejercicio</w:t>
      </w:r>
      <w:r w:rsidRPr="00683965">
        <w:rPr>
          <w:rFonts w:ascii="Gotham" w:eastAsia="Times New Roman" w:hAnsi="Gotham" w:cs="Times New Roman"/>
          <w:color w:val="000000"/>
          <w:sz w:val="18"/>
          <w:szCs w:val="18"/>
        </w:rPr>
        <w:t xml:space="preserve"> se realiza la reclasificación de la porción a Corto Plazo de la Deuda a Largo Plazo para el pago de la amortización correspondiente al primer periodo del presente ejercicio de las emisiones de los CEBUR’S, revisable mensualmente debido a que, en el mes de julio de cada ejercicio, cuando se recibe la programación de los pagos de los bonos procede la segunda reclasificación por el siguiente periodo. El presupuesto se afecta en el momento del pago, para efectos de que en el Sistema de Contabilidad Gubernamental se muestre el ejercido en ese momento contable y presupuestal. </w:t>
      </w:r>
    </w:p>
    <w:p w14:paraId="09E8AC22" w14:textId="77777777" w:rsidR="00040B09" w:rsidRDefault="00040B09" w:rsidP="00040B09">
      <w:pPr>
        <w:spacing w:after="160"/>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Las fechas de vencimiento para este ejercicio fueron las siguientes:</w:t>
      </w:r>
    </w:p>
    <w:p w14:paraId="26E2A027" w14:textId="77777777" w:rsidR="00CD687E" w:rsidRPr="00683965" w:rsidRDefault="00CD687E" w:rsidP="00040B09">
      <w:pPr>
        <w:spacing w:after="160"/>
        <w:jc w:val="both"/>
        <w:rPr>
          <w:rFonts w:ascii="Gotham" w:eastAsia="Times New Roman" w:hAnsi="Gotham" w:cs="Times New Roman"/>
          <w:sz w:val="18"/>
          <w:szCs w:val="18"/>
        </w:rPr>
      </w:pPr>
    </w:p>
    <w:tbl>
      <w:tblPr>
        <w:tblW w:w="9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5"/>
        <w:gridCol w:w="3587"/>
      </w:tblGrid>
      <w:tr w:rsidR="00040B09" w:rsidRPr="00683965" w14:paraId="748508FA" w14:textId="77777777" w:rsidTr="00260475">
        <w:trPr>
          <w:trHeight w:val="141"/>
          <w:jc w:val="center"/>
        </w:trPr>
        <w:tc>
          <w:tcPr>
            <w:tcW w:w="5525" w:type="dxa"/>
            <w:vAlign w:val="center"/>
          </w:tcPr>
          <w:p w14:paraId="3E203DCA" w14:textId="77777777" w:rsidR="00040B09" w:rsidRPr="00683965" w:rsidRDefault="00040B09" w:rsidP="00040B09">
            <w:pPr>
              <w:spacing w:line="259" w:lineRule="auto"/>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Emisión</w:t>
            </w:r>
          </w:p>
        </w:tc>
        <w:tc>
          <w:tcPr>
            <w:tcW w:w="3587" w:type="dxa"/>
            <w:vAlign w:val="center"/>
          </w:tcPr>
          <w:p w14:paraId="75EF3304" w14:textId="77777777" w:rsidR="00040B09" w:rsidRPr="00683965" w:rsidRDefault="00040B09" w:rsidP="00040B09">
            <w:pPr>
              <w:spacing w:line="259" w:lineRule="auto"/>
              <w:jc w:val="both"/>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Fecha vencimiento</w:t>
            </w:r>
          </w:p>
        </w:tc>
      </w:tr>
      <w:tr w:rsidR="00040B09" w:rsidRPr="00683965" w14:paraId="44D86892" w14:textId="77777777" w:rsidTr="00260475">
        <w:trPr>
          <w:trHeight w:val="234"/>
          <w:jc w:val="center"/>
        </w:trPr>
        <w:tc>
          <w:tcPr>
            <w:tcW w:w="5525" w:type="dxa"/>
            <w:vAlign w:val="center"/>
          </w:tcPr>
          <w:p w14:paraId="2EB647A5" w14:textId="77777777" w:rsidR="00040B09" w:rsidRPr="00683965" w:rsidRDefault="00040B09" w:rsidP="00040B09">
            <w:pPr>
              <w:spacing w:line="259" w:lineRule="auto"/>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Certificados Bursátiles Fiduciarios Preferentes Serie A y B</w:t>
            </w:r>
          </w:p>
        </w:tc>
        <w:tc>
          <w:tcPr>
            <w:tcW w:w="3587" w:type="dxa"/>
            <w:vAlign w:val="center"/>
          </w:tcPr>
          <w:p w14:paraId="21E76347" w14:textId="77777777" w:rsidR="00040B09" w:rsidRPr="00683965" w:rsidRDefault="00040B09" w:rsidP="00040B09">
            <w:pPr>
              <w:spacing w:line="259" w:lineRule="auto"/>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28-feb-2023 y 28-ago-2023</w:t>
            </w:r>
          </w:p>
        </w:tc>
      </w:tr>
      <w:tr w:rsidR="00040B09" w:rsidRPr="00683965" w14:paraId="700DA21E" w14:textId="77777777" w:rsidTr="00260475">
        <w:trPr>
          <w:trHeight w:val="165"/>
          <w:jc w:val="center"/>
        </w:trPr>
        <w:tc>
          <w:tcPr>
            <w:tcW w:w="5525" w:type="dxa"/>
            <w:vAlign w:val="center"/>
          </w:tcPr>
          <w:p w14:paraId="3D307158" w14:textId="77777777" w:rsidR="00040B09" w:rsidRPr="00683965" w:rsidRDefault="00040B09" w:rsidP="00040B09">
            <w:pPr>
              <w:spacing w:line="259" w:lineRule="auto"/>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Certificados Bursátiles Fiduciarios Subordinados denominados en Unidades de Inversión</w:t>
            </w:r>
          </w:p>
        </w:tc>
        <w:tc>
          <w:tcPr>
            <w:tcW w:w="3587" w:type="dxa"/>
            <w:vAlign w:val="center"/>
          </w:tcPr>
          <w:p w14:paraId="067921AD" w14:textId="77777777" w:rsidR="00040B09" w:rsidRPr="00683965" w:rsidRDefault="00040B09" w:rsidP="00040B09">
            <w:pPr>
              <w:spacing w:line="259" w:lineRule="auto"/>
              <w:ind w:left="708" w:hanging="708"/>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29-mar-2023 y 28-sep-2023</w:t>
            </w:r>
          </w:p>
        </w:tc>
      </w:tr>
    </w:tbl>
    <w:p w14:paraId="5611428C" w14:textId="45F127CE" w:rsidR="00040B09" w:rsidRPr="00683965" w:rsidRDefault="00040B09" w:rsidP="00040B09">
      <w:pPr>
        <w:rPr>
          <w:rFonts w:ascii="Gotham" w:eastAsia="Times New Roman" w:hAnsi="Gotham" w:cs="Times New Roman"/>
          <w:sz w:val="18"/>
          <w:szCs w:val="18"/>
        </w:rPr>
      </w:pPr>
    </w:p>
    <w:p w14:paraId="47593466" w14:textId="77777777" w:rsidR="00896D41" w:rsidRDefault="00896D41" w:rsidP="00040B09">
      <w:pPr>
        <w:rPr>
          <w:rFonts w:ascii="Gotham" w:eastAsia="Times New Roman" w:hAnsi="Gotham" w:cs="Times New Roman"/>
          <w:sz w:val="18"/>
          <w:szCs w:val="18"/>
        </w:rPr>
      </w:pPr>
    </w:p>
    <w:p w14:paraId="7023A0F8" w14:textId="77777777" w:rsidR="00CD687E" w:rsidRDefault="00CD687E" w:rsidP="00040B09">
      <w:pPr>
        <w:rPr>
          <w:rFonts w:ascii="Gotham" w:eastAsia="Times New Roman" w:hAnsi="Gotham" w:cs="Times New Roman"/>
          <w:sz w:val="18"/>
          <w:szCs w:val="18"/>
        </w:rPr>
      </w:pPr>
    </w:p>
    <w:p w14:paraId="4D87EBE1" w14:textId="77777777" w:rsidR="00260475" w:rsidRDefault="00260475" w:rsidP="00040B09">
      <w:pPr>
        <w:rPr>
          <w:rFonts w:ascii="Gotham" w:eastAsia="Times New Roman" w:hAnsi="Gotham" w:cs="Times New Roman"/>
          <w:sz w:val="18"/>
          <w:szCs w:val="18"/>
        </w:rPr>
      </w:pPr>
    </w:p>
    <w:p w14:paraId="74E66B9C" w14:textId="77777777" w:rsidR="00260475" w:rsidRDefault="00260475" w:rsidP="00040B09">
      <w:pPr>
        <w:rPr>
          <w:rFonts w:ascii="Gotham" w:eastAsia="Times New Roman" w:hAnsi="Gotham" w:cs="Times New Roman"/>
          <w:sz w:val="18"/>
          <w:szCs w:val="18"/>
        </w:rPr>
      </w:pPr>
    </w:p>
    <w:p w14:paraId="19E7369B" w14:textId="77777777" w:rsidR="00260475" w:rsidRDefault="00260475" w:rsidP="00040B09">
      <w:pPr>
        <w:rPr>
          <w:rFonts w:ascii="Gotham" w:eastAsia="Times New Roman" w:hAnsi="Gotham" w:cs="Times New Roman"/>
          <w:sz w:val="18"/>
          <w:szCs w:val="18"/>
        </w:rPr>
      </w:pPr>
    </w:p>
    <w:p w14:paraId="12826E64" w14:textId="77777777" w:rsidR="009376C4" w:rsidRPr="00683965" w:rsidRDefault="009376C4" w:rsidP="00040B09">
      <w:pPr>
        <w:rPr>
          <w:rFonts w:ascii="Gotham" w:eastAsia="Times New Roman" w:hAnsi="Gotham" w:cs="Times New Roman"/>
          <w:sz w:val="18"/>
          <w:szCs w:val="18"/>
        </w:rPr>
      </w:pPr>
    </w:p>
    <w:p w14:paraId="6F32D331" w14:textId="77777777"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Los pagos de intereses más la amortización de capital por los cupones programados se observan en el siguiente cuadro: </w:t>
      </w:r>
    </w:p>
    <w:p w14:paraId="0BDCF2F1" w14:textId="77777777" w:rsidR="00040B09" w:rsidRPr="00683965" w:rsidRDefault="00040B09" w:rsidP="00896D41">
      <w:pPr>
        <w:spacing w:after="160"/>
        <w:jc w:val="center"/>
        <w:rPr>
          <w:rFonts w:ascii="Gotham" w:eastAsia="Times New Roman" w:hAnsi="Gotham" w:cs="Times New Roman"/>
          <w:sz w:val="18"/>
          <w:szCs w:val="18"/>
        </w:rPr>
      </w:pPr>
      <w:r w:rsidRPr="00683965">
        <w:rPr>
          <w:rFonts w:ascii="Gotham" w:hAnsi="Gotham"/>
          <w:noProof/>
          <w:sz w:val="18"/>
          <w:szCs w:val="18"/>
        </w:rPr>
        <w:drawing>
          <wp:inline distT="0" distB="0" distL="0" distR="0" wp14:anchorId="68DF9A1D" wp14:editId="2D8377A3">
            <wp:extent cx="5879465" cy="2777319"/>
            <wp:effectExtent l="0" t="0" r="6985" b="4445"/>
            <wp:docPr id="127016622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1038" cy="2801681"/>
                    </a:xfrm>
                    <a:prstGeom prst="rect">
                      <a:avLst/>
                    </a:prstGeom>
                    <a:noFill/>
                    <a:ln>
                      <a:noFill/>
                    </a:ln>
                  </pic:spPr>
                </pic:pic>
              </a:graphicData>
            </a:graphic>
          </wp:inline>
        </w:drawing>
      </w:r>
    </w:p>
    <w:p w14:paraId="3660D002" w14:textId="77777777" w:rsidR="00040B09" w:rsidRPr="00683965" w:rsidRDefault="00040B09" w:rsidP="00040B09">
      <w:pPr>
        <w:spacing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Las transferencias al Gobierno del Estado de México de los remanentes, así como al Fideicomiso de Cobranza, más los intereses generados, se destinan a la Inversión Pública de acuerdo al rubro de Inversión pública productiva, que se encuentra comprendido en el artículo 2, fracción XXV, de la Ley de Disciplina Financiera de Entidades Federativas y Municipios, además de lo establecido en el contrato irrevocable No. 80615 y se han llevado a cabo como sigue: </w:t>
      </w:r>
    </w:p>
    <w:p w14:paraId="3B18A901" w14:textId="0F2221B4" w:rsidR="00040B09" w:rsidRDefault="00040B09" w:rsidP="00040B09">
      <w:pPr>
        <w:spacing w:after="160"/>
        <w:jc w:val="center"/>
        <w:rPr>
          <w:rFonts w:ascii="Gotham" w:eastAsia="Times New Roman" w:hAnsi="Gotham" w:cs="Times New Roman"/>
          <w:sz w:val="18"/>
          <w:szCs w:val="18"/>
        </w:rPr>
      </w:pPr>
      <w:r w:rsidRPr="00683965">
        <w:rPr>
          <w:rFonts w:ascii="Gotham" w:hAnsi="Gotham"/>
          <w:noProof/>
          <w:sz w:val="18"/>
          <w:szCs w:val="18"/>
        </w:rPr>
        <w:drawing>
          <wp:inline distT="0" distB="0" distL="0" distR="0" wp14:anchorId="51CB943E" wp14:editId="26AD9CCA">
            <wp:extent cx="5436722" cy="3060000"/>
            <wp:effectExtent l="0" t="0" r="0" b="7620"/>
            <wp:docPr id="122621433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76624" cy="3082458"/>
                    </a:xfrm>
                    <a:prstGeom prst="rect">
                      <a:avLst/>
                    </a:prstGeom>
                    <a:noFill/>
                    <a:ln>
                      <a:noFill/>
                    </a:ln>
                  </pic:spPr>
                </pic:pic>
              </a:graphicData>
            </a:graphic>
          </wp:inline>
        </w:drawing>
      </w:r>
    </w:p>
    <w:p w14:paraId="7329C696" w14:textId="35CD368E" w:rsidR="009376C4" w:rsidRPr="00683965" w:rsidRDefault="009376C4" w:rsidP="00040B09">
      <w:pPr>
        <w:spacing w:after="160"/>
        <w:jc w:val="center"/>
        <w:rPr>
          <w:rFonts w:ascii="Gotham" w:eastAsia="Times New Roman" w:hAnsi="Gotham" w:cs="Times New Roman"/>
          <w:sz w:val="18"/>
          <w:szCs w:val="18"/>
        </w:rPr>
      </w:pPr>
    </w:p>
    <w:p w14:paraId="3C1861C2" w14:textId="77777777" w:rsidR="00040B09" w:rsidRPr="00683965" w:rsidRDefault="00040B09" w:rsidP="00040B09">
      <w:pPr>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lastRenderedPageBreak/>
        <w:t>De los remanentes recibidos en el IFREM, en el ejercicio de 2022, por la cantidad de 1,745,660,919.96, se transfirieron al GEM 1,653,807,280.98, de acuerdo a lo establecido en el Contrato Irrevocable No. 80615 y se previeron recursos por un monto de 102,302,993.19 para operaciones fiduciarias con el objeto de cubrir los servicios profesionales que permitan realizar el análisis, estudio, revisión, lectura de mercado y estructuración para evaluar la conveniencia de llevar a cabo el refinanciamiento y/o reestructura de  los CEBURS, de conformidad con el Artículo Quinto del Decreto número 21, de fecha 31 de enero de 2022; sin embargo, al mes de febrero de 2023  no se llevaron a cabo los trabajos mencionados, por lo que se realizó la transferencia por un monto de 102,538,486.10, integrados por la inversión inicial más intereses generados. </w:t>
      </w:r>
    </w:p>
    <w:p w14:paraId="0E6B1384" w14:textId="77777777" w:rsidR="00040B09" w:rsidRPr="00683965" w:rsidRDefault="00040B09" w:rsidP="00040B09">
      <w:pPr>
        <w:rPr>
          <w:rFonts w:ascii="Gotham" w:eastAsia="Times New Roman" w:hAnsi="Gotham" w:cs="Times New Roman"/>
          <w:sz w:val="18"/>
          <w:szCs w:val="18"/>
        </w:rPr>
      </w:pPr>
    </w:p>
    <w:p w14:paraId="3CD85FBB" w14:textId="77777777" w:rsidR="00040B09" w:rsidRPr="00683965" w:rsidRDefault="00040B09" w:rsidP="00040B09">
      <w:pPr>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Respecto de los remanentes recibidos en el mes de abril por un monto de 467,791,989.06, correspondientes a la distribución 151 del Fideicomiso Irrevocable No.80615 del ejercicio 2023, se realizó la devolución al Gobierno del estado de México que incluyó los interese generados por 2,945,811.36 dando un monto total transferido de 470,737,800.42.</w:t>
      </w:r>
    </w:p>
    <w:p w14:paraId="653BD072" w14:textId="1548BC61" w:rsidR="00040B09" w:rsidRPr="00683965" w:rsidRDefault="00040B09" w:rsidP="00040B09">
      <w:pPr>
        <w:rPr>
          <w:rFonts w:ascii="Gotham" w:eastAsia="Times New Roman" w:hAnsi="Gotham" w:cs="Times New Roman"/>
          <w:sz w:val="18"/>
          <w:szCs w:val="18"/>
        </w:rPr>
      </w:pPr>
    </w:p>
    <w:p w14:paraId="42B8A338" w14:textId="0FFA105B" w:rsidR="00040B09" w:rsidRPr="00683965" w:rsidRDefault="00040B09" w:rsidP="00040B09">
      <w:pPr>
        <w:numPr>
          <w:ilvl w:val="0"/>
          <w:numId w:val="25"/>
        </w:numPr>
        <w:spacing w:after="160"/>
        <w:contextualSpacing/>
        <w:jc w:val="both"/>
        <w:textAlignment w:val="baseline"/>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Calificaciones otorgadas</w:t>
      </w:r>
    </w:p>
    <w:p w14:paraId="07522FFB" w14:textId="77777777" w:rsidR="001C69E8" w:rsidRPr="00683965" w:rsidRDefault="001C69E8" w:rsidP="001C69E8">
      <w:pPr>
        <w:spacing w:after="160"/>
        <w:ind w:left="720"/>
        <w:contextualSpacing/>
        <w:jc w:val="both"/>
        <w:textAlignment w:val="baseline"/>
        <w:rPr>
          <w:rFonts w:ascii="Gotham" w:eastAsia="Times New Roman" w:hAnsi="Gotham" w:cs="Times New Roman"/>
          <w:b/>
          <w:bCs/>
          <w:color w:val="000000"/>
          <w:sz w:val="18"/>
          <w:szCs w:val="18"/>
        </w:rPr>
      </w:pPr>
    </w:p>
    <w:p w14:paraId="405A7436" w14:textId="77777777" w:rsidR="00040B09" w:rsidRPr="00683965" w:rsidRDefault="00040B09" w:rsidP="00040B09">
      <w:pPr>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Las obligaciones contraídas en términos del Convenio Global Estabilizador, durante la vigencia de los Certificados Bursátiles, celebrar los contratos necesarios con 2 Agencias Calificadoras, con objeto de que se obtenga, por lo menos una vez cada año calendario, un reporte con una opinión sobre la calificación crediticia (México I. d., Contrato de Fideicomiso Irrevocable N° 80615, 2010, pág. 82), la cual, fue la siguiente:</w:t>
      </w:r>
    </w:p>
    <w:p w14:paraId="6928FF6D" w14:textId="77777777" w:rsidR="00040B09" w:rsidRPr="00683965" w:rsidRDefault="00040B09" w:rsidP="00040B09">
      <w:pPr>
        <w:spacing w:before="240"/>
        <w:ind w:right="423"/>
        <w:jc w:val="both"/>
        <w:textAlignment w:val="baseline"/>
        <w:rPr>
          <w:rFonts w:ascii="Gotham" w:hAnsi="Gotham"/>
          <w:i/>
          <w:iCs/>
          <w:color w:val="000000"/>
          <w:sz w:val="18"/>
          <w:szCs w:val="18"/>
          <w:lang w:val="en-US" w:eastAsia="en-US"/>
        </w:rPr>
      </w:pPr>
      <w:r w:rsidRPr="00683965">
        <w:rPr>
          <w:rFonts w:ascii="Gotham" w:hAnsi="Gotham"/>
          <w:i/>
          <w:iCs/>
          <w:color w:val="000000"/>
          <w:sz w:val="18"/>
          <w:szCs w:val="18"/>
          <w:lang w:val="en-US" w:eastAsia="en-US"/>
        </w:rPr>
        <w:t>a) “S&amp;P Global Ratings, la Calificación de IFREM</w:t>
      </w:r>
    </w:p>
    <w:p w14:paraId="64DBE132" w14:textId="77777777" w:rsidR="00040B09" w:rsidRPr="00683965" w:rsidRDefault="00040B09" w:rsidP="00040B09">
      <w:pPr>
        <w:spacing w:before="240"/>
        <w:ind w:left="2160" w:right="423"/>
        <w:contextualSpacing/>
        <w:jc w:val="both"/>
        <w:textAlignment w:val="baseline"/>
        <w:rPr>
          <w:rFonts w:ascii="Gotham" w:eastAsia="Times New Roman" w:hAnsi="Gotham" w:cs="Times New Roman"/>
          <w:i/>
          <w:iCs/>
          <w:color w:val="000000"/>
          <w:sz w:val="18"/>
          <w:szCs w:val="18"/>
        </w:rPr>
      </w:pPr>
    </w:p>
    <w:p w14:paraId="625B2AE1" w14:textId="77777777" w:rsidR="00040B09" w:rsidRPr="00683965" w:rsidRDefault="00040B09" w:rsidP="00040B09">
      <w:pPr>
        <w:ind w:left="567"/>
        <w:jc w:val="both"/>
        <w:rPr>
          <w:rFonts w:ascii="Gotham" w:eastAsia="Times New Roman" w:hAnsi="Gotham" w:cs="Times New Roman"/>
          <w:i/>
          <w:iCs/>
          <w:sz w:val="18"/>
          <w:szCs w:val="18"/>
        </w:rPr>
      </w:pPr>
      <w:r w:rsidRPr="00683965">
        <w:rPr>
          <w:rFonts w:ascii="Gotham" w:eastAsia="Times New Roman" w:hAnsi="Gotham" w:cs="Times New Roman"/>
          <w:i/>
          <w:iCs/>
          <w:sz w:val="18"/>
          <w:szCs w:val="18"/>
        </w:rPr>
        <w:t>“El 4 de septiembre de 2023, S&amp;P Global Ratings confirmó sus calificaciones de deuda de largo plazo en escala nacional –CaVal– de ‘mxAAA’ de los certificados bursátiles Serie A, con clave de pizarra PROIN 10, y Serie B, con clave de pizarra PROIN 10-2, del Instituto de la Función Registral del Estado de México (IFREM; mxAA-/Estable/--). Asimismo, confirmamos la calificación de deuda de ‘mxAA+’ del crédito bancario que contrató el IFREM con el Banco Nacional de Obras y Servicios Públicos, S.N.C. (Banobras).</w:t>
      </w:r>
    </w:p>
    <w:p w14:paraId="5E88F345" w14:textId="77777777" w:rsidR="00040B09" w:rsidRPr="00683965" w:rsidRDefault="00040B09" w:rsidP="00040B09">
      <w:pPr>
        <w:autoSpaceDE w:val="0"/>
        <w:autoSpaceDN w:val="0"/>
        <w:adjustRightInd w:val="0"/>
        <w:ind w:firstLine="567"/>
        <w:jc w:val="both"/>
        <w:rPr>
          <w:rFonts w:ascii="Gotham" w:eastAsia="Times New Roman" w:hAnsi="Gotham" w:cs="Times New Roman"/>
          <w:i/>
          <w:iCs/>
          <w:sz w:val="18"/>
          <w:szCs w:val="18"/>
        </w:rPr>
      </w:pPr>
    </w:p>
    <w:p w14:paraId="46E98FBC" w14:textId="77777777" w:rsidR="00040B09" w:rsidRPr="00683965" w:rsidRDefault="00040B09" w:rsidP="00040B09">
      <w:pPr>
        <w:autoSpaceDE w:val="0"/>
        <w:autoSpaceDN w:val="0"/>
        <w:adjustRightInd w:val="0"/>
        <w:ind w:left="567"/>
        <w:jc w:val="both"/>
        <w:rPr>
          <w:rFonts w:ascii="Gotham" w:eastAsia="Times New Roman" w:hAnsi="Gotham" w:cs="Times New Roman"/>
          <w:i/>
          <w:iCs/>
          <w:sz w:val="18"/>
          <w:szCs w:val="18"/>
        </w:rPr>
      </w:pPr>
      <w:r w:rsidRPr="00683965">
        <w:rPr>
          <w:rFonts w:ascii="Gotham" w:eastAsia="Times New Roman" w:hAnsi="Gotham" w:cs="Times New Roman"/>
          <w:i/>
          <w:iCs/>
          <w:sz w:val="18"/>
          <w:szCs w:val="18"/>
        </w:rPr>
        <w:t>“La perspectiva estable refleja la de la calificación del Estado de México (mxAA-/Estable/--), así como nuestra expectativa de que, en los próximos 12 a 18 meses, se mantenga la probabilidad casi cierta de apoyo extraordinario del Estado de México al IFREM. Esperamos que el instituto mantenga su vínculo integral y rol crítico con el Estado, el cual consideramos no está sujeto al riesgo de transición en la administración del Estado ante el próximo cambio de gobierno, que tendrá lugar el 16 de septiembre de 2023, considerando el nivel de institucionalización y la solidez del marco en el que opera el IFREM.</w:t>
      </w:r>
    </w:p>
    <w:p w14:paraId="093BE7D5" w14:textId="77777777" w:rsidR="00040B09" w:rsidRPr="00683965" w:rsidRDefault="00040B09" w:rsidP="00040B09">
      <w:pPr>
        <w:ind w:right="423"/>
        <w:jc w:val="both"/>
        <w:textAlignment w:val="baseline"/>
        <w:rPr>
          <w:rFonts w:ascii="Gotham" w:eastAsia="Times New Roman" w:hAnsi="Gotham" w:cs="Times New Roman"/>
          <w:i/>
          <w:iCs/>
          <w:sz w:val="18"/>
          <w:szCs w:val="18"/>
        </w:rPr>
      </w:pPr>
    </w:p>
    <w:p w14:paraId="5A398342" w14:textId="77777777" w:rsidR="00040B09" w:rsidRPr="00683965" w:rsidRDefault="00040B09" w:rsidP="00040B09">
      <w:pPr>
        <w:ind w:right="423"/>
        <w:jc w:val="both"/>
        <w:textAlignment w:val="baseline"/>
        <w:rPr>
          <w:rFonts w:ascii="Gotham" w:eastAsia="Times New Roman" w:hAnsi="Gotham" w:cs="Times New Roman"/>
          <w:i/>
          <w:iCs/>
          <w:color w:val="000000"/>
          <w:sz w:val="18"/>
          <w:szCs w:val="18"/>
        </w:rPr>
      </w:pPr>
      <w:r w:rsidRPr="00683965">
        <w:rPr>
          <w:rFonts w:ascii="Gotham" w:eastAsia="Times New Roman" w:hAnsi="Gotham" w:cs="Times New Roman"/>
          <w:i/>
          <w:iCs/>
          <w:sz w:val="18"/>
          <w:szCs w:val="18"/>
        </w:rPr>
        <w:t>b)</w:t>
      </w:r>
      <w:r w:rsidRPr="00683965">
        <w:rPr>
          <w:rFonts w:ascii="Gotham" w:eastAsia="Times New Roman" w:hAnsi="Gotham" w:cs="Times New Roman"/>
          <w:i/>
          <w:iCs/>
          <w:color w:val="000000"/>
          <w:sz w:val="18"/>
          <w:szCs w:val="18"/>
        </w:rPr>
        <w:t xml:space="preserve"> “Fitch Ratifica la Calificación de IFREM</w:t>
      </w:r>
    </w:p>
    <w:p w14:paraId="6B6D739C" w14:textId="77777777" w:rsidR="00040B09" w:rsidRPr="00683965" w:rsidRDefault="00040B09" w:rsidP="00040B09">
      <w:pPr>
        <w:rPr>
          <w:rFonts w:ascii="Gotham" w:eastAsia="Times New Roman" w:hAnsi="Gotham" w:cs="Times New Roman"/>
          <w:i/>
          <w:iCs/>
          <w:sz w:val="18"/>
          <w:szCs w:val="18"/>
        </w:rPr>
      </w:pPr>
    </w:p>
    <w:p w14:paraId="60F91271" w14:textId="77777777" w:rsidR="00040B09" w:rsidRPr="00683965" w:rsidRDefault="00040B09" w:rsidP="00040B09">
      <w:pPr>
        <w:spacing w:after="160"/>
        <w:ind w:left="567" w:right="423"/>
        <w:jc w:val="both"/>
        <w:rPr>
          <w:rFonts w:ascii="Gotham" w:eastAsia="Times New Roman" w:hAnsi="Gotham" w:cs="Times New Roman"/>
          <w:i/>
          <w:iCs/>
          <w:sz w:val="18"/>
          <w:szCs w:val="18"/>
        </w:rPr>
      </w:pPr>
      <w:r w:rsidRPr="00683965">
        <w:rPr>
          <w:rFonts w:ascii="Gotham" w:eastAsia="Times New Roman" w:hAnsi="Gotham" w:cs="Times New Roman"/>
          <w:i/>
          <w:iCs/>
          <w:color w:val="000000"/>
          <w:sz w:val="18"/>
          <w:szCs w:val="18"/>
        </w:rPr>
        <w:t>Tue 16 de Aug de 2023-17:32 ET</w:t>
      </w:r>
    </w:p>
    <w:p w14:paraId="4E45731C" w14:textId="77777777" w:rsidR="00040B09" w:rsidRPr="00683965" w:rsidRDefault="00040B09" w:rsidP="00040B09">
      <w:pPr>
        <w:ind w:left="567"/>
        <w:jc w:val="both"/>
        <w:rPr>
          <w:rFonts w:ascii="Gotham" w:eastAsia="Times New Roman" w:hAnsi="Gotham" w:cs="Times New Roman"/>
          <w:i/>
          <w:iCs/>
          <w:sz w:val="18"/>
          <w:szCs w:val="18"/>
        </w:rPr>
      </w:pPr>
      <w:r w:rsidRPr="00683965">
        <w:rPr>
          <w:rFonts w:ascii="Gotham" w:eastAsia="Times New Roman" w:hAnsi="Gotham" w:cs="Times New Roman"/>
          <w:i/>
          <w:iCs/>
          <w:color w:val="000000"/>
          <w:sz w:val="18"/>
          <w:szCs w:val="18"/>
        </w:rPr>
        <w:t>Fitch Ratings - México City - 16 Aug 2023: Fitch Ratings ratificó en ‘AAA (mex)vra’ las calificaciones específicas de los financiamientos que integran la deuda directa del Instituto de la Función Registral del Estado de México (IFREM) [AA+(mex)], como se detalla a continuación (saldos al 30 de junio de 2023):</w:t>
      </w:r>
    </w:p>
    <w:p w14:paraId="595DCEE3" w14:textId="77777777" w:rsidR="00040B09" w:rsidRPr="00683965" w:rsidRDefault="00040B09" w:rsidP="00040B09">
      <w:pPr>
        <w:ind w:left="567"/>
        <w:jc w:val="both"/>
        <w:rPr>
          <w:rFonts w:ascii="Gotham" w:eastAsia="Times New Roman" w:hAnsi="Gotham" w:cs="Times New Roman"/>
          <w:i/>
          <w:iCs/>
          <w:sz w:val="18"/>
          <w:szCs w:val="18"/>
        </w:rPr>
      </w:pPr>
      <w:r w:rsidRPr="00683965">
        <w:rPr>
          <w:rFonts w:ascii="Gotham" w:eastAsia="Times New Roman" w:hAnsi="Gotham" w:cs="Times New Roman"/>
          <w:i/>
          <w:iCs/>
          <w:color w:val="000000"/>
          <w:sz w:val="18"/>
          <w:szCs w:val="18"/>
        </w:rPr>
        <w:t>--Emisión PROIN 10, monto inicial de MXN2,765 millones y saldo de MXN1,544.4 millones;</w:t>
      </w:r>
    </w:p>
    <w:p w14:paraId="7ED6D2DF" w14:textId="77777777" w:rsidR="00040B09" w:rsidRPr="00683965" w:rsidRDefault="00040B09" w:rsidP="00040B09">
      <w:pPr>
        <w:ind w:firstLine="567"/>
        <w:jc w:val="both"/>
        <w:rPr>
          <w:rFonts w:ascii="Gotham" w:eastAsia="Times New Roman" w:hAnsi="Gotham" w:cs="Times New Roman"/>
          <w:i/>
          <w:iCs/>
          <w:sz w:val="18"/>
          <w:szCs w:val="18"/>
        </w:rPr>
      </w:pPr>
      <w:r w:rsidRPr="00683965">
        <w:rPr>
          <w:rFonts w:ascii="Gotham" w:eastAsia="Times New Roman" w:hAnsi="Gotham" w:cs="Times New Roman"/>
          <w:i/>
          <w:iCs/>
          <w:color w:val="000000"/>
          <w:sz w:val="18"/>
          <w:szCs w:val="18"/>
        </w:rPr>
        <w:t>--Emisión PROIN 10-2, monto inicial de MXN1,300 millones y saldo de MXN726.1 millones;</w:t>
      </w:r>
    </w:p>
    <w:p w14:paraId="1264B13F" w14:textId="77777777" w:rsidR="00040B09" w:rsidRPr="00683965" w:rsidRDefault="00040B09" w:rsidP="00040B09">
      <w:pPr>
        <w:ind w:left="567"/>
        <w:jc w:val="both"/>
        <w:rPr>
          <w:rFonts w:ascii="Gotham" w:eastAsia="Times New Roman" w:hAnsi="Gotham" w:cs="Times New Roman"/>
          <w:i/>
          <w:iCs/>
          <w:sz w:val="18"/>
          <w:szCs w:val="18"/>
        </w:rPr>
      </w:pPr>
      <w:r w:rsidRPr="00683965">
        <w:rPr>
          <w:rFonts w:ascii="Gotham" w:eastAsia="Times New Roman" w:hAnsi="Gotham" w:cs="Times New Roman"/>
          <w:i/>
          <w:iCs/>
          <w:color w:val="000000"/>
          <w:sz w:val="18"/>
          <w:szCs w:val="18"/>
        </w:rPr>
        <w:t>--Crédito Banobras 11 monto inicial de 654.2 millones de unidades de inversión (Udis) y saldo de 393.9 millones de Udis.”</w:t>
      </w:r>
    </w:p>
    <w:p w14:paraId="3BF077A8" w14:textId="77777777" w:rsidR="00040B09" w:rsidRPr="00683965" w:rsidRDefault="00040B09" w:rsidP="00040B09">
      <w:pPr>
        <w:jc w:val="both"/>
        <w:rPr>
          <w:rFonts w:ascii="Gotham" w:eastAsia="Times New Roman" w:hAnsi="Gotham" w:cs="Times New Roman"/>
          <w:i/>
          <w:iCs/>
          <w:sz w:val="18"/>
          <w:szCs w:val="18"/>
        </w:rPr>
      </w:pPr>
    </w:p>
    <w:p w14:paraId="132B4399" w14:textId="77777777" w:rsidR="00040B09" w:rsidRPr="00683965" w:rsidRDefault="00040B09" w:rsidP="00040B09">
      <w:pPr>
        <w:ind w:left="567"/>
        <w:jc w:val="both"/>
        <w:rPr>
          <w:rFonts w:ascii="Gotham" w:eastAsia="Times New Roman" w:hAnsi="Gotham" w:cs="Times New Roman"/>
          <w:i/>
          <w:iCs/>
          <w:sz w:val="18"/>
          <w:szCs w:val="18"/>
        </w:rPr>
      </w:pPr>
      <w:r w:rsidRPr="00683965">
        <w:rPr>
          <w:rFonts w:ascii="Gotham" w:eastAsia="Times New Roman" w:hAnsi="Gotham" w:cs="Times New Roman"/>
          <w:i/>
          <w:iCs/>
          <w:color w:val="000000"/>
          <w:sz w:val="18"/>
          <w:szCs w:val="18"/>
        </w:rPr>
        <w:t>“Fitch Ratings - México City - 16 Aug 2023: Fitch Ratings afirmó en ‘AA+(mex)’ la calificación de la calidad crediticia del Instituto de la Función Registral del Estado de México (IFREM). La Perspectiva es Estable.”</w:t>
      </w:r>
    </w:p>
    <w:p w14:paraId="7DCCF6B5" w14:textId="77777777" w:rsidR="00040B09" w:rsidRPr="00683965" w:rsidRDefault="00040B09" w:rsidP="00040B09">
      <w:pPr>
        <w:rPr>
          <w:rFonts w:ascii="Gotham" w:hAnsi="Gotham"/>
          <w:color w:val="0563C1"/>
          <w:sz w:val="18"/>
          <w:szCs w:val="18"/>
          <w:u w:val="single"/>
        </w:rPr>
      </w:pPr>
    </w:p>
    <w:p w14:paraId="3B216B73" w14:textId="77777777" w:rsidR="00040B09" w:rsidRPr="00683965" w:rsidRDefault="00000000" w:rsidP="00040B09">
      <w:pPr>
        <w:rPr>
          <w:rFonts w:ascii="Gotham" w:hAnsi="Gotham"/>
          <w:sz w:val="18"/>
          <w:szCs w:val="18"/>
          <w:lang w:val="en-US" w:eastAsia="en-US"/>
        </w:rPr>
      </w:pPr>
      <w:hyperlink r:id="rId32" w:history="1">
        <w:r w:rsidR="00040B09" w:rsidRPr="00683965">
          <w:rPr>
            <w:rFonts w:ascii="Gotham" w:hAnsi="Gotham"/>
            <w:color w:val="0563C1"/>
            <w:sz w:val="18"/>
            <w:szCs w:val="18"/>
            <w:u w:val="single"/>
          </w:rPr>
          <w:t>https://www.fitchratings.com/research/es/international-public-finance/fitch-affirms-ifrems-nltr-loans-at-aaa-mex-vra-16-08-2023</w:t>
        </w:r>
      </w:hyperlink>
    </w:p>
    <w:p w14:paraId="0C23F19F" w14:textId="77777777" w:rsidR="00040B09" w:rsidRPr="00683965" w:rsidRDefault="00000000" w:rsidP="00040B09">
      <w:pPr>
        <w:rPr>
          <w:rFonts w:ascii="Gotham" w:hAnsi="Gotham"/>
          <w:sz w:val="18"/>
          <w:szCs w:val="18"/>
          <w:lang w:val="en-US" w:eastAsia="en-US"/>
        </w:rPr>
      </w:pPr>
      <w:hyperlink r:id="rId33" w:history="1">
        <w:r w:rsidR="00040B09" w:rsidRPr="00683965">
          <w:rPr>
            <w:rFonts w:ascii="Gotham" w:hAnsi="Gotham"/>
            <w:color w:val="0563C1"/>
            <w:sz w:val="18"/>
            <w:szCs w:val="18"/>
            <w:u w:val="single"/>
          </w:rPr>
          <w:t>https://www.bmv.com.mx/docs-pub/eventoca/eventoca_1307933_2.pdf</w:t>
        </w:r>
      </w:hyperlink>
    </w:p>
    <w:p w14:paraId="04E56971" w14:textId="21029625" w:rsidR="00896D41" w:rsidRDefault="00896D41" w:rsidP="00040B09">
      <w:pPr>
        <w:rPr>
          <w:rFonts w:ascii="Gotham" w:eastAsia="Times New Roman" w:hAnsi="Gotham" w:cs="Times New Roman"/>
          <w:sz w:val="18"/>
          <w:szCs w:val="18"/>
        </w:rPr>
      </w:pPr>
    </w:p>
    <w:p w14:paraId="3E26E873" w14:textId="77777777" w:rsidR="00361237" w:rsidRDefault="00361237" w:rsidP="00040B09">
      <w:pPr>
        <w:rPr>
          <w:rFonts w:ascii="Gotham" w:eastAsia="Times New Roman" w:hAnsi="Gotham" w:cs="Times New Roman"/>
          <w:sz w:val="18"/>
          <w:szCs w:val="18"/>
        </w:rPr>
      </w:pPr>
    </w:p>
    <w:p w14:paraId="0AF5BD36" w14:textId="77777777" w:rsidR="00361237" w:rsidRDefault="00361237" w:rsidP="00040B09">
      <w:pPr>
        <w:rPr>
          <w:rFonts w:ascii="Gotham" w:eastAsia="Times New Roman" w:hAnsi="Gotham" w:cs="Times New Roman"/>
          <w:sz w:val="18"/>
          <w:szCs w:val="18"/>
        </w:rPr>
      </w:pPr>
    </w:p>
    <w:p w14:paraId="120C9077" w14:textId="77777777" w:rsidR="00361237" w:rsidRDefault="00361237" w:rsidP="00040B09">
      <w:pPr>
        <w:rPr>
          <w:rFonts w:ascii="Gotham" w:eastAsia="Times New Roman" w:hAnsi="Gotham" w:cs="Times New Roman"/>
          <w:sz w:val="18"/>
          <w:szCs w:val="18"/>
        </w:rPr>
      </w:pPr>
    </w:p>
    <w:p w14:paraId="0C86D6E4" w14:textId="77777777" w:rsidR="00BC114F" w:rsidRDefault="00BC114F" w:rsidP="00040B09">
      <w:pPr>
        <w:rPr>
          <w:rFonts w:ascii="Gotham" w:eastAsia="Times New Roman" w:hAnsi="Gotham" w:cs="Times New Roman"/>
          <w:sz w:val="18"/>
          <w:szCs w:val="18"/>
        </w:rPr>
      </w:pPr>
    </w:p>
    <w:p w14:paraId="7C370AC5" w14:textId="77777777" w:rsidR="00BC114F" w:rsidRDefault="00BC114F" w:rsidP="00040B09">
      <w:pPr>
        <w:rPr>
          <w:rFonts w:ascii="Gotham" w:eastAsia="Times New Roman" w:hAnsi="Gotham" w:cs="Times New Roman"/>
          <w:sz w:val="18"/>
          <w:szCs w:val="18"/>
        </w:rPr>
      </w:pPr>
    </w:p>
    <w:p w14:paraId="5DED3CD3" w14:textId="77777777" w:rsidR="00361237" w:rsidRPr="00683965" w:rsidRDefault="00361237" w:rsidP="00040B09">
      <w:pPr>
        <w:rPr>
          <w:rFonts w:ascii="Gotham" w:eastAsia="Times New Roman" w:hAnsi="Gotham" w:cs="Times New Roman"/>
          <w:sz w:val="18"/>
          <w:szCs w:val="18"/>
        </w:rPr>
      </w:pPr>
    </w:p>
    <w:p w14:paraId="7B46D69D" w14:textId="77777777" w:rsidR="00B86654" w:rsidRPr="00683965" w:rsidRDefault="00B86654" w:rsidP="00040B09">
      <w:pPr>
        <w:rPr>
          <w:rFonts w:ascii="Gotham" w:eastAsia="Times New Roman" w:hAnsi="Gotham" w:cs="Times New Roman"/>
          <w:sz w:val="18"/>
          <w:szCs w:val="18"/>
        </w:rPr>
      </w:pPr>
    </w:p>
    <w:p w14:paraId="4689B74D" w14:textId="77777777" w:rsidR="00040B09" w:rsidRPr="00683965" w:rsidRDefault="00040B09" w:rsidP="00040B09">
      <w:pPr>
        <w:numPr>
          <w:ilvl w:val="0"/>
          <w:numId w:val="18"/>
        </w:numPr>
        <w:spacing w:after="160"/>
        <w:jc w:val="both"/>
        <w:textAlignment w:val="baseline"/>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Proceso de Mejora</w:t>
      </w:r>
    </w:p>
    <w:p w14:paraId="2C49EA94" w14:textId="77777777" w:rsidR="00040B09" w:rsidRPr="00683965" w:rsidRDefault="00040B09" w:rsidP="00040B09">
      <w:pPr>
        <w:spacing w:before="240"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 xml:space="preserve">En abril de 2022, fue aceptada la propuesta denominada </w:t>
      </w:r>
      <w:r w:rsidRPr="00683965">
        <w:rPr>
          <w:rFonts w:ascii="Gotham" w:eastAsia="Times New Roman" w:hAnsi="Gotham" w:cs="Times New Roman"/>
          <w:b/>
          <w:bCs/>
          <w:color w:val="000000"/>
          <w:sz w:val="18"/>
          <w:szCs w:val="18"/>
        </w:rPr>
        <w:t xml:space="preserve">“Sistema de Gestión de Seguridad de la Información Basada en la Norma Internacional ISO IEC 27001”, </w:t>
      </w:r>
      <w:r w:rsidRPr="00683965">
        <w:rPr>
          <w:rFonts w:ascii="Gotham" w:eastAsia="Times New Roman" w:hAnsi="Gotham" w:cs="Times New Roman"/>
          <w:color w:val="000000"/>
          <w:sz w:val="18"/>
          <w:szCs w:val="18"/>
        </w:rPr>
        <w:t xml:space="preserve">remitida al “Catálogo de Mejores Prácticas de la Administración Pública Estatal 2021”, por el IFREM. </w:t>
      </w:r>
      <w:r w:rsidRPr="00683965">
        <w:rPr>
          <w:rFonts w:ascii="Gotham" w:eastAsia="Times New Roman" w:hAnsi="Gotham" w:cs="Times New Roman"/>
          <w:b/>
          <w:bCs/>
          <w:color w:val="000000"/>
          <w:sz w:val="18"/>
          <w:szCs w:val="18"/>
        </w:rPr>
        <w:t> </w:t>
      </w:r>
    </w:p>
    <w:p w14:paraId="2AB8EEEF" w14:textId="77777777" w:rsidR="00040B09" w:rsidRPr="00683965" w:rsidRDefault="00040B09" w:rsidP="00040B09">
      <w:pPr>
        <w:spacing w:before="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 xml:space="preserve">En enero de 2020 la Unidad de Informática del IFREM, obtuvo la certificación en </w:t>
      </w:r>
      <w:r w:rsidRPr="00683965">
        <w:rPr>
          <w:rFonts w:ascii="Gotham" w:eastAsia="Times New Roman" w:hAnsi="Gotham" w:cs="Times New Roman"/>
          <w:b/>
          <w:bCs/>
          <w:color w:val="000000"/>
          <w:sz w:val="18"/>
          <w:szCs w:val="18"/>
        </w:rPr>
        <w:t>ISO/IEC 27001:2013</w:t>
      </w:r>
      <w:r w:rsidRPr="00683965">
        <w:rPr>
          <w:rFonts w:ascii="Gotham" w:eastAsia="Times New Roman" w:hAnsi="Gotham" w:cs="Times New Roman"/>
          <w:color w:val="000000"/>
          <w:sz w:val="18"/>
          <w:szCs w:val="18"/>
        </w:rPr>
        <w:t>, Sistema de Gestión de Seguridad de la Información (SGSI).</w:t>
      </w:r>
    </w:p>
    <w:p w14:paraId="13B2FF06" w14:textId="77777777" w:rsidR="00040B09" w:rsidRPr="00683965" w:rsidRDefault="00040B09" w:rsidP="00040B09">
      <w:pPr>
        <w:spacing w:before="240" w:after="160"/>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 xml:space="preserve">A la fecha el Instituto ha mantenido la certificación bajo la norma </w:t>
      </w:r>
      <w:r w:rsidRPr="00683965">
        <w:rPr>
          <w:rFonts w:ascii="Gotham" w:eastAsia="Times New Roman" w:hAnsi="Gotham" w:cs="Times New Roman"/>
          <w:b/>
          <w:bCs/>
          <w:color w:val="000000"/>
          <w:sz w:val="18"/>
          <w:szCs w:val="18"/>
        </w:rPr>
        <w:t>ISO 9001:2015</w:t>
      </w:r>
      <w:r w:rsidRPr="00683965">
        <w:rPr>
          <w:rFonts w:ascii="Gotham" w:eastAsia="Times New Roman" w:hAnsi="Gotham" w:cs="Times New Roman"/>
          <w:color w:val="000000"/>
          <w:sz w:val="18"/>
          <w:szCs w:val="18"/>
        </w:rPr>
        <w:t>, se encuentra inmerso en el proceso de mejora continua y sigue modernizando sus procesos.</w:t>
      </w:r>
    </w:p>
    <w:p w14:paraId="54EE457F" w14:textId="77777777" w:rsidR="00040B09" w:rsidRPr="00683965" w:rsidRDefault="00040B09" w:rsidP="00040B09">
      <w:pPr>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 xml:space="preserve">El Estado de México ha pasado a mostrar un avance sobresaliente en la clasificación </w:t>
      </w:r>
      <w:r w:rsidRPr="00683965">
        <w:rPr>
          <w:rFonts w:ascii="Gotham" w:eastAsia="Times New Roman" w:hAnsi="Gotham" w:cs="Times New Roman"/>
          <w:b/>
          <w:bCs/>
          <w:color w:val="000000"/>
          <w:sz w:val="18"/>
          <w:szCs w:val="18"/>
        </w:rPr>
        <w:t>Doing Business en México</w:t>
      </w:r>
      <w:r w:rsidRPr="00683965">
        <w:rPr>
          <w:rFonts w:ascii="Gotham" w:eastAsia="Times New Roman" w:hAnsi="Gotham" w:cs="Times New Roman"/>
          <w:color w:val="000000"/>
          <w:sz w:val="18"/>
          <w:szCs w:val="18"/>
        </w:rPr>
        <w:t xml:space="preserve"> de 16 posiciones con respecto al año 2012, habiéndose clasificado en ese periodo en el lugar décimo octavo de 32 entidades económicas. Ha logrado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14:paraId="53ECFB71" w14:textId="77777777" w:rsidR="00040B09" w:rsidRPr="00683965" w:rsidRDefault="00040B09" w:rsidP="00040B09">
      <w:pPr>
        <w:rPr>
          <w:rFonts w:ascii="Gotham" w:eastAsia="Times New Roman" w:hAnsi="Gotham" w:cs="Times New Roman"/>
          <w:sz w:val="18"/>
          <w:szCs w:val="18"/>
        </w:rPr>
      </w:pPr>
      <w:r w:rsidRPr="00683965">
        <w:rPr>
          <w:rFonts w:ascii="Gotham" w:eastAsia="Times New Roman" w:hAnsi="Gotham" w:cs="Times New Roman"/>
          <w:sz w:val="18"/>
          <w:szCs w:val="18"/>
        </w:rPr>
        <w:br/>
      </w:r>
    </w:p>
    <w:p w14:paraId="457703E1" w14:textId="77777777" w:rsidR="00040B09" w:rsidRPr="00683965" w:rsidRDefault="00040B09" w:rsidP="00040B09">
      <w:pPr>
        <w:numPr>
          <w:ilvl w:val="0"/>
          <w:numId w:val="19"/>
        </w:numPr>
        <w:spacing w:after="160"/>
        <w:jc w:val="both"/>
        <w:textAlignment w:val="baseline"/>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Información por Segmentos</w:t>
      </w:r>
    </w:p>
    <w:p w14:paraId="01DCA2D0" w14:textId="77777777" w:rsidR="00040B09" w:rsidRPr="00683965" w:rsidRDefault="00040B09" w:rsidP="00040B09">
      <w:pPr>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El Instituto no cuenta con información por segmentos.</w:t>
      </w:r>
    </w:p>
    <w:p w14:paraId="085EB166" w14:textId="7A290031" w:rsidR="00040B09" w:rsidRPr="00683965" w:rsidRDefault="00040B09" w:rsidP="00040B09">
      <w:pPr>
        <w:rPr>
          <w:rFonts w:ascii="Gotham" w:eastAsia="Times New Roman" w:hAnsi="Gotham" w:cs="Times New Roman"/>
          <w:sz w:val="18"/>
          <w:szCs w:val="18"/>
        </w:rPr>
      </w:pPr>
    </w:p>
    <w:p w14:paraId="33C85380" w14:textId="77777777" w:rsidR="00040B09" w:rsidRPr="00683965" w:rsidRDefault="00040B09" w:rsidP="00040B09">
      <w:pPr>
        <w:numPr>
          <w:ilvl w:val="0"/>
          <w:numId w:val="20"/>
        </w:numPr>
        <w:spacing w:after="160"/>
        <w:jc w:val="both"/>
        <w:textAlignment w:val="baseline"/>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Eventos Posteriores al Cierre</w:t>
      </w:r>
    </w:p>
    <w:p w14:paraId="27381DE0" w14:textId="77777777" w:rsidR="00040B09" w:rsidRPr="00683965" w:rsidRDefault="00040B09" w:rsidP="00040B09">
      <w:pPr>
        <w:jc w:val="both"/>
        <w:rPr>
          <w:rFonts w:ascii="Gotham" w:eastAsia="Times New Roman" w:hAnsi="Gotham" w:cs="Times New Roman"/>
          <w:sz w:val="18"/>
          <w:szCs w:val="18"/>
        </w:rPr>
      </w:pPr>
      <w:r w:rsidRPr="00683965">
        <w:rPr>
          <w:rFonts w:ascii="Gotham" w:eastAsia="Times New Roman" w:hAnsi="Gotham" w:cs="Times New Roman"/>
          <w:color w:val="000000"/>
          <w:sz w:val="18"/>
          <w:szCs w:val="18"/>
        </w:rPr>
        <w:t>El Instituto no presenta eventos posteriores al cierre que pudieran tener un efecto importante en su situación financiera y resultados de operación futuros.</w:t>
      </w:r>
    </w:p>
    <w:p w14:paraId="2EDED070" w14:textId="2AD7CBD7" w:rsidR="00040B09" w:rsidRPr="00683965" w:rsidRDefault="00040B09" w:rsidP="00040B09">
      <w:pPr>
        <w:rPr>
          <w:rFonts w:ascii="Gotham" w:eastAsia="Times New Roman" w:hAnsi="Gotham" w:cs="Times New Roman"/>
          <w:sz w:val="18"/>
          <w:szCs w:val="18"/>
        </w:rPr>
      </w:pPr>
    </w:p>
    <w:p w14:paraId="34EF2168" w14:textId="77777777" w:rsidR="00040B09" w:rsidRPr="00683965" w:rsidRDefault="00040B09" w:rsidP="00040B09">
      <w:pPr>
        <w:numPr>
          <w:ilvl w:val="0"/>
          <w:numId w:val="21"/>
        </w:numPr>
        <w:spacing w:after="160"/>
        <w:jc w:val="both"/>
        <w:textAlignment w:val="baseline"/>
        <w:rPr>
          <w:rFonts w:ascii="Gotham" w:eastAsia="Times New Roman" w:hAnsi="Gotham" w:cs="Times New Roman"/>
          <w:b/>
          <w:bCs/>
          <w:color w:val="000000"/>
          <w:sz w:val="18"/>
          <w:szCs w:val="18"/>
        </w:rPr>
      </w:pPr>
      <w:r w:rsidRPr="00683965">
        <w:rPr>
          <w:rFonts w:ascii="Gotham" w:eastAsia="Times New Roman" w:hAnsi="Gotham" w:cs="Times New Roman"/>
          <w:b/>
          <w:bCs/>
          <w:color w:val="000000"/>
          <w:sz w:val="18"/>
          <w:szCs w:val="18"/>
        </w:rPr>
        <w:t>Partes Relacionadas</w:t>
      </w:r>
    </w:p>
    <w:p w14:paraId="54E16444" w14:textId="0378CC63" w:rsidR="00040B09" w:rsidRPr="00683965" w:rsidRDefault="00040B09" w:rsidP="00040B09">
      <w:pPr>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No existen partes relacionadas que pudieran ejercer influencia significativa sobre la toma de decisiones financieras y operativas en este Instituto.</w:t>
      </w:r>
    </w:p>
    <w:p w14:paraId="4C45A9C9" w14:textId="77777777" w:rsidR="00B86654" w:rsidRPr="00683965" w:rsidRDefault="00B86654" w:rsidP="00040B09">
      <w:pPr>
        <w:jc w:val="both"/>
        <w:rPr>
          <w:rFonts w:ascii="Gotham" w:eastAsia="Times New Roman" w:hAnsi="Gotham" w:cs="Times New Roman"/>
          <w:sz w:val="18"/>
          <w:szCs w:val="18"/>
        </w:rPr>
      </w:pPr>
    </w:p>
    <w:p w14:paraId="65D05FDA" w14:textId="0EF47578" w:rsidR="00040B09" w:rsidRPr="00683965" w:rsidRDefault="00040B09" w:rsidP="00040B09">
      <w:pPr>
        <w:rPr>
          <w:rFonts w:ascii="Gotham" w:eastAsia="Times New Roman" w:hAnsi="Gotham" w:cs="Times New Roman"/>
          <w:sz w:val="18"/>
          <w:szCs w:val="18"/>
        </w:rPr>
      </w:pPr>
    </w:p>
    <w:p w14:paraId="05FA19F2" w14:textId="0ED0F344" w:rsidR="00040B09" w:rsidRPr="00F517EB" w:rsidRDefault="00040B09" w:rsidP="00F517EB">
      <w:pPr>
        <w:numPr>
          <w:ilvl w:val="0"/>
          <w:numId w:val="21"/>
        </w:numPr>
        <w:spacing w:after="160"/>
        <w:jc w:val="both"/>
        <w:textAlignment w:val="baseline"/>
        <w:rPr>
          <w:rFonts w:ascii="Gotham" w:hAnsi="Gotham"/>
          <w:b/>
          <w:bCs/>
          <w:color w:val="000000"/>
          <w:sz w:val="18"/>
          <w:szCs w:val="18"/>
        </w:rPr>
      </w:pPr>
      <w:r w:rsidRPr="00F517EB">
        <w:rPr>
          <w:rFonts w:ascii="Gotham" w:hAnsi="Gotham"/>
          <w:b/>
          <w:bCs/>
          <w:color w:val="000000"/>
          <w:sz w:val="18"/>
          <w:szCs w:val="18"/>
        </w:rPr>
        <w:t>Responsabilidad Sobre la Presentación Razonable de los Estados Financieros</w:t>
      </w:r>
    </w:p>
    <w:p w14:paraId="66C21408" w14:textId="77777777" w:rsidR="00040B09" w:rsidRPr="00683965" w:rsidRDefault="00040B09" w:rsidP="00040B09">
      <w:pPr>
        <w:jc w:val="both"/>
        <w:rPr>
          <w:rFonts w:ascii="Gotham" w:eastAsia="Times New Roman" w:hAnsi="Gotham" w:cs="Times New Roman"/>
          <w:color w:val="000000"/>
          <w:sz w:val="18"/>
          <w:szCs w:val="18"/>
        </w:rPr>
      </w:pPr>
      <w:r w:rsidRPr="00683965">
        <w:rPr>
          <w:rFonts w:ascii="Gotham" w:eastAsia="Times New Roman" w:hAnsi="Gotham" w:cs="Times New Roman"/>
          <w:color w:val="000000"/>
          <w:sz w:val="18"/>
          <w:szCs w:val="18"/>
        </w:rPr>
        <w:t>“Bajo protesta de decir verdad declaramos que los Estados Financieros y sus Notas, son razonablemente correctos y son responsabilidad del emisor”.</w:t>
      </w:r>
    </w:p>
    <w:p w14:paraId="3E875CCF" w14:textId="77777777" w:rsidR="00040B09" w:rsidRPr="00683965" w:rsidRDefault="00040B09" w:rsidP="00040B09">
      <w:pPr>
        <w:jc w:val="both"/>
        <w:rPr>
          <w:rFonts w:ascii="Gotham" w:eastAsia="Times New Roman" w:hAnsi="Gotham" w:cs="Times New Roman"/>
          <w:color w:val="000000"/>
          <w:sz w:val="18"/>
          <w:szCs w:val="18"/>
        </w:rPr>
      </w:pPr>
    </w:p>
    <w:p w14:paraId="6A004C3C" w14:textId="77777777" w:rsidR="00040B09" w:rsidRPr="00683965" w:rsidRDefault="00040B09" w:rsidP="00040B09">
      <w:pPr>
        <w:jc w:val="both"/>
        <w:rPr>
          <w:rFonts w:ascii="Gotham" w:eastAsia="Times New Roman" w:hAnsi="Gotham" w:cs="Times New Roman"/>
          <w:color w:val="000000"/>
          <w:sz w:val="18"/>
          <w:szCs w:val="18"/>
        </w:rPr>
      </w:pPr>
    </w:p>
    <w:p w14:paraId="28798E3D" w14:textId="77777777" w:rsidR="00040B09" w:rsidRPr="00683965" w:rsidRDefault="00040B09" w:rsidP="00040B09">
      <w:pPr>
        <w:jc w:val="both"/>
        <w:rPr>
          <w:rFonts w:ascii="Gotham" w:eastAsia="Times New Roman" w:hAnsi="Gotham" w:cs="Times New Roman"/>
          <w:color w:val="000000"/>
          <w:sz w:val="18"/>
          <w:szCs w:val="18"/>
        </w:rPr>
      </w:pPr>
    </w:p>
    <w:p w14:paraId="5A5277FA" w14:textId="77777777" w:rsidR="00040B09" w:rsidRPr="00683965" w:rsidRDefault="00040B09" w:rsidP="00040B09">
      <w:pPr>
        <w:jc w:val="both"/>
        <w:rPr>
          <w:rFonts w:ascii="Gotham" w:eastAsia="Times New Roman" w:hAnsi="Gotham" w:cs="Times New Roman"/>
          <w:color w:val="000000"/>
          <w:sz w:val="18"/>
          <w:szCs w:val="18"/>
        </w:rPr>
      </w:pPr>
    </w:p>
    <w:p w14:paraId="28D1860B" w14:textId="77777777" w:rsidR="00040B09" w:rsidRPr="00683965" w:rsidRDefault="00040B09" w:rsidP="00040B09">
      <w:pPr>
        <w:jc w:val="both"/>
        <w:rPr>
          <w:rFonts w:ascii="Gotham" w:eastAsia="Times New Roman" w:hAnsi="Gotham" w:cs="Times New Roman"/>
          <w:color w:val="000000"/>
          <w:sz w:val="18"/>
          <w:szCs w:val="18"/>
        </w:rPr>
      </w:pPr>
    </w:p>
    <w:p w14:paraId="09100DC5" w14:textId="77777777" w:rsidR="00040B09" w:rsidRPr="00683965" w:rsidRDefault="00040B09" w:rsidP="00040B09">
      <w:pPr>
        <w:jc w:val="both"/>
        <w:rPr>
          <w:rFonts w:ascii="Gotham" w:eastAsia="Times New Roman" w:hAnsi="Gotham" w:cs="Times New Roman"/>
          <w:color w:val="000000"/>
          <w:sz w:val="18"/>
          <w:szCs w:val="18"/>
        </w:rPr>
      </w:pPr>
    </w:p>
    <w:p w14:paraId="47ECF3C4" w14:textId="77777777" w:rsidR="00040B09" w:rsidRPr="00683965" w:rsidRDefault="00040B09" w:rsidP="00040B09">
      <w:pPr>
        <w:jc w:val="both"/>
        <w:rPr>
          <w:rFonts w:ascii="Gotham" w:eastAsia="Times New Roman" w:hAnsi="Gotham" w:cs="Times New Roman"/>
          <w:color w:val="000000"/>
          <w:sz w:val="18"/>
          <w:szCs w:val="18"/>
        </w:rPr>
      </w:pPr>
    </w:p>
    <w:p w14:paraId="68507EB1" w14:textId="77777777" w:rsidR="00040B09" w:rsidRPr="00683965" w:rsidRDefault="00040B09" w:rsidP="00040B09">
      <w:pPr>
        <w:jc w:val="both"/>
        <w:rPr>
          <w:rFonts w:ascii="Gotham" w:eastAsia="Times New Roman" w:hAnsi="Gotham" w:cs="Times New Roman"/>
          <w:sz w:val="18"/>
          <w:szCs w:val="18"/>
        </w:rPr>
      </w:pPr>
    </w:p>
    <w:p w14:paraId="731939FE" w14:textId="77777777" w:rsidR="00040B09" w:rsidRPr="00683965" w:rsidRDefault="00040B09" w:rsidP="00040B09">
      <w:pPr>
        <w:spacing w:after="160"/>
        <w:jc w:val="center"/>
        <w:rPr>
          <w:rFonts w:ascii="Gotham" w:eastAsia="Times New Roman" w:hAnsi="Gotham" w:cs="Times New Roman"/>
          <w:sz w:val="18"/>
          <w:szCs w:val="18"/>
        </w:rPr>
      </w:pPr>
      <w:r w:rsidRPr="00683965">
        <w:rPr>
          <w:rFonts w:ascii="Gotham" w:eastAsia="Times New Roman" w:hAnsi="Gotham" w:cs="Times New Roman"/>
          <w:b/>
          <w:bCs/>
          <w:color w:val="000000"/>
          <w:sz w:val="18"/>
          <w:szCs w:val="18"/>
        </w:rPr>
        <w:t>Firmas:</w:t>
      </w:r>
    </w:p>
    <w:p w14:paraId="29D2C27B" w14:textId="77777777" w:rsidR="00040B09" w:rsidRPr="00683965" w:rsidRDefault="00040B09" w:rsidP="00040B09">
      <w:pPr>
        <w:rPr>
          <w:rFonts w:ascii="Gotham" w:eastAsia="Times New Roman" w:hAnsi="Gotham" w:cs="Times New Roman"/>
          <w:sz w:val="18"/>
          <w:szCs w:val="18"/>
        </w:rPr>
      </w:pPr>
    </w:p>
    <w:tbl>
      <w:tblPr>
        <w:tblW w:w="10870" w:type="dxa"/>
        <w:tblInd w:w="-257" w:type="dxa"/>
        <w:tblCellMar>
          <w:top w:w="15" w:type="dxa"/>
          <w:left w:w="15" w:type="dxa"/>
          <w:bottom w:w="15" w:type="dxa"/>
          <w:right w:w="15" w:type="dxa"/>
        </w:tblCellMar>
        <w:tblLook w:val="04A0" w:firstRow="1" w:lastRow="0" w:firstColumn="1" w:lastColumn="0" w:noHBand="0" w:noVBand="1"/>
      </w:tblPr>
      <w:tblGrid>
        <w:gridCol w:w="3424"/>
        <w:gridCol w:w="3723"/>
        <w:gridCol w:w="3723"/>
      </w:tblGrid>
      <w:tr w:rsidR="00040B09" w:rsidRPr="00683965" w14:paraId="0D089E46" w14:textId="77777777" w:rsidTr="00103B2C">
        <w:trPr>
          <w:trHeight w:val="778"/>
        </w:trPr>
        <w:tc>
          <w:tcPr>
            <w:tcW w:w="0" w:type="auto"/>
            <w:tcMar>
              <w:top w:w="0" w:type="dxa"/>
              <w:left w:w="115" w:type="dxa"/>
              <w:bottom w:w="0" w:type="dxa"/>
              <w:right w:w="115" w:type="dxa"/>
            </w:tcMar>
            <w:hideMark/>
          </w:tcPr>
          <w:p w14:paraId="157BB03E" w14:textId="77777777" w:rsidR="00040B09" w:rsidRPr="00683965" w:rsidRDefault="00040B09" w:rsidP="00040B09">
            <w:pPr>
              <w:rPr>
                <w:rFonts w:ascii="Gotham" w:eastAsia="Times New Roman" w:hAnsi="Gotham" w:cs="Times New Roman"/>
                <w:sz w:val="16"/>
                <w:szCs w:val="18"/>
              </w:rPr>
            </w:pPr>
          </w:p>
          <w:p w14:paraId="4524FFE8" w14:textId="77777777" w:rsidR="00040B09" w:rsidRPr="00683965" w:rsidRDefault="00040B09" w:rsidP="00040B09">
            <w:pPr>
              <w:jc w:val="both"/>
              <w:rPr>
                <w:rFonts w:ascii="Gotham" w:eastAsia="Times New Roman" w:hAnsi="Gotham" w:cs="Times New Roman"/>
                <w:sz w:val="16"/>
                <w:szCs w:val="18"/>
              </w:rPr>
            </w:pPr>
            <w:r w:rsidRPr="00683965">
              <w:rPr>
                <w:rFonts w:ascii="Gotham" w:eastAsia="Times New Roman" w:hAnsi="Gotham" w:cs="Times New Roman"/>
                <w:color w:val="000000"/>
                <w:sz w:val="16"/>
                <w:szCs w:val="18"/>
              </w:rPr>
              <w:t>________________________________</w:t>
            </w:r>
          </w:p>
          <w:p w14:paraId="377A48C4" w14:textId="77777777" w:rsidR="00040B09" w:rsidRPr="00683965" w:rsidRDefault="00040B09" w:rsidP="00040B09">
            <w:pPr>
              <w:jc w:val="center"/>
              <w:rPr>
                <w:rFonts w:ascii="Gotham" w:eastAsia="Times New Roman" w:hAnsi="Gotham" w:cs="Times New Roman"/>
                <w:sz w:val="16"/>
                <w:szCs w:val="18"/>
              </w:rPr>
            </w:pPr>
            <w:r w:rsidRPr="00683965">
              <w:rPr>
                <w:rFonts w:ascii="Gotham" w:eastAsia="Times New Roman" w:hAnsi="Gotham" w:cs="Times New Roman"/>
                <w:color w:val="000000"/>
                <w:sz w:val="16"/>
                <w:szCs w:val="18"/>
              </w:rPr>
              <w:t>M.A.P. Antonio Hernández Tenorio</w:t>
            </w:r>
          </w:p>
          <w:p w14:paraId="694646BD" w14:textId="77777777" w:rsidR="00040B09" w:rsidRPr="00683965" w:rsidRDefault="00040B09" w:rsidP="00040B09">
            <w:pPr>
              <w:jc w:val="center"/>
              <w:rPr>
                <w:rFonts w:ascii="Gotham" w:eastAsia="Times New Roman" w:hAnsi="Gotham" w:cs="Times New Roman"/>
                <w:sz w:val="16"/>
                <w:szCs w:val="18"/>
              </w:rPr>
            </w:pPr>
            <w:r w:rsidRPr="00683965">
              <w:rPr>
                <w:rFonts w:ascii="Gotham" w:eastAsia="Times New Roman" w:hAnsi="Gotham" w:cs="Times New Roman"/>
                <w:b/>
                <w:bCs/>
                <w:color w:val="000000"/>
                <w:sz w:val="16"/>
                <w:szCs w:val="18"/>
              </w:rPr>
              <w:t>Subdirector de Finanzas</w:t>
            </w:r>
          </w:p>
        </w:tc>
        <w:tc>
          <w:tcPr>
            <w:tcW w:w="0" w:type="auto"/>
            <w:tcMar>
              <w:top w:w="0" w:type="dxa"/>
              <w:left w:w="115" w:type="dxa"/>
              <w:bottom w:w="0" w:type="dxa"/>
              <w:right w:w="115" w:type="dxa"/>
            </w:tcMar>
            <w:hideMark/>
          </w:tcPr>
          <w:p w14:paraId="4814C210" w14:textId="77777777" w:rsidR="00040B09" w:rsidRPr="00683965" w:rsidRDefault="00040B09" w:rsidP="00040B09">
            <w:pPr>
              <w:rPr>
                <w:rFonts w:ascii="Gotham" w:eastAsia="Times New Roman" w:hAnsi="Gotham" w:cs="Times New Roman"/>
                <w:sz w:val="16"/>
                <w:szCs w:val="18"/>
              </w:rPr>
            </w:pPr>
          </w:p>
          <w:p w14:paraId="5F65ADE3" w14:textId="77777777" w:rsidR="00040B09" w:rsidRPr="00683965" w:rsidRDefault="00040B09" w:rsidP="00040B09">
            <w:pPr>
              <w:jc w:val="center"/>
              <w:rPr>
                <w:rFonts w:ascii="Gotham" w:eastAsia="Times New Roman" w:hAnsi="Gotham" w:cs="Times New Roman"/>
                <w:sz w:val="16"/>
                <w:szCs w:val="18"/>
              </w:rPr>
            </w:pPr>
            <w:r w:rsidRPr="00683965">
              <w:rPr>
                <w:rFonts w:ascii="Gotham" w:eastAsia="Times New Roman" w:hAnsi="Gotham" w:cs="Times New Roman"/>
                <w:color w:val="000000"/>
                <w:sz w:val="16"/>
                <w:szCs w:val="18"/>
              </w:rPr>
              <w:t>___________________________________</w:t>
            </w:r>
          </w:p>
          <w:p w14:paraId="5ACCC1A5" w14:textId="77777777" w:rsidR="00040B09" w:rsidRPr="00683965" w:rsidRDefault="00040B09" w:rsidP="00040B09">
            <w:pPr>
              <w:jc w:val="center"/>
              <w:rPr>
                <w:rFonts w:ascii="Gotham" w:eastAsia="Times New Roman" w:hAnsi="Gotham" w:cs="Times New Roman"/>
                <w:sz w:val="16"/>
                <w:szCs w:val="18"/>
              </w:rPr>
            </w:pPr>
            <w:r w:rsidRPr="00683965">
              <w:rPr>
                <w:rFonts w:ascii="Gotham" w:eastAsia="Times New Roman" w:hAnsi="Gotham" w:cs="Times New Roman"/>
                <w:color w:val="000000"/>
                <w:sz w:val="16"/>
                <w:szCs w:val="18"/>
              </w:rPr>
              <w:t>L.A.E. Raúl Napoleón Lazcano Martínez</w:t>
            </w:r>
          </w:p>
          <w:p w14:paraId="7C2DAB28" w14:textId="77777777" w:rsidR="00040B09" w:rsidRPr="00683965" w:rsidRDefault="00040B09" w:rsidP="00040B09">
            <w:pPr>
              <w:jc w:val="center"/>
              <w:rPr>
                <w:rFonts w:ascii="Gotham" w:eastAsia="Times New Roman" w:hAnsi="Gotham" w:cs="Times New Roman"/>
                <w:sz w:val="16"/>
                <w:szCs w:val="18"/>
              </w:rPr>
            </w:pPr>
            <w:r w:rsidRPr="00683965">
              <w:rPr>
                <w:rFonts w:ascii="Gotham" w:eastAsia="Times New Roman" w:hAnsi="Gotham" w:cs="Times New Roman"/>
                <w:b/>
                <w:bCs/>
                <w:color w:val="000000"/>
                <w:sz w:val="16"/>
                <w:szCs w:val="18"/>
              </w:rPr>
              <w:t>Director de Administración y Finanzas</w:t>
            </w:r>
          </w:p>
        </w:tc>
        <w:tc>
          <w:tcPr>
            <w:tcW w:w="0" w:type="auto"/>
            <w:tcMar>
              <w:top w:w="0" w:type="dxa"/>
              <w:left w:w="115" w:type="dxa"/>
              <w:bottom w:w="0" w:type="dxa"/>
              <w:right w:w="115" w:type="dxa"/>
            </w:tcMar>
            <w:hideMark/>
          </w:tcPr>
          <w:p w14:paraId="7F0C2406" w14:textId="77777777" w:rsidR="00040B09" w:rsidRPr="00683965" w:rsidRDefault="00040B09" w:rsidP="00040B09">
            <w:pPr>
              <w:rPr>
                <w:rFonts w:ascii="Gotham" w:eastAsia="Times New Roman" w:hAnsi="Gotham" w:cs="Times New Roman"/>
                <w:sz w:val="16"/>
                <w:szCs w:val="18"/>
              </w:rPr>
            </w:pPr>
          </w:p>
          <w:p w14:paraId="0FCEFC2F" w14:textId="77777777" w:rsidR="00040B09" w:rsidRPr="00683965" w:rsidRDefault="00040B09" w:rsidP="00040B09">
            <w:pPr>
              <w:jc w:val="center"/>
              <w:rPr>
                <w:rFonts w:ascii="Gotham" w:eastAsia="Times New Roman" w:hAnsi="Gotham" w:cs="Times New Roman"/>
                <w:sz w:val="16"/>
                <w:szCs w:val="18"/>
              </w:rPr>
            </w:pPr>
            <w:r w:rsidRPr="00683965">
              <w:rPr>
                <w:rFonts w:ascii="Gotham" w:eastAsia="Times New Roman" w:hAnsi="Gotham" w:cs="Times New Roman"/>
                <w:color w:val="000000"/>
                <w:sz w:val="16"/>
                <w:szCs w:val="18"/>
              </w:rPr>
              <w:t>___________________________________</w:t>
            </w:r>
          </w:p>
          <w:p w14:paraId="12AD503F" w14:textId="77777777" w:rsidR="00040B09" w:rsidRPr="00683965" w:rsidRDefault="00040B09" w:rsidP="00040B09">
            <w:pPr>
              <w:jc w:val="center"/>
              <w:rPr>
                <w:rFonts w:ascii="Gotham" w:eastAsia="Times New Roman" w:hAnsi="Gotham" w:cs="Times New Roman"/>
                <w:sz w:val="16"/>
                <w:szCs w:val="18"/>
              </w:rPr>
            </w:pPr>
            <w:r w:rsidRPr="00683965">
              <w:rPr>
                <w:rFonts w:ascii="Gotham" w:eastAsia="Times New Roman" w:hAnsi="Gotham" w:cs="Times New Roman"/>
                <w:color w:val="000000"/>
                <w:sz w:val="16"/>
                <w:szCs w:val="18"/>
              </w:rPr>
              <w:t>L. en D. Christian Gerardo Gasca Droppert</w:t>
            </w:r>
          </w:p>
          <w:p w14:paraId="1DEC4B11" w14:textId="77777777" w:rsidR="00040B09" w:rsidRPr="00683965" w:rsidRDefault="00040B09" w:rsidP="00040B09">
            <w:pPr>
              <w:jc w:val="center"/>
              <w:rPr>
                <w:rFonts w:ascii="Gotham" w:eastAsia="Times New Roman" w:hAnsi="Gotham" w:cs="Times New Roman"/>
                <w:sz w:val="16"/>
                <w:szCs w:val="18"/>
              </w:rPr>
            </w:pPr>
            <w:r w:rsidRPr="00683965">
              <w:rPr>
                <w:rFonts w:ascii="Gotham" w:eastAsia="Times New Roman" w:hAnsi="Gotham" w:cs="Times New Roman"/>
                <w:b/>
                <w:bCs/>
                <w:color w:val="000000"/>
                <w:sz w:val="16"/>
                <w:szCs w:val="18"/>
              </w:rPr>
              <w:t>Director General del IFREM</w:t>
            </w:r>
          </w:p>
        </w:tc>
      </w:tr>
    </w:tbl>
    <w:p w14:paraId="1EACA7C4" w14:textId="77777777" w:rsidR="00040B09" w:rsidRPr="00683965" w:rsidRDefault="00040B09" w:rsidP="00040B09">
      <w:pPr>
        <w:rPr>
          <w:rFonts w:ascii="Gotham" w:hAnsi="Gotham"/>
          <w:sz w:val="18"/>
          <w:szCs w:val="18"/>
          <w:lang w:eastAsia="en-US"/>
        </w:rPr>
      </w:pPr>
    </w:p>
    <w:p w14:paraId="1CD04F56" w14:textId="77777777" w:rsidR="001D233D" w:rsidRDefault="001D233D" w:rsidP="00040B09">
      <w:pPr>
        <w:tabs>
          <w:tab w:val="left" w:pos="3900"/>
        </w:tabs>
        <w:jc w:val="both"/>
        <w:rPr>
          <w:rFonts w:ascii="Gotham" w:hAnsi="Gotham"/>
        </w:rPr>
      </w:pPr>
    </w:p>
    <w:p w14:paraId="066BE4B7" w14:textId="77777777" w:rsidR="001D233D" w:rsidRDefault="001D233D" w:rsidP="00040B09">
      <w:pPr>
        <w:tabs>
          <w:tab w:val="left" w:pos="3900"/>
        </w:tabs>
        <w:jc w:val="both"/>
        <w:rPr>
          <w:rFonts w:ascii="Gotham" w:hAnsi="Gotham"/>
        </w:rPr>
      </w:pPr>
    </w:p>
    <w:p w14:paraId="39C5228F" w14:textId="77777777" w:rsidR="001D233D" w:rsidRDefault="001D233D" w:rsidP="00040B09">
      <w:pPr>
        <w:tabs>
          <w:tab w:val="left" w:pos="3900"/>
        </w:tabs>
        <w:jc w:val="both"/>
        <w:rPr>
          <w:rFonts w:ascii="Gotham" w:hAnsi="Gotham"/>
        </w:rPr>
      </w:pPr>
    </w:p>
    <w:p w14:paraId="4F27A9C8" w14:textId="0ADB3640" w:rsidR="001D233D" w:rsidRPr="00683965" w:rsidRDefault="001D233D" w:rsidP="00040B09">
      <w:pPr>
        <w:tabs>
          <w:tab w:val="left" w:pos="3900"/>
        </w:tabs>
        <w:jc w:val="both"/>
        <w:rPr>
          <w:rFonts w:ascii="Gotham" w:hAnsi="Gotham"/>
        </w:rPr>
      </w:pPr>
    </w:p>
    <w:sectPr w:rsidR="001D233D" w:rsidRPr="00683965" w:rsidSect="001D233D">
      <w:headerReference w:type="default" r:id="rId34"/>
      <w:footerReference w:type="default" r:id="rId35"/>
      <w:pgSz w:w="12240" w:h="15840"/>
      <w:pgMar w:top="2127" w:right="1134" w:bottom="1701" w:left="1134" w:header="1304" w:footer="147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AA81" w14:textId="77777777" w:rsidR="00DA1411" w:rsidRDefault="00DA1411">
      <w:r>
        <w:separator/>
      </w:r>
    </w:p>
  </w:endnote>
  <w:endnote w:type="continuationSeparator" w:id="0">
    <w:p w14:paraId="64E58518" w14:textId="77777777" w:rsidR="00DA1411" w:rsidRDefault="00DA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Gotham">
    <w:panose1 w:val="02000504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HelveticaNeueLT Std Lt">
    <w:panose1 w:val="00000000000000000000"/>
    <w:charset w:val="00"/>
    <w:family w:val="swiss"/>
    <w:notTrueType/>
    <w:pitch w:val="variable"/>
    <w:sig w:usb0="800000AF" w:usb1="4000204A" w:usb2="00000000" w:usb3="00000000" w:csb0="00000001" w:csb1="00000000"/>
  </w:font>
  <w:font w:name="Montserrat">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EA2B" w14:textId="3C93CA72" w:rsidR="00385C13" w:rsidRPr="00D76B68" w:rsidRDefault="0060021C" w:rsidP="006809B1">
    <w:pPr>
      <w:pBdr>
        <w:top w:val="nil"/>
        <w:left w:val="nil"/>
        <w:bottom w:val="nil"/>
        <w:right w:val="nil"/>
        <w:between w:val="nil"/>
      </w:pBdr>
      <w:tabs>
        <w:tab w:val="center" w:pos="4419"/>
        <w:tab w:val="right" w:pos="8838"/>
      </w:tabs>
      <w:spacing w:line="288" w:lineRule="auto"/>
      <w:jc w:val="center"/>
      <w:rPr>
        <w:rFonts w:ascii="Montserrat SemiBold" w:eastAsia="Montserrat SemiBold" w:hAnsi="Montserrat SemiBold" w:cs="Montserrat SemiBold"/>
        <w:b/>
        <w:sz w:val="15"/>
        <w:szCs w:val="15"/>
      </w:rPr>
    </w:pPr>
    <w:r w:rsidRPr="00D76B68">
      <w:rPr>
        <w:rFonts w:ascii="Montserrat SemiBold" w:eastAsia="Montserrat SemiBold" w:hAnsi="Montserrat SemiBold" w:cs="Montserrat SemiBold"/>
        <w:b/>
        <w:sz w:val="15"/>
        <w:szCs w:val="15"/>
        <w:lang w:val="es-ES"/>
      </w:rPr>
      <w:t xml:space="preserve"> </w:t>
    </w:r>
    <w:r w:rsidRPr="00D76B68">
      <w:rPr>
        <w:rFonts w:asciiTheme="majorHAnsi" w:eastAsiaTheme="majorEastAsia" w:hAnsiTheme="majorHAnsi" w:cstheme="majorBidi"/>
        <w:b/>
        <w:sz w:val="20"/>
        <w:szCs w:val="20"/>
        <w:lang w:val="es-ES"/>
      </w:rPr>
      <w:t xml:space="preserve">pág. </w:t>
    </w:r>
    <w:r w:rsidRPr="00D76B68">
      <w:rPr>
        <w:rFonts w:ascii="Montserrat SemiBold" w:eastAsia="Montserrat SemiBold" w:hAnsi="Montserrat SemiBold" w:cs="Montserrat SemiBold"/>
        <w:b/>
        <w:sz w:val="20"/>
        <w:szCs w:val="20"/>
      </w:rPr>
      <w:fldChar w:fldCharType="begin"/>
    </w:r>
    <w:r w:rsidRPr="00D76B68">
      <w:rPr>
        <w:rFonts w:ascii="Montserrat SemiBold" w:eastAsia="Montserrat SemiBold" w:hAnsi="Montserrat SemiBold" w:cs="Montserrat SemiBold"/>
        <w:b/>
        <w:sz w:val="20"/>
        <w:szCs w:val="20"/>
      </w:rPr>
      <w:instrText>PAGE    \* MERGEFORMAT</w:instrText>
    </w:r>
    <w:r w:rsidRPr="00D76B68">
      <w:rPr>
        <w:rFonts w:ascii="Montserrat SemiBold" w:eastAsia="Montserrat SemiBold" w:hAnsi="Montserrat SemiBold" w:cs="Montserrat SemiBold"/>
        <w:b/>
        <w:sz w:val="20"/>
        <w:szCs w:val="20"/>
      </w:rPr>
      <w:fldChar w:fldCharType="separate"/>
    </w:r>
    <w:r w:rsidR="008108AD" w:rsidRPr="008108AD">
      <w:rPr>
        <w:rFonts w:asciiTheme="majorHAnsi" w:eastAsiaTheme="majorEastAsia" w:hAnsiTheme="majorHAnsi" w:cstheme="majorBidi"/>
        <w:b/>
        <w:noProof/>
        <w:sz w:val="20"/>
        <w:szCs w:val="20"/>
        <w:lang w:val="es-ES"/>
      </w:rPr>
      <w:t>2</w:t>
    </w:r>
    <w:r w:rsidRPr="00D76B68">
      <w:rPr>
        <w:rFonts w:asciiTheme="majorHAnsi" w:eastAsiaTheme="majorEastAsia" w:hAnsiTheme="majorHAnsi" w:cstheme="majorBid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CD1E" w14:textId="77777777" w:rsidR="00DA1411" w:rsidRDefault="00DA1411">
      <w:r>
        <w:separator/>
      </w:r>
    </w:p>
  </w:footnote>
  <w:footnote w:type="continuationSeparator" w:id="0">
    <w:p w14:paraId="715CAFCB" w14:textId="77777777" w:rsidR="00DA1411" w:rsidRDefault="00DA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5A0E" w14:textId="53B487F9" w:rsidR="00385C13" w:rsidRDefault="0060021C" w:rsidP="00C8204A">
    <w:pPr>
      <w:jc w:val="right"/>
      <w:rPr>
        <w:rFonts w:ascii="Montserrat" w:eastAsia="Montserrat" w:hAnsi="Montserrat" w:cs="Montserrat"/>
        <w:b/>
        <w:sz w:val="16"/>
        <w:szCs w:val="16"/>
      </w:rPr>
    </w:pPr>
    <w:r>
      <w:rPr>
        <w:noProof/>
      </w:rPr>
      <w:drawing>
        <wp:anchor distT="0" distB="0" distL="0" distR="0" simplePos="0" relativeHeight="251658240" behindDoc="1" locked="0" layoutInCell="1" hidden="0" allowOverlap="1" wp14:anchorId="158B0D37" wp14:editId="2E0FAE25">
          <wp:simplePos x="0" y="0"/>
          <wp:positionH relativeFrom="page">
            <wp:posOffset>72390</wp:posOffset>
          </wp:positionH>
          <wp:positionV relativeFrom="page">
            <wp:posOffset>-471775</wp:posOffset>
          </wp:positionV>
          <wp:extent cx="7781290" cy="10595428"/>
          <wp:effectExtent l="0" t="0" r="0" b="0"/>
          <wp:wrapNone/>
          <wp:docPr id="259458237" name="Imagen 25945823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81290" cy="1059542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99A"/>
    <w:multiLevelType w:val="hybridMultilevel"/>
    <w:tmpl w:val="292854E6"/>
    <w:lvl w:ilvl="0" w:tplc="871A611E">
      <w:start w:val="4"/>
      <w:numFmt w:val="upperRoman"/>
      <w:lvlText w:val="%1."/>
      <w:lvlJc w:val="left"/>
      <w:pPr>
        <w:ind w:left="1428" w:hanging="720"/>
      </w:pPr>
      <w:rPr>
        <w:rFonts w:eastAsia="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2B07FE"/>
    <w:multiLevelType w:val="multilevel"/>
    <w:tmpl w:val="A4CA6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E610A"/>
    <w:multiLevelType w:val="multilevel"/>
    <w:tmpl w:val="F202F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B4F1B"/>
    <w:multiLevelType w:val="multilevel"/>
    <w:tmpl w:val="24B482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8355D"/>
    <w:multiLevelType w:val="hybridMultilevel"/>
    <w:tmpl w:val="C92899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86F04"/>
    <w:multiLevelType w:val="hybridMultilevel"/>
    <w:tmpl w:val="6F6AA640"/>
    <w:lvl w:ilvl="0" w:tplc="6CBCF408">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5A5511"/>
    <w:multiLevelType w:val="multilevel"/>
    <w:tmpl w:val="764CC38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AF4977"/>
    <w:multiLevelType w:val="hybridMultilevel"/>
    <w:tmpl w:val="0E78647C"/>
    <w:lvl w:ilvl="0" w:tplc="080A0017">
      <w:start w:val="1"/>
      <w:numFmt w:val="lowerLetter"/>
      <w:lvlText w:val="%1)"/>
      <w:lvlJc w:val="left"/>
      <w:pPr>
        <w:ind w:left="1353" w:hanging="360"/>
      </w:p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8" w15:restartNumberingAfterBreak="0">
    <w:nsid w:val="140B0D12"/>
    <w:multiLevelType w:val="multilevel"/>
    <w:tmpl w:val="45D20D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D34E74"/>
    <w:multiLevelType w:val="multilevel"/>
    <w:tmpl w:val="08E20B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B93A8E"/>
    <w:multiLevelType w:val="multilevel"/>
    <w:tmpl w:val="49A2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AE7C0B"/>
    <w:multiLevelType w:val="multilevel"/>
    <w:tmpl w:val="F5BE3916"/>
    <w:lvl w:ilvl="0">
      <w:start w:val="1"/>
      <w:numFmt w:val="upperRoman"/>
      <w:lvlText w:val="%1."/>
      <w:lvlJc w:val="right"/>
      <w:pPr>
        <w:ind w:left="786" w:hanging="360"/>
      </w:pPr>
      <w:rPr>
        <w:b/>
      </w:rPr>
    </w:lvl>
    <w:lvl w:ilvl="1">
      <w:start w:val="1"/>
      <w:numFmt w:val="lowerLetter"/>
      <w:lvlText w:val="%2)"/>
      <w:lvlJc w:val="left"/>
      <w:pPr>
        <w:ind w:left="-336" w:hanging="360"/>
      </w:pPr>
    </w:lvl>
    <w:lvl w:ilvl="2">
      <w:start w:val="1"/>
      <w:numFmt w:val="lowerRoman"/>
      <w:lvlText w:val="%3)"/>
      <w:lvlJc w:val="left"/>
      <w:pPr>
        <w:ind w:left="24" w:hanging="360"/>
      </w:pPr>
    </w:lvl>
    <w:lvl w:ilvl="3">
      <w:start w:val="1"/>
      <w:numFmt w:val="decimal"/>
      <w:lvlText w:val="(%4)"/>
      <w:lvlJc w:val="left"/>
      <w:pPr>
        <w:ind w:left="384" w:hanging="360"/>
      </w:pPr>
    </w:lvl>
    <w:lvl w:ilvl="4">
      <w:start w:val="1"/>
      <w:numFmt w:val="lowerLetter"/>
      <w:lvlText w:val="(%5)"/>
      <w:lvlJc w:val="left"/>
      <w:pPr>
        <w:ind w:left="744" w:hanging="360"/>
      </w:pPr>
    </w:lvl>
    <w:lvl w:ilvl="5">
      <w:start w:val="1"/>
      <w:numFmt w:val="lowerRoman"/>
      <w:lvlText w:val="(%6)"/>
      <w:lvlJc w:val="left"/>
      <w:pPr>
        <w:ind w:left="1104" w:hanging="360"/>
      </w:pPr>
    </w:lvl>
    <w:lvl w:ilvl="6">
      <w:start w:val="1"/>
      <w:numFmt w:val="decimal"/>
      <w:lvlText w:val="%7."/>
      <w:lvlJc w:val="left"/>
      <w:pPr>
        <w:ind w:left="1464" w:hanging="360"/>
      </w:pPr>
    </w:lvl>
    <w:lvl w:ilvl="7">
      <w:start w:val="1"/>
      <w:numFmt w:val="lowerLetter"/>
      <w:lvlText w:val="%8."/>
      <w:lvlJc w:val="left"/>
      <w:pPr>
        <w:ind w:left="1824" w:hanging="360"/>
      </w:pPr>
    </w:lvl>
    <w:lvl w:ilvl="8">
      <w:start w:val="1"/>
      <w:numFmt w:val="lowerRoman"/>
      <w:lvlText w:val="%9."/>
      <w:lvlJc w:val="left"/>
      <w:pPr>
        <w:ind w:left="2184" w:hanging="360"/>
      </w:pPr>
    </w:lvl>
  </w:abstractNum>
  <w:abstractNum w:abstractNumId="12" w15:restartNumberingAfterBreak="0">
    <w:nsid w:val="27732AE0"/>
    <w:multiLevelType w:val="multilevel"/>
    <w:tmpl w:val="3C9C854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0D14F1"/>
    <w:multiLevelType w:val="multilevel"/>
    <w:tmpl w:val="1DC46224"/>
    <w:lvl w:ilvl="0">
      <w:start w:val="1"/>
      <w:numFmt w:val="decimal"/>
      <w:lvlText w:val="%1."/>
      <w:lvlJc w:val="left"/>
      <w:pPr>
        <w:ind w:left="7873" w:hanging="360"/>
      </w:pPr>
      <w:rPr>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2FB167F4"/>
    <w:multiLevelType w:val="multilevel"/>
    <w:tmpl w:val="7A963A70"/>
    <w:lvl w:ilvl="0">
      <w:start w:val="1"/>
      <w:numFmt w:val="low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E47E25"/>
    <w:multiLevelType w:val="multilevel"/>
    <w:tmpl w:val="5E623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366B37"/>
    <w:multiLevelType w:val="multilevel"/>
    <w:tmpl w:val="CEFC1A4C"/>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8D6AC0"/>
    <w:multiLevelType w:val="multilevel"/>
    <w:tmpl w:val="3224FB40"/>
    <w:lvl w:ilvl="0">
      <w:start w:val="1"/>
      <w:numFmt w:val="decimal"/>
      <w:lvlText w:val="%1."/>
      <w:lvlJc w:val="left"/>
      <w:pPr>
        <w:tabs>
          <w:tab w:val="num" w:pos="644"/>
        </w:tabs>
        <w:ind w:left="644" w:hanging="360"/>
      </w:pPr>
      <w:rPr>
        <w:b/>
        <w:color w:val="auto"/>
      </w:r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E15165"/>
    <w:multiLevelType w:val="multilevel"/>
    <w:tmpl w:val="89E248D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1052CD"/>
    <w:multiLevelType w:val="multilevel"/>
    <w:tmpl w:val="891EA7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876122"/>
    <w:multiLevelType w:val="multilevel"/>
    <w:tmpl w:val="6158D9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7439D5"/>
    <w:multiLevelType w:val="hybridMultilevel"/>
    <w:tmpl w:val="BCC6A0F6"/>
    <w:lvl w:ilvl="0" w:tplc="080A000F">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55738D"/>
    <w:multiLevelType w:val="hybridMultilevel"/>
    <w:tmpl w:val="556ECC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ED542C"/>
    <w:multiLevelType w:val="multilevel"/>
    <w:tmpl w:val="B97093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DB1F10"/>
    <w:multiLevelType w:val="multilevel"/>
    <w:tmpl w:val="B4803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095056"/>
    <w:multiLevelType w:val="multilevel"/>
    <w:tmpl w:val="7114B010"/>
    <w:lvl w:ilvl="0">
      <w:start w:val="9"/>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59796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0939125">
    <w:abstractNumId w:val="7"/>
  </w:num>
  <w:num w:numId="3" w16cid:durableId="1784768690">
    <w:abstractNumId w:val="17"/>
  </w:num>
  <w:num w:numId="4" w16cid:durableId="730809114">
    <w:abstractNumId w:val="13"/>
  </w:num>
  <w:num w:numId="5" w16cid:durableId="397362459">
    <w:abstractNumId w:val="16"/>
  </w:num>
  <w:num w:numId="6" w16cid:durableId="600917334">
    <w:abstractNumId w:val="14"/>
  </w:num>
  <w:num w:numId="7" w16cid:durableId="1039016147">
    <w:abstractNumId w:val="0"/>
  </w:num>
  <w:num w:numId="8" w16cid:durableId="1021515427">
    <w:abstractNumId w:val="1"/>
  </w:num>
  <w:num w:numId="9" w16cid:durableId="1028412488">
    <w:abstractNumId w:val="15"/>
    <w:lvlOverride w:ilvl="0">
      <w:lvl w:ilvl="0">
        <w:numFmt w:val="decimal"/>
        <w:lvlText w:val="%1."/>
        <w:lvlJc w:val="left"/>
      </w:lvl>
    </w:lvlOverride>
  </w:num>
  <w:num w:numId="10" w16cid:durableId="564537466">
    <w:abstractNumId w:val="24"/>
    <w:lvlOverride w:ilvl="0">
      <w:lvl w:ilvl="0">
        <w:numFmt w:val="decimal"/>
        <w:lvlText w:val="%1."/>
        <w:lvlJc w:val="left"/>
      </w:lvl>
    </w:lvlOverride>
  </w:num>
  <w:num w:numId="11" w16cid:durableId="152916542">
    <w:abstractNumId w:val="2"/>
    <w:lvlOverride w:ilvl="0">
      <w:lvl w:ilvl="0">
        <w:numFmt w:val="decimal"/>
        <w:lvlText w:val="%1."/>
        <w:lvlJc w:val="left"/>
      </w:lvl>
    </w:lvlOverride>
  </w:num>
  <w:num w:numId="12" w16cid:durableId="556862377">
    <w:abstractNumId w:val="20"/>
    <w:lvlOverride w:ilvl="0">
      <w:lvl w:ilvl="0">
        <w:numFmt w:val="decimal"/>
        <w:lvlText w:val="%1."/>
        <w:lvlJc w:val="left"/>
      </w:lvl>
    </w:lvlOverride>
  </w:num>
  <w:num w:numId="13" w16cid:durableId="30501314">
    <w:abstractNumId w:val="23"/>
    <w:lvlOverride w:ilvl="0">
      <w:lvl w:ilvl="0">
        <w:numFmt w:val="decimal"/>
        <w:lvlText w:val="%1."/>
        <w:lvlJc w:val="left"/>
      </w:lvl>
    </w:lvlOverride>
  </w:num>
  <w:num w:numId="14" w16cid:durableId="968168049">
    <w:abstractNumId w:val="9"/>
    <w:lvlOverride w:ilvl="0">
      <w:lvl w:ilvl="0">
        <w:numFmt w:val="decimal"/>
        <w:lvlText w:val="%1."/>
        <w:lvlJc w:val="left"/>
      </w:lvl>
    </w:lvlOverride>
  </w:num>
  <w:num w:numId="15" w16cid:durableId="616447522">
    <w:abstractNumId w:val="19"/>
    <w:lvlOverride w:ilvl="0">
      <w:lvl w:ilvl="0">
        <w:numFmt w:val="decimal"/>
        <w:lvlText w:val="%1."/>
        <w:lvlJc w:val="left"/>
      </w:lvl>
    </w:lvlOverride>
  </w:num>
  <w:num w:numId="16" w16cid:durableId="1946187159">
    <w:abstractNumId w:val="25"/>
    <w:lvlOverride w:ilvl="0">
      <w:lvl w:ilvl="0">
        <w:numFmt w:val="decimal"/>
        <w:lvlText w:val="%1."/>
        <w:lvlJc w:val="left"/>
      </w:lvl>
    </w:lvlOverride>
  </w:num>
  <w:num w:numId="17" w16cid:durableId="394470620">
    <w:abstractNumId w:val="3"/>
    <w:lvlOverride w:ilvl="0">
      <w:lvl w:ilvl="0">
        <w:numFmt w:val="decimal"/>
        <w:lvlText w:val="%1."/>
        <w:lvlJc w:val="left"/>
      </w:lvl>
    </w:lvlOverride>
  </w:num>
  <w:num w:numId="18" w16cid:durableId="524097194">
    <w:abstractNumId w:val="8"/>
    <w:lvlOverride w:ilvl="0">
      <w:lvl w:ilvl="0">
        <w:numFmt w:val="decimal"/>
        <w:lvlText w:val="%1."/>
        <w:lvlJc w:val="left"/>
      </w:lvl>
    </w:lvlOverride>
  </w:num>
  <w:num w:numId="19" w16cid:durableId="1881893657">
    <w:abstractNumId w:val="10"/>
    <w:lvlOverride w:ilvl="0">
      <w:lvl w:ilvl="0">
        <w:numFmt w:val="decimal"/>
        <w:lvlText w:val="%1."/>
        <w:lvlJc w:val="left"/>
      </w:lvl>
    </w:lvlOverride>
  </w:num>
  <w:num w:numId="20" w16cid:durableId="382564823">
    <w:abstractNumId w:val="12"/>
    <w:lvlOverride w:ilvl="0">
      <w:lvl w:ilvl="0">
        <w:numFmt w:val="decimal"/>
        <w:lvlText w:val="%1."/>
        <w:lvlJc w:val="left"/>
      </w:lvl>
    </w:lvlOverride>
  </w:num>
  <w:num w:numId="21" w16cid:durableId="1309675907">
    <w:abstractNumId w:val="18"/>
    <w:lvlOverride w:ilvl="0">
      <w:lvl w:ilvl="0">
        <w:numFmt w:val="decimal"/>
        <w:lvlText w:val="%1."/>
        <w:lvlJc w:val="left"/>
      </w:lvl>
    </w:lvlOverride>
  </w:num>
  <w:num w:numId="22" w16cid:durableId="1692877803">
    <w:abstractNumId w:val="6"/>
    <w:lvlOverride w:ilvl="0">
      <w:lvl w:ilvl="0">
        <w:numFmt w:val="decimal"/>
        <w:lvlText w:val="%1."/>
        <w:lvlJc w:val="left"/>
      </w:lvl>
    </w:lvlOverride>
  </w:num>
  <w:num w:numId="23" w16cid:durableId="1975603129">
    <w:abstractNumId w:val="4"/>
  </w:num>
  <w:num w:numId="24" w16cid:durableId="75980361">
    <w:abstractNumId w:val="22"/>
  </w:num>
  <w:num w:numId="25" w16cid:durableId="909653877">
    <w:abstractNumId w:val="5"/>
  </w:num>
  <w:num w:numId="26" w16cid:durableId="5472986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13"/>
    <w:rsid w:val="00017795"/>
    <w:rsid w:val="00040B09"/>
    <w:rsid w:val="00064EF6"/>
    <w:rsid w:val="00071B49"/>
    <w:rsid w:val="00074ABC"/>
    <w:rsid w:val="0008025B"/>
    <w:rsid w:val="000E5A26"/>
    <w:rsid w:val="000E5F6D"/>
    <w:rsid w:val="00104D33"/>
    <w:rsid w:val="00106F4C"/>
    <w:rsid w:val="00106FAD"/>
    <w:rsid w:val="001328E1"/>
    <w:rsid w:val="001542EC"/>
    <w:rsid w:val="00181F03"/>
    <w:rsid w:val="00190382"/>
    <w:rsid w:val="00194155"/>
    <w:rsid w:val="001C69E8"/>
    <w:rsid w:val="001D0DD7"/>
    <w:rsid w:val="001D1469"/>
    <w:rsid w:val="001D233D"/>
    <w:rsid w:val="001F418E"/>
    <w:rsid w:val="00202688"/>
    <w:rsid w:val="0022673F"/>
    <w:rsid w:val="00260475"/>
    <w:rsid w:val="00266D6B"/>
    <w:rsid w:val="002742A6"/>
    <w:rsid w:val="00281069"/>
    <w:rsid w:val="002A2984"/>
    <w:rsid w:val="002D3783"/>
    <w:rsid w:val="002F6DAA"/>
    <w:rsid w:val="00321CA2"/>
    <w:rsid w:val="00361237"/>
    <w:rsid w:val="00385C13"/>
    <w:rsid w:val="003D5825"/>
    <w:rsid w:val="003E68BC"/>
    <w:rsid w:val="004C6B92"/>
    <w:rsid w:val="004D3BAB"/>
    <w:rsid w:val="004D534E"/>
    <w:rsid w:val="005635E4"/>
    <w:rsid w:val="00575E5E"/>
    <w:rsid w:val="005C5156"/>
    <w:rsid w:val="0060021C"/>
    <w:rsid w:val="00600DB3"/>
    <w:rsid w:val="00630F75"/>
    <w:rsid w:val="00645C2B"/>
    <w:rsid w:val="00676E1B"/>
    <w:rsid w:val="006809B1"/>
    <w:rsid w:val="00683965"/>
    <w:rsid w:val="0069529F"/>
    <w:rsid w:val="006A3CB2"/>
    <w:rsid w:val="006A597F"/>
    <w:rsid w:val="00701F0A"/>
    <w:rsid w:val="00706539"/>
    <w:rsid w:val="00725B51"/>
    <w:rsid w:val="00734774"/>
    <w:rsid w:val="00742152"/>
    <w:rsid w:val="00765A4A"/>
    <w:rsid w:val="00784D93"/>
    <w:rsid w:val="007A5999"/>
    <w:rsid w:val="007A71FC"/>
    <w:rsid w:val="007D1DBB"/>
    <w:rsid w:val="007D752B"/>
    <w:rsid w:val="007F221D"/>
    <w:rsid w:val="008108AD"/>
    <w:rsid w:val="008447BC"/>
    <w:rsid w:val="00850A18"/>
    <w:rsid w:val="00857464"/>
    <w:rsid w:val="008648B2"/>
    <w:rsid w:val="008922B5"/>
    <w:rsid w:val="00894634"/>
    <w:rsid w:val="00896D41"/>
    <w:rsid w:val="008A0B00"/>
    <w:rsid w:val="008C2184"/>
    <w:rsid w:val="008C3512"/>
    <w:rsid w:val="009376C4"/>
    <w:rsid w:val="00945E3F"/>
    <w:rsid w:val="00961B5A"/>
    <w:rsid w:val="00972FD8"/>
    <w:rsid w:val="0097426D"/>
    <w:rsid w:val="009A40D4"/>
    <w:rsid w:val="009A6542"/>
    <w:rsid w:val="009C344B"/>
    <w:rsid w:val="009E7CD7"/>
    <w:rsid w:val="009F1F4C"/>
    <w:rsid w:val="00A30779"/>
    <w:rsid w:val="00AA32B8"/>
    <w:rsid w:val="00AD7DC0"/>
    <w:rsid w:val="00B01ADE"/>
    <w:rsid w:val="00B773E3"/>
    <w:rsid w:val="00B86654"/>
    <w:rsid w:val="00BC114F"/>
    <w:rsid w:val="00BD2F6D"/>
    <w:rsid w:val="00C2296A"/>
    <w:rsid w:val="00C4597E"/>
    <w:rsid w:val="00C73069"/>
    <w:rsid w:val="00C8204A"/>
    <w:rsid w:val="00C94E4C"/>
    <w:rsid w:val="00CD687E"/>
    <w:rsid w:val="00CF0B2D"/>
    <w:rsid w:val="00D260A7"/>
    <w:rsid w:val="00D421D3"/>
    <w:rsid w:val="00D719C0"/>
    <w:rsid w:val="00D76B68"/>
    <w:rsid w:val="00D8423B"/>
    <w:rsid w:val="00D97423"/>
    <w:rsid w:val="00DA1411"/>
    <w:rsid w:val="00DB5480"/>
    <w:rsid w:val="00DC0969"/>
    <w:rsid w:val="00DE5431"/>
    <w:rsid w:val="00DF0365"/>
    <w:rsid w:val="00E263D4"/>
    <w:rsid w:val="00E54B9A"/>
    <w:rsid w:val="00EB4716"/>
    <w:rsid w:val="00EC0EF8"/>
    <w:rsid w:val="00EC2DE2"/>
    <w:rsid w:val="00F018D1"/>
    <w:rsid w:val="00F24688"/>
    <w:rsid w:val="00F46023"/>
    <w:rsid w:val="00F517EB"/>
    <w:rsid w:val="00F74CB1"/>
    <w:rsid w:val="00FF5B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B92C8"/>
  <w15:docId w15:val="{C40C3837-2FCB-42CF-AFFA-4A5B1D16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Lista2">
    <w:name w:val="List 2"/>
    <w:basedOn w:val="Normal"/>
    <w:uiPriority w:val="99"/>
    <w:unhideWhenUsed/>
    <w:rsid w:val="002D3783"/>
    <w:pPr>
      <w:ind w:left="566" w:hanging="283"/>
      <w:contextualSpacing/>
    </w:pPr>
  </w:style>
  <w:style w:type="paragraph" w:customStyle="1" w:styleId="ListaCC">
    <w:name w:val="Lista CC."/>
    <w:basedOn w:val="Normal"/>
    <w:rsid w:val="002D3783"/>
  </w:style>
  <w:style w:type="paragraph" w:styleId="Textoindependiente">
    <w:name w:val="Body Text"/>
    <w:basedOn w:val="Normal"/>
    <w:link w:val="TextoindependienteCar"/>
    <w:uiPriority w:val="99"/>
    <w:unhideWhenUsed/>
    <w:rsid w:val="002D3783"/>
    <w:pPr>
      <w:spacing w:after="120"/>
    </w:pPr>
  </w:style>
  <w:style w:type="character" w:customStyle="1" w:styleId="TextoindependienteCar">
    <w:name w:val="Texto independiente Car"/>
    <w:basedOn w:val="Fuentedeprrafopredeter"/>
    <w:link w:val="Textoindependiente"/>
    <w:uiPriority w:val="99"/>
    <w:rsid w:val="002D3783"/>
  </w:style>
  <w:style w:type="paragraph" w:styleId="Sangradetextonormal">
    <w:name w:val="Body Text Indent"/>
    <w:basedOn w:val="Normal"/>
    <w:link w:val="SangradetextonormalCar"/>
    <w:uiPriority w:val="99"/>
    <w:semiHidden/>
    <w:unhideWhenUsed/>
    <w:rsid w:val="002D3783"/>
    <w:pPr>
      <w:spacing w:after="120"/>
      <w:ind w:left="283"/>
    </w:pPr>
  </w:style>
  <w:style w:type="character" w:customStyle="1" w:styleId="SangradetextonormalCar">
    <w:name w:val="Sangría de texto normal Car"/>
    <w:basedOn w:val="Fuentedeprrafopredeter"/>
    <w:link w:val="Sangradetextonormal"/>
    <w:uiPriority w:val="99"/>
    <w:semiHidden/>
    <w:rsid w:val="002D3783"/>
  </w:style>
  <w:style w:type="paragraph" w:styleId="Textoindependienteprimerasangra2">
    <w:name w:val="Body Text First Indent 2"/>
    <w:basedOn w:val="Sangradetextonormal"/>
    <w:link w:val="Textoindependienteprimerasangra2Car"/>
    <w:uiPriority w:val="99"/>
    <w:unhideWhenUsed/>
    <w:rsid w:val="002D378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D3783"/>
  </w:style>
  <w:style w:type="paragraph" w:styleId="Prrafodelista">
    <w:name w:val="List Paragraph"/>
    <w:basedOn w:val="Normal"/>
    <w:uiPriority w:val="34"/>
    <w:qFormat/>
    <w:rsid w:val="005C5156"/>
    <w:pPr>
      <w:ind w:left="720"/>
      <w:contextualSpacing/>
    </w:pPr>
    <w:rPr>
      <w:rFonts w:ascii="Times New Roman" w:eastAsia="Times New Roman" w:hAnsi="Times New Roman" w:cs="Times New Roman"/>
    </w:rPr>
  </w:style>
  <w:style w:type="character" w:styleId="Hipervnculo">
    <w:name w:val="Hyperlink"/>
    <w:uiPriority w:val="99"/>
    <w:unhideWhenUsed/>
    <w:rsid w:val="005C5156"/>
    <w:rPr>
      <w:color w:val="0000FF"/>
      <w:u w:val="single"/>
    </w:rPr>
  </w:style>
  <w:style w:type="paragraph" w:styleId="Sinespaciado">
    <w:name w:val="No Spacing"/>
    <w:uiPriority w:val="1"/>
    <w:qFormat/>
    <w:rsid w:val="005C5156"/>
    <w:rPr>
      <w:rFonts w:ascii="HelveticaNeueLT Std" w:eastAsiaTheme="minorHAnsi" w:hAnsi="HelveticaNeueLT Std" w:cstheme="minorBidi"/>
      <w:sz w:val="20"/>
      <w:szCs w:val="20"/>
      <w:lang w:eastAsia="en-US"/>
    </w:rPr>
  </w:style>
  <w:style w:type="paragraph" w:customStyle="1" w:styleId="Default">
    <w:name w:val="Default"/>
    <w:rsid w:val="005C5156"/>
    <w:pPr>
      <w:autoSpaceDE w:val="0"/>
      <w:autoSpaceDN w:val="0"/>
      <w:adjustRightInd w:val="0"/>
    </w:pPr>
    <w:rPr>
      <w:rFonts w:ascii="Lato" w:eastAsiaTheme="minorHAnsi" w:hAnsi="Lato" w:cs="Lato"/>
      <w:color w:val="000000"/>
      <w:lang w:eastAsia="en-US"/>
    </w:rPr>
  </w:style>
  <w:style w:type="paragraph" w:styleId="Encabezado">
    <w:name w:val="header"/>
    <w:basedOn w:val="Normal"/>
    <w:link w:val="EncabezadoCar"/>
    <w:uiPriority w:val="99"/>
    <w:unhideWhenUsed/>
    <w:rsid w:val="00F74CB1"/>
    <w:pPr>
      <w:tabs>
        <w:tab w:val="center" w:pos="4419"/>
        <w:tab w:val="right" w:pos="8838"/>
      </w:tabs>
    </w:pPr>
  </w:style>
  <w:style w:type="character" w:customStyle="1" w:styleId="EncabezadoCar">
    <w:name w:val="Encabezado Car"/>
    <w:basedOn w:val="Fuentedeprrafopredeter"/>
    <w:link w:val="Encabezado"/>
    <w:uiPriority w:val="99"/>
    <w:rsid w:val="00F74CB1"/>
  </w:style>
  <w:style w:type="paragraph" w:styleId="Piedepgina">
    <w:name w:val="footer"/>
    <w:basedOn w:val="Normal"/>
    <w:link w:val="PiedepginaCar"/>
    <w:uiPriority w:val="99"/>
    <w:unhideWhenUsed/>
    <w:rsid w:val="00F74CB1"/>
    <w:pPr>
      <w:tabs>
        <w:tab w:val="center" w:pos="4419"/>
        <w:tab w:val="right" w:pos="8838"/>
      </w:tabs>
    </w:pPr>
  </w:style>
  <w:style w:type="character" w:customStyle="1" w:styleId="PiedepginaCar">
    <w:name w:val="Pie de página Car"/>
    <w:basedOn w:val="Fuentedeprrafopredeter"/>
    <w:link w:val="Piedepgina"/>
    <w:uiPriority w:val="99"/>
    <w:rsid w:val="00F7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19.emf"/><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8.emf"/><Relationship Id="rId33" Type="http://schemas.openxmlformats.org/officeDocument/2006/relationships/hyperlink" Target="https://www.bmv.com.mx/docs-pub/eventoca/eventoca_1307933_2.pdf"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ifrem.edomex.gob.mx/organigrama" TargetMode="External"/><Relationship Id="rId32" Type="http://schemas.openxmlformats.org/officeDocument/2006/relationships/hyperlink" Target="https://www.fitchratings.com/research/es/international-public-finance/fitch-affirms-ifrems-nltr-loans-at-aaa-mex-vra-16-08-202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oter" Target="footer1.xml"/><Relationship Id="rId8" Type="http://schemas.openxmlformats.org/officeDocument/2006/relationships/image" Target="media/image2.emf"/><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27</Pages>
  <Words>9134</Words>
  <Characters>50237</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dc:creator>
  <cp:lastModifiedBy>CONTABILIDAD</cp:lastModifiedBy>
  <cp:revision>98</cp:revision>
  <cp:lastPrinted>2023-10-13T23:58:00Z</cp:lastPrinted>
  <dcterms:created xsi:type="dcterms:W3CDTF">2023-10-13T21:19:00Z</dcterms:created>
  <dcterms:modified xsi:type="dcterms:W3CDTF">2023-10-16T19:34:00Z</dcterms:modified>
</cp:coreProperties>
</file>