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A3497B" w14:textId="77777777" w:rsidR="004F660A" w:rsidRPr="004F039C" w:rsidRDefault="00EB41CD">
      <w:pPr>
        <w:spacing w:after="101" w:line="276" w:lineRule="auto"/>
        <w:ind w:left="648"/>
        <w:jc w:val="center"/>
        <w:rPr>
          <w:rFonts w:ascii="HelveticaNeueLT Std" w:hAnsi="HelveticaNeueLT Std"/>
          <w:b/>
        </w:rPr>
      </w:pPr>
      <w:r w:rsidRPr="004F039C">
        <w:rPr>
          <w:rFonts w:ascii="HelveticaNeueLT Std" w:hAnsi="HelveticaNeueLT Std"/>
          <w:b/>
        </w:rPr>
        <w:t>NOTAS A LOS ESTADOS FINANCIEROS</w:t>
      </w:r>
    </w:p>
    <w:p w14:paraId="6446B88A" w14:textId="77777777" w:rsidR="004F660A" w:rsidRPr="004F039C" w:rsidRDefault="00EB41CD">
      <w:pPr>
        <w:spacing w:line="276" w:lineRule="auto"/>
        <w:jc w:val="center"/>
        <w:rPr>
          <w:rFonts w:ascii="HelveticaNeueLT Std" w:hAnsi="HelveticaNeueLT Std"/>
        </w:rPr>
      </w:pPr>
      <w:r w:rsidRPr="004F039C">
        <w:rPr>
          <w:rFonts w:ascii="HelveticaNeueLT Std" w:hAnsi="HelveticaNeueLT Std"/>
          <w:b/>
        </w:rPr>
        <w:t xml:space="preserve">Entidad: </w:t>
      </w:r>
      <w:r w:rsidRPr="004F039C">
        <w:rPr>
          <w:rFonts w:ascii="HelveticaNeueLT Std" w:hAnsi="HelveticaNeueLT Std"/>
          <w:u w:val="single"/>
        </w:rPr>
        <w:t>Instituto de la Función Registral del Estado de México</w:t>
      </w:r>
      <w:r w:rsidRPr="004F039C">
        <w:rPr>
          <w:rFonts w:ascii="HelveticaNeueLT Std" w:hAnsi="HelveticaNeueLT Std"/>
        </w:rPr>
        <w:t xml:space="preserve"> (IFREM).</w:t>
      </w:r>
    </w:p>
    <w:p w14:paraId="08228391" w14:textId="77777777" w:rsidR="004F660A" w:rsidRPr="004F039C" w:rsidRDefault="00EB41CD">
      <w:pPr>
        <w:spacing w:line="276" w:lineRule="auto"/>
        <w:jc w:val="center"/>
        <w:rPr>
          <w:rFonts w:ascii="HelveticaNeueLT Std" w:hAnsi="HelveticaNeueLT Std"/>
          <w:u w:val="single"/>
        </w:rPr>
      </w:pPr>
      <w:r w:rsidRPr="004F039C">
        <w:rPr>
          <w:rFonts w:ascii="HelveticaNeueLT Std" w:hAnsi="HelveticaNeueLT Std"/>
          <w:b/>
        </w:rPr>
        <w:t>Mes:</w:t>
      </w:r>
      <w:r w:rsidRPr="004F039C">
        <w:rPr>
          <w:rFonts w:ascii="HelveticaNeueLT Std" w:hAnsi="HelveticaNeueLT Std"/>
        </w:rPr>
        <w:t xml:space="preserve"> </w:t>
      </w:r>
      <w:r w:rsidRPr="004F039C">
        <w:rPr>
          <w:rFonts w:ascii="HelveticaNeueLT Std" w:hAnsi="HelveticaNeueLT Std"/>
          <w:u w:val="single"/>
        </w:rPr>
        <w:t xml:space="preserve">Diciembre </w:t>
      </w:r>
      <w:r w:rsidRPr="004F039C">
        <w:rPr>
          <w:rFonts w:ascii="HelveticaNeueLT Std" w:hAnsi="HelveticaNeueLT Std"/>
          <w:b/>
        </w:rPr>
        <w:t>de</w:t>
      </w:r>
      <w:r w:rsidRPr="004F039C">
        <w:rPr>
          <w:rFonts w:ascii="HelveticaNeueLT Std" w:hAnsi="HelveticaNeueLT Std"/>
        </w:rPr>
        <w:t xml:space="preserve"> </w:t>
      </w:r>
      <w:r w:rsidRPr="004F039C">
        <w:rPr>
          <w:rFonts w:ascii="HelveticaNeueLT Std" w:hAnsi="HelveticaNeueLT Std"/>
          <w:u w:val="single"/>
        </w:rPr>
        <w:t>2022</w:t>
      </w:r>
    </w:p>
    <w:p w14:paraId="2F1E07B3" w14:textId="77777777" w:rsidR="004F660A" w:rsidRPr="004F039C" w:rsidRDefault="00EB41CD">
      <w:pPr>
        <w:spacing w:line="240" w:lineRule="auto"/>
        <w:rPr>
          <w:rFonts w:ascii="HelveticaNeueLT Std" w:hAnsi="HelveticaNeueLT Std"/>
        </w:rPr>
      </w:pPr>
      <w:bookmarkStart w:id="0" w:name="_heading=h.gjdgxs" w:colFirst="0" w:colLast="0"/>
      <w:bookmarkEnd w:id="0"/>
      <w:r w:rsidRPr="004F039C">
        <w:rPr>
          <w:rFonts w:ascii="HelveticaNeueLT Std" w:hAnsi="HelveticaNeueLT Std"/>
          <w:b/>
          <w:color w:val="000000"/>
        </w:rPr>
        <w:t>a) NOTAS DE DESGLOSE</w:t>
      </w:r>
    </w:p>
    <w:p w14:paraId="2E1A3672" w14:textId="77777777" w:rsidR="004F660A" w:rsidRPr="004F039C" w:rsidRDefault="00EB41CD">
      <w:pPr>
        <w:numPr>
          <w:ilvl w:val="0"/>
          <w:numId w:val="3"/>
        </w:numPr>
        <w:spacing w:before="240" w:after="0" w:line="240" w:lineRule="auto"/>
        <w:rPr>
          <w:rFonts w:ascii="HelveticaNeueLT Std" w:hAnsi="HelveticaNeueLT Std"/>
          <w:b/>
          <w:color w:val="000000"/>
        </w:rPr>
      </w:pPr>
      <w:r w:rsidRPr="004F039C">
        <w:rPr>
          <w:rFonts w:ascii="HelveticaNeueLT Std" w:hAnsi="HelveticaNeueLT Std"/>
          <w:b/>
          <w:color w:val="000000"/>
        </w:rPr>
        <w:t>NOTAS AL ESTADO DE SITUACIÓN FINANCIERA</w:t>
      </w:r>
    </w:p>
    <w:p w14:paraId="3EA773C7" w14:textId="77777777" w:rsidR="004F660A" w:rsidRPr="004F039C" w:rsidRDefault="00EB41CD">
      <w:pPr>
        <w:spacing w:after="240" w:line="240" w:lineRule="auto"/>
        <w:rPr>
          <w:rFonts w:ascii="HelveticaNeueLT Std" w:hAnsi="HelveticaNeueLT Std"/>
        </w:rPr>
      </w:pPr>
      <w:r w:rsidRPr="004F039C">
        <w:rPr>
          <w:rFonts w:ascii="HelveticaNeueLT Std" w:hAnsi="HelveticaNeueLT Std"/>
          <w:b/>
          <w:color w:val="000000"/>
        </w:rPr>
        <w:t>Activo Circulante</w:t>
      </w:r>
    </w:p>
    <w:p w14:paraId="39117442" w14:textId="77777777" w:rsidR="004F660A" w:rsidRPr="004F039C" w:rsidRDefault="00EB41CD">
      <w:pPr>
        <w:spacing w:line="240" w:lineRule="auto"/>
        <w:jc w:val="both"/>
        <w:rPr>
          <w:rFonts w:ascii="HelveticaNeueLT Std" w:hAnsi="HelveticaNeueLT Std"/>
        </w:rPr>
      </w:pPr>
      <w:r w:rsidRPr="004F039C">
        <w:rPr>
          <w:rFonts w:ascii="HelveticaNeueLT Std" w:hAnsi="HelveticaNeueLT Std"/>
          <w:b/>
          <w:color w:val="000000"/>
        </w:rPr>
        <w:t xml:space="preserve">Efectivo y Equivalentes. - </w:t>
      </w:r>
      <w:r w:rsidRPr="004F039C">
        <w:rPr>
          <w:rFonts w:ascii="HelveticaNeueLT Std" w:hAnsi="HelveticaNeueLT Std"/>
          <w:color w:val="000000"/>
        </w:rPr>
        <w:t xml:space="preserve">El saldo de </w:t>
      </w:r>
      <w:r w:rsidRPr="004F039C">
        <w:rPr>
          <w:rFonts w:ascii="HelveticaNeueLT Std" w:hAnsi="HelveticaNeueLT Std"/>
          <w:color w:val="000000"/>
        </w:rPr>
        <w:t>321,704,904.78, se integra con las siguientes cuentas:</w:t>
      </w:r>
    </w:p>
    <w:p w14:paraId="6DA5CF15" w14:textId="77777777" w:rsidR="004F660A" w:rsidRPr="004F039C" w:rsidRDefault="00EB41CD">
      <w:pPr>
        <w:numPr>
          <w:ilvl w:val="0"/>
          <w:numId w:val="5"/>
        </w:numPr>
        <w:spacing w:line="240" w:lineRule="auto"/>
        <w:ind w:left="502"/>
        <w:jc w:val="both"/>
        <w:rPr>
          <w:rFonts w:ascii="HelveticaNeueLT Std" w:hAnsi="HelveticaNeueLT Std"/>
          <w:b/>
          <w:color w:val="000000"/>
        </w:rPr>
      </w:pPr>
      <w:r w:rsidRPr="004F039C">
        <w:rPr>
          <w:rFonts w:ascii="HelveticaNeueLT Std" w:hAnsi="HelveticaNeueLT Std"/>
          <w:b/>
          <w:color w:val="000000"/>
        </w:rPr>
        <w:t xml:space="preserve">Efectivo. - </w:t>
      </w:r>
      <w:r w:rsidRPr="004F039C">
        <w:rPr>
          <w:rFonts w:ascii="HelveticaNeueLT Std" w:hAnsi="HelveticaNeueLT Std"/>
          <w:color w:val="000000"/>
        </w:rPr>
        <w:t>El saldo de 33,000.00, es el importe de efectivo disponible para solventar gastos menores y cubrir necesidades urgentes de gasto corriente que se requieran en las oficinas administrativas d</w:t>
      </w:r>
      <w:r w:rsidRPr="004F039C">
        <w:rPr>
          <w:rFonts w:ascii="HelveticaNeueLT Std" w:hAnsi="HelveticaNeueLT Std"/>
          <w:color w:val="000000"/>
        </w:rPr>
        <w:t>e la Dirección General.</w:t>
      </w:r>
    </w:p>
    <w:p w14:paraId="0D0640EF" w14:textId="77777777" w:rsidR="004F660A" w:rsidRPr="004F039C" w:rsidRDefault="00EB41CD">
      <w:pPr>
        <w:spacing w:line="240" w:lineRule="auto"/>
        <w:ind w:left="142"/>
        <w:jc w:val="both"/>
        <w:rPr>
          <w:rFonts w:ascii="HelveticaNeueLT Std" w:hAnsi="HelveticaNeueLT Std"/>
        </w:rPr>
      </w:pPr>
      <w:r w:rsidRPr="004F039C">
        <w:rPr>
          <w:rFonts w:ascii="HelveticaNeueLT Std" w:hAnsi="HelveticaNeueLT Std"/>
          <w:b/>
          <w:color w:val="000000"/>
        </w:rPr>
        <w:t xml:space="preserve">2. Bancos/Tesorería. - </w:t>
      </w:r>
      <w:r w:rsidRPr="004F039C">
        <w:rPr>
          <w:rFonts w:ascii="HelveticaNeueLT Std" w:hAnsi="HelveticaNeueLT Std"/>
          <w:color w:val="000000"/>
        </w:rPr>
        <w:t>El saldo de 7,663,200.80, refleja la disponibilidad financiera para cubrir los gastos por las necesidades de la operación y de inversión, con la finalidad de cumplir con los compromisos de pago en tiempo y for</w:t>
      </w:r>
      <w:r w:rsidRPr="004F039C">
        <w:rPr>
          <w:rFonts w:ascii="HelveticaNeueLT Std" w:hAnsi="HelveticaNeueLT Std"/>
          <w:color w:val="000000"/>
        </w:rPr>
        <w:t>ma. La relación de cuentas productivas especificas es la siguiente:</w:t>
      </w:r>
    </w:p>
    <w:p w14:paraId="032C3CF9" w14:textId="77777777" w:rsidR="00633076" w:rsidRPr="004F039C" w:rsidRDefault="00EB41CD" w:rsidP="00633076">
      <w:pPr>
        <w:spacing w:line="240" w:lineRule="auto"/>
        <w:jc w:val="center"/>
        <w:rPr>
          <w:rFonts w:ascii="HelveticaNeueLT Std" w:hAnsi="HelveticaNeueLT Std"/>
        </w:rPr>
      </w:pPr>
      <w:r w:rsidRPr="004F039C">
        <w:rPr>
          <w:rFonts w:ascii="HelveticaNeueLT Std" w:hAnsi="HelveticaNeueLT Std"/>
          <w:noProof/>
        </w:rPr>
        <w:drawing>
          <wp:inline distT="0" distB="0" distL="0" distR="0" wp14:anchorId="63736EAF" wp14:editId="5E6A0B36">
            <wp:extent cx="6249670" cy="3966845"/>
            <wp:effectExtent l="0" t="0" r="0" b="0"/>
            <wp:docPr id="53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6249670" cy="3966845"/>
                    </a:xfrm>
                    <a:prstGeom prst="rect">
                      <a:avLst/>
                    </a:prstGeom>
                    <a:ln/>
                  </pic:spPr>
                </pic:pic>
              </a:graphicData>
            </a:graphic>
          </wp:inline>
        </w:drawing>
      </w:r>
    </w:p>
    <w:p w14:paraId="242A6F14" w14:textId="1D70D5B9" w:rsidR="004F660A" w:rsidRPr="004F039C" w:rsidRDefault="00633076" w:rsidP="00633076">
      <w:pPr>
        <w:spacing w:line="240" w:lineRule="auto"/>
        <w:jc w:val="both"/>
        <w:rPr>
          <w:rFonts w:ascii="HelveticaNeueLT Std" w:hAnsi="HelveticaNeueLT Std"/>
        </w:rPr>
      </w:pPr>
      <w:r w:rsidRPr="004F039C">
        <w:rPr>
          <w:rFonts w:ascii="HelveticaNeueLT Std" w:hAnsi="HelveticaNeueLT Std"/>
          <w:b/>
          <w:bCs/>
        </w:rPr>
        <w:lastRenderedPageBreak/>
        <w:t>3</w:t>
      </w:r>
      <w:r w:rsidRPr="004F039C">
        <w:rPr>
          <w:rFonts w:ascii="HelveticaNeueLT Std" w:hAnsi="HelveticaNeueLT Std"/>
        </w:rPr>
        <w:t xml:space="preserve">. </w:t>
      </w:r>
      <w:r w:rsidRPr="004F039C">
        <w:rPr>
          <w:rFonts w:ascii="HelveticaNeueLT Std" w:hAnsi="HelveticaNeueLT Std"/>
          <w:b/>
        </w:rPr>
        <w:t xml:space="preserve">Inversiones Temporales (Hasta 3 meses). - </w:t>
      </w:r>
      <w:r w:rsidRPr="004F039C">
        <w:rPr>
          <w:rFonts w:ascii="HelveticaNeueLT Std" w:hAnsi="HelveticaNeueLT Std"/>
        </w:rPr>
        <w:t xml:space="preserve">El saldo de </w:t>
      </w:r>
      <w:bookmarkStart w:id="1" w:name="_Hlk129692308"/>
      <w:r w:rsidRPr="004F039C">
        <w:rPr>
          <w:rFonts w:ascii="HelveticaNeueLT Std" w:hAnsi="HelveticaNeueLT Std"/>
        </w:rPr>
        <w:t>314,008,703.98</w:t>
      </w:r>
      <w:bookmarkEnd w:id="1"/>
      <w:r w:rsidRPr="004F039C">
        <w:rPr>
          <w:rFonts w:ascii="HelveticaNeueLT Std" w:hAnsi="HelveticaNeueLT Std"/>
        </w:rPr>
        <w:t>, refleja los depósitos bancarios a la vista para tener disponibilidades financieras en instrumentos de renta fija y poder cubrir con oportunidad los gastos de operación y de inversión del Instituto. Los intereses se registran en Otros Ingresos Financieros.</w:t>
      </w:r>
    </w:p>
    <w:p w14:paraId="0AF428E3" w14:textId="77777777" w:rsidR="004F660A" w:rsidRPr="004F039C" w:rsidRDefault="00EB41CD">
      <w:pPr>
        <w:spacing w:line="240" w:lineRule="auto"/>
        <w:rPr>
          <w:rFonts w:ascii="HelveticaNeueLT Std" w:hAnsi="HelveticaNeueLT Std"/>
        </w:rPr>
      </w:pPr>
      <w:bookmarkStart w:id="2" w:name="_Hlk129692360"/>
      <w:r w:rsidRPr="004F039C">
        <w:rPr>
          <w:rFonts w:ascii="HelveticaNeueLT Std" w:hAnsi="HelveticaNeueLT Std"/>
        </w:rPr>
        <w:t>De enero 2022 al mes que se comenta se tiene el siguiente desglose que permite identificar la integración en la c</w:t>
      </w:r>
      <w:r w:rsidRPr="004F039C">
        <w:rPr>
          <w:rFonts w:ascii="HelveticaNeueLT Std" w:hAnsi="HelveticaNeueLT Std"/>
        </w:rPr>
        <w:t>uenta ******813 del banco Scotiabank:</w:t>
      </w:r>
    </w:p>
    <w:bookmarkEnd w:id="2"/>
    <w:p w14:paraId="53D13F0A" w14:textId="3A5AC59A" w:rsidR="004F660A" w:rsidRPr="004F039C" w:rsidRDefault="009C7E34">
      <w:pPr>
        <w:spacing w:line="240" w:lineRule="auto"/>
        <w:jc w:val="center"/>
        <w:rPr>
          <w:rFonts w:ascii="HelveticaNeueLT Std" w:hAnsi="HelveticaNeueLT Std"/>
        </w:rPr>
      </w:pPr>
      <w:r w:rsidRPr="004F039C">
        <w:rPr>
          <w:rFonts w:ascii="HelveticaNeueLT Std" w:hAnsi="HelveticaNeueLT Std"/>
          <w:noProof/>
        </w:rPr>
        <w:drawing>
          <wp:inline distT="0" distB="0" distL="0" distR="0" wp14:anchorId="413E386F" wp14:editId="1E77FE5A">
            <wp:extent cx="3612444" cy="1466215"/>
            <wp:effectExtent l="0" t="0" r="7620" b="63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61610" cy="1486170"/>
                    </a:xfrm>
                    <a:prstGeom prst="rect">
                      <a:avLst/>
                    </a:prstGeom>
                    <a:noFill/>
                  </pic:spPr>
                </pic:pic>
              </a:graphicData>
            </a:graphic>
          </wp:inline>
        </w:drawing>
      </w:r>
    </w:p>
    <w:p w14:paraId="531A71AE" w14:textId="544B77A6" w:rsidR="00633076" w:rsidRPr="004F039C" w:rsidRDefault="009F0F54" w:rsidP="009F0F54">
      <w:pPr>
        <w:spacing w:after="0" w:line="240" w:lineRule="auto"/>
        <w:jc w:val="both"/>
        <w:rPr>
          <w:rFonts w:ascii="HelveticaNeueLT Std" w:hAnsi="HelveticaNeueLT Std"/>
        </w:rPr>
      </w:pPr>
      <w:bookmarkStart w:id="3" w:name="_Hlk129692439"/>
      <w:r w:rsidRPr="004F039C">
        <w:rPr>
          <w:rFonts w:ascii="HelveticaNeueLT Std" w:hAnsi="HelveticaNeueLT Std"/>
        </w:rPr>
        <w:t xml:space="preserve">Adicionalmente en este mes de diciembre se tienen los remanentes del Fideicomiso de Cobranza, los cuales se depositaron en </w:t>
      </w:r>
      <w:r w:rsidR="00633076" w:rsidRPr="004F039C">
        <w:rPr>
          <w:rFonts w:ascii="HelveticaNeueLT Std" w:hAnsi="HelveticaNeueLT Std"/>
        </w:rPr>
        <w:t>las cuentas</w:t>
      </w:r>
      <w:r w:rsidRPr="004F039C">
        <w:rPr>
          <w:rFonts w:ascii="HelveticaNeueLT Std" w:hAnsi="HelveticaNeueLT Std"/>
        </w:rPr>
        <w:t xml:space="preserve"> de inversiones temporales de Santander haciendo un total de 101,371,308.01, el cual incluye los intereses generados.</w:t>
      </w:r>
    </w:p>
    <w:p w14:paraId="4B4700E0" w14:textId="367E0705" w:rsidR="004F660A" w:rsidRPr="004F039C" w:rsidRDefault="009F0F54" w:rsidP="00633076">
      <w:pPr>
        <w:spacing w:after="0" w:line="240" w:lineRule="auto"/>
        <w:jc w:val="both"/>
        <w:rPr>
          <w:rFonts w:ascii="HelveticaNeueLT Std" w:hAnsi="HelveticaNeueLT Std"/>
          <w:sz w:val="6"/>
          <w:szCs w:val="6"/>
        </w:rPr>
      </w:pPr>
      <w:r w:rsidRPr="004F039C">
        <w:rPr>
          <w:rFonts w:ascii="HelveticaNeueLT Std" w:hAnsi="HelveticaNeueLT Std"/>
        </w:rPr>
        <w:t xml:space="preserve">En el mes de noviembre 2022, de los remanentes del Fideicomiso de Cobranza recibidos, se transfirieron al Gobierno del Estado de México 1,652,218,617.00, para la inversión productiva de acuerdo a lo establecido en el Contrato Irrevocable No. 80615 y se previeron recursos para operaciones fiduciarias con el objeto de cubrir los servicios profesionales que permitan realizar el análisis, estudio, revisión, lectura de mercado y estructuración para evaluar la conveniencia de llevar a cabo el refinanciamiento y/o reestructura de  los CEBURS, de conformidad con el Artículo Quinto del Decreto número 21, de fecha 31 de enero de 2022, los cuales se depositaron en la cuenta de inversiones temporales de Santander No. *******495, a la fecha de estas notas refleja un saldo de 102,302,993.19  </w:t>
      </w:r>
      <w:bookmarkEnd w:id="3"/>
    </w:p>
    <w:p w14:paraId="1BE008B6" w14:textId="77777777" w:rsidR="00633076" w:rsidRPr="004F039C" w:rsidRDefault="00633076" w:rsidP="00633076">
      <w:pPr>
        <w:spacing w:after="0" w:line="240" w:lineRule="auto"/>
        <w:jc w:val="both"/>
        <w:rPr>
          <w:rFonts w:ascii="HelveticaNeueLT Std" w:hAnsi="HelveticaNeueLT Std"/>
          <w:sz w:val="6"/>
          <w:szCs w:val="6"/>
        </w:rPr>
      </w:pPr>
    </w:p>
    <w:p w14:paraId="630C003D" w14:textId="1374C270" w:rsidR="004F660A" w:rsidRPr="004F039C" w:rsidRDefault="00EB41CD" w:rsidP="00633076">
      <w:pPr>
        <w:spacing w:after="0" w:line="240" w:lineRule="auto"/>
        <w:jc w:val="both"/>
        <w:rPr>
          <w:rFonts w:ascii="HelveticaNeueLT Std" w:hAnsi="HelveticaNeueLT Std"/>
          <w:sz w:val="6"/>
          <w:szCs w:val="6"/>
        </w:rPr>
      </w:pPr>
      <w:r w:rsidRPr="004F039C">
        <w:rPr>
          <w:rFonts w:ascii="HelveticaNeueLT Std" w:hAnsi="HelveticaNeueLT Std"/>
          <w:b/>
          <w:color w:val="000000"/>
        </w:rPr>
        <w:t>Activo No Circulante</w:t>
      </w:r>
    </w:p>
    <w:p w14:paraId="0153F904" w14:textId="77777777" w:rsidR="00633076" w:rsidRPr="004F039C" w:rsidRDefault="00633076" w:rsidP="00633076">
      <w:pPr>
        <w:spacing w:after="0" w:line="240" w:lineRule="auto"/>
        <w:jc w:val="both"/>
        <w:rPr>
          <w:rFonts w:ascii="HelveticaNeueLT Std" w:hAnsi="HelveticaNeueLT Std"/>
          <w:sz w:val="6"/>
          <w:szCs w:val="6"/>
        </w:rPr>
      </w:pPr>
    </w:p>
    <w:p w14:paraId="5E721513" w14:textId="77777777" w:rsidR="004F660A" w:rsidRPr="004F039C" w:rsidRDefault="00EB41CD">
      <w:pPr>
        <w:spacing w:line="240" w:lineRule="auto"/>
        <w:jc w:val="both"/>
        <w:rPr>
          <w:rFonts w:ascii="HelveticaNeueLT Std" w:hAnsi="HelveticaNeueLT Std"/>
        </w:rPr>
      </w:pPr>
      <w:r w:rsidRPr="004F039C">
        <w:rPr>
          <w:rFonts w:ascii="HelveticaNeueLT Std" w:hAnsi="HelveticaNeueLT Std"/>
          <w:b/>
          <w:color w:val="000000"/>
        </w:rPr>
        <w:t xml:space="preserve">Inversiones Financieras a Largo Plazo. - </w:t>
      </w:r>
      <w:r w:rsidRPr="004F039C">
        <w:rPr>
          <w:rFonts w:ascii="HelveticaNeueLT Std" w:hAnsi="HelveticaNeueLT Std"/>
          <w:color w:val="000000"/>
        </w:rPr>
        <w:t>El saldo se integra con la siguiente cuenta</w:t>
      </w:r>
      <w:r w:rsidRPr="004F039C">
        <w:rPr>
          <w:rFonts w:ascii="HelveticaNeueLT Std" w:hAnsi="HelveticaNeueLT Std"/>
          <w:b/>
          <w:color w:val="000000"/>
        </w:rPr>
        <w:t>:</w:t>
      </w:r>
      <w:r w:rsidRPr="004F039C">
        <w:rPr>
          <w:rFonts w:ascii="HelveticaNeueLT Std" w:hAnsi="HelveticaNeueLT Std"/>
          <w:color w:val="000000"/>
        </w:rPr>
        <w:t> </w:t>
      </w:r>
    </w:p>
    <w:p w14:paraId="599F6FD7" w14:textId="77777777" w:rsidR="004F660A" w:rsidRPr="004F039C" w:rsidRDefault="00EB41CD">
      <w:pPr>
        <w:spacing w:after="0" w:line="240" w:lineRule="auto"/>
        <w:jc w:val="both"/>
        <w:rPr>
          <w:rFonts w:ascii="HelveticaNeueLT Std" w:hAnsi="HelveticaNeueLT Std"/>
          <w:b/>
          <w:color w:val="000000"/>
        </w:rPr>
      </w:pPr>
      <w:r w:rsidRPr="004F039C">
        <w:rPr>
          <w:rFonts w:ascii="HelveticaNeueLT Std" w:hAnsi="HelveticaNeueLT Std"/>
          <w:b/>
          <w:color w:val="000000"/>
        </w:rPr>
        <w:t xml:space="preserve">4. Fideicomisos, Mandatos y Contratos Análogos. - </w:t>
      </w:r>
      <w:r w:rsidRPr="004F039C">
        <w:rPr>
          <w:rFonts w:ascii="HelveticaNeueLT Std" w:hAnsi="HelveticaNeueLT Std"/>
          <w:color w:val="000000"/>
        </w:rPr>
        <w:t xml:space="preserve">El saldo por las aportaciones realizadas al Fideicomiso de Cobranza de </w:t>
      </w:r>
      <w:r w:rsidRPr="004F039C">
        <w:rPr>
          <w:rFonts w:ascii="HelveticaNeueLT Std" w:hAnsi="HelveticaNeueLT Std"/>
          <w:color w:val="000000"/>
        </w:rPr>
        <w:t>esta cuenta al mes que se analiza es por 6,378,027,742.73, que refleja los recursos transferidos a la fiduciaria, menos los pagos por amortización de capital y las remesas al Instituto, que corresponden a las siguientes cantidades, al RPP por 6,367,332,108</w:t>
      </w:r>
      <w:r w:rsidRPr="004F039C">
        <w:rPr>
          <w:rFonts w:ascii="HelveticaNeueLT Std" w:hAnsi="HelveticaNeueLT Std"/>
          <w:color w:val="000000"/>
        </w:rPr>
        <w:t>.26, y al RPC por 10,695,634.47.</w:t>
      </w:r>
    </w:p>
    <w:p w14:paraId="54926132" w14:textId="77777777" w:rsidR="004F660A" w:rsidRPr="004F039C" w:rsidRDefault="004F660A">
      <w:pPr>
        <w:spacing w:after="0" w:line="240" w:lineRule="auto"/>
        <w:rPr>
          <w:rFonts w:ascii="HelveticaNeueLT Std" w:hAnsi="HelveticaNeueLT Std"/>
          <w:sz w:val="6"/>
          <w:szCs w:val="6"/>
        </w:rPr>
      </w:pPr>
    </w:p>
    <w:p w14:paraId="0EA7B00E" w14:textId="14F99F82" w:rsidR="004F660A" w:rsidRPr="004F039C" w:rsidRDefault="00EB41CD">
      <w:pPr>
        <w:spacing w:line="240" w:lineRule="auto"/>
        <w:jc w:val="both"/>
        <w:rPr>
          <w:rFonts w:ascii="HelveticaNeueLT Std" w:hAnsi="HelveticaNeueLT Std"/>
          <w:color w:val="000000"/>
        </w:rPr>
      </w:pPr>
      <w:r w:rsidRPr="004F039C">
        <w:rPr>
          <w:rFonts w:ascii="HelveticaNeueLT Std" w:hAnsi="HelveticaNeueLT Std"/>
          <w:b/>
          <w:color w:val="000000"/>
        </w:rPr>
        <w:t xml:space="preserve">Bienes Inmuebles, Infraestructura y Construcciones en </w:t>
      </w:r>
      <w:r w:rsidR="00E65C46" w:rsidRPr="004F039C">
        <w:rPr>
          <w:rFonts w:ascii="HelveticaNeueLT Std" w:hAnsi="HelveticaNeueLT Std"/>
          <w:b/>
          <w:color w:val="000000"/>
        </w:rPr>
        <w:t>Proceso. -</w:t>
      </w:r>
      <w:r w:rsidRPr="004F039C">
        <w:rPr>
          <w:rFonts w:ascii="HelveticaNeueLT Std" w:hAnsi="HelveticaNeueLT Std"/>
          <w:color w:val="000000"/>
        </w:rPr>
        <w:t>El saldo de 124,015,004.58, se integra con las siguientes cuentas:</w:t>
      </w:r>
    </w:p>
    <w:p w14:paraId="74CA6F14" w14:textId="77777777" w:rsidR="00633076" w:rsidRPr="004F039C" w:rsidRDefault="00EB41CD" w:rsidP="002323D6">
      <w:pPr>
        <w:spacing w:line="240" w:lineRule="auto"/>
        <w:jc w:val="both"/>
        <w:rPr>
          <w:rFonts w:ascii="HelveticaNeueLT Std" w:hAnsi="HelveticaNeueLT Std"/>
          <w:b/>
          <w:color w:val="000000"/>
          <w:sz w:val="6"/>
          <w:szCs w:val="6"/>
        </w:rPr>
      </w:pPr>
      <w:r w:rsidRPr="004F039C">
        <w:rPr>
          <w:rFonts w:ascii="HelveticaNeueLT Std" w:hAnsi="HelveticaNeueLT Std"/>
          <w:b/>
          <w:color w:val="000000"/>
        </w:rPr>
        <w:t>5.</w:t>
      </w:r>
      <w:r w:rsidRPr="004F039C">
        <w:rPr>
          <w:rFonts w:ascii="HelveticaNeueLT Std" w:hAnsi="HelveticaNeueLT Std"/>
          <w:color w:val="000000"/>
        </w:rPr>
        <w:t xml:space="preserve">  </w:t>
      </w:r>
      <w:r w:rsidRPr="004F039C">
        <w:rPr>
          <w:rFonts w:ascii="HelveticaNeueLT Std" w:hAnsi="HelveticaNeueLT Std"/>
          <w:b/>
          <w:color w:val="000000"/>
        </w:rPr>
        <w:t xml:space="preserve">Terrenos. – </w:t>
      </w:r>
      <w:r w:rsidRPr="004F039C">
        <w:rPr>
          <w:rFonts w:ascii="HelveticaNeueLT Std" w:hAnsi="HelveticaNeueLT Std"/>
          <w:color w:val="000000"/>
        </w:rPr>
        <w:t>A la fecha se cuenta con un valor de 2,793,209.00, los cuales corresponde a</w:t>
      </w:r>
      <w:r w:rsidRPr="004F039C">
        <w:rPr>
          <w:rFonts w:ascii="HelveticaNeueLT Std" w:hAnsi="HelveticaNeueLT Std"/>
          <w:color w:val="000000"/>
        </w:rPr>
        <w:t xml:space="preserve"> las donaciones a este Instituto, en las Oficinas Registrales de Tenango del Valle, Otumba, Ixtlahuaca y el Oro.</w:t>
      </w:r>
    </w:p>
    <w:p w14:paraId="0E4C05D2" w14:textId="46C74CB8" w:rsidR="004F660A" w:rsidRPr="004F039C" w:rsidRDefault="00EB41CD" w:rsidP="00BC387A">
      <w:pPr>
        <w:spacing w:line="240" w:lineRule="auto"/>
        <w:jc w:val="both"/>
        <w:rPr>
          <w:rFonts w:ascii="HelveticaNeueLT Std" w:hAnsi="HelveticaNeueLT Std"/>
          <w:b/>
          <w:color w:val="000000"/>
          <w:sz w:val="6"/>
          <w:szCs w:val="6"/>
        </w:rPr>
      </w:pPr>
      <w:r w:rsidRPr="004F039C">
        <w:rPr>
          <w:rFonts w:ascii="HelveticaNeueLT Std" w:hAnsi="HelveticaNeueLT Std"/>
        </w:rPr>
        <w:br/>
      </w:r>
      <w:r w:rsidRPr="004F039C">
        <w:rPr>
          <w:rFonts w:ascii="HelveticaNeueLT Std" w:hAnsi="HelveticaNeueLT Std"/>
          <w:b/>
          <w:color w:val="000000"/>
        </w:rPr>
        <w:t xml:space="preserve">6.   Edificios no Habitacionales. - </w:t>
      </w:r>
      <w:r w:rsidRPr="004F039C">
        <w:rPr>
          <w:rFonts w:ascii="HelveticaNeueLT Std" w:hAnsi="HelveticaNeueLT Std"/>
          <w:color w:val="000000"/>
        </w:rPr>
        <w:t>A la fecha de estas notas presentaron un valor histórico de 86,325,735.19, la depreciación acumulada al me</w:t>
      </w:r>
      <w:r w:rsidRPr="004F039C">
        <w:rPr>
          <w:rFonts w:ascii="HelveticaNeueLT Std" w:hAnsi="HelveticaNeueLT Std"/>
          <w:color w:val="000000"/>
        </w:rPr>
        <w:t>s actual fue de 12,326,416.68, se afecta contra el resultado del ejercicio por lo que se determinó un valor neto en libros de 73,999,318.51.</w:t>
      </w:r>
    </w:p>
    <w:p w14:paraId="25EDF9A3" w14:textId="6C246985" w:rsidR="008A4EA3" w:rsidRPr="004F039C" w:rsidRDefault="00EB41CD" w:rsidP="00633076">
      <w:pPr>
        <w:spacing w:after="0" w:line="240" w:lineRule="auto"/>
        <w:jc w:val="both"/>
        <w:rPr>
          <w:rFonts w:ascii="HelveticaNeueLT Std" w:hAnsi="HelveticaNeueLT Std"/>
          <w:color w:val="000000"/>
        </w:rPr>
      </w:pPr>
      <w:r w:rsidRPr="004F039C">
        <w:rPr>
          <w:rFonts w:ascii="HelveticaNeueLT Std" w:hAnsi="HelveticaNeueLT Std"/>
          <w:b/>
          <w:color w:val="000000"/>
        </w:rPr>
        <w:t xml:space="preserve">7. Construcciones en Proceso en Bienes </w:t>
      </w:r>
      <w:r w:rsidR="00E65C46" w:rsidRPr="004F039C">
        <w:rPr>
          <w:rFonts w:ascii="HelveticaNeueLT Std" w:hAnsi="HelveticaNeueLT Std"/>
          <w:b/>
          <w:color w:val="000000"/>
        </w:rPr>
        <w:t>Propios. -</w:t>
      </w:r>
      <w:r w:rsidRPr="004F039C">
        <w:rPr>
          <w:rFonts w:ascii="HelveticaNeueLT Std" w:hAnsi="HelveticaNeueLT Std"/>
          <w:b/>
          <w:color w:val="000000"/>
        </w:rPr>
        <w:t xml:space="preserve"> </w:t>
      </w:r>
      <w:r w:rsidRPr="004F039C">
        <w:rPr>
          <w:rFonts w:ascii="HelveticaNeueLT Std" w:hAnsi="HelveticaNeueLT Std"/>
          <w:color w:val="000000"/>
        </w:rPr>
        <w:t>El saldo es de 34,896,060.39 las cuales corresponden a las estima</w:t>
      </w:r>
      <w:r w:rsidRPr="004F039C">
        <w:rPr>
          <w:rFonts w:ascii="HelveticaNeueLT Std" w:hAnsi="HelveticaNeueLT Std"/>
          <w:color w:val="000000"/>
        </w:rPr>
        <w:t>ciones de Obra en Proceso hasta la número 13.</w:t>
      </w:r>
    </w:p>
    <w:p w14:paraId="4BF0F193" w14:textId="77777777" w:rsidR="00633076" w:rsidRPr="004F039C" w:rsidRDefault="00633076" w:rsidP="00633076">
      <w:pPr>
        <w:spacing w:after="0" w:line="240" w:lineRule="auto"/>
        <w:jc w:val="both"/>
        <w:rPr>
          <w:rFonts w:ascii="HelveticaNeueLT Std" w:hAnsi="HelveticaNeueLT Std"/>
          <w:color w:val="000000"/>
        </w:rPr>
      </w:pPr>
    </w:p>
    <w:p w14:paraId="1FCFFC28" w14:textId="0D1DEB85" w:rsidR="004F660A" w:rsidRPr="004F039C" w:rsidRDefault="00EB41CD">
      <w:pPr>
        <w:spacing w:line="240" w:lineRule="auto"/>
        <w:jc w:val="both"/>
        <w:rPr>
          <w:rFonts w:ascii="HelveticaNeueLT Std" w:hAnsi="HelveticaNeueLT Std"/>
          <w:color w:val="000000"/>
        </w:rPr>
      </w:pPr>
      <w:r w:rsidRPr="004F039C">
        <w:rPr>
          <w:rFonts w:ascii="HelveticaNeueLT Std" w:hAnsi="HelveticaNeueLT Std"/>
          <w:b/>
          <w:color w:val="000000"/>
        </w:rPr>
        <w:lastRenderedPageBreak/>
        <w:t xml:space="preserve">Bienes </w:t>
      </w:r>
      <w:r w:rsidR="00E65C46" w:rsidRPr="004F039C">
        <w:rPr>
          <w:rFonts w:ascii="HelveticaNeueLT Std" w:hAnsi="HelveticaNeueLT Std"/>
          <w:b/>
          <w:color w:val="000000"/>
        </w:rPr>
        <w:t>Muebles. -</w:t>
      </w:r>
      <w:r w:rsidRPr="004F039C">
        <w:rPr>
          <w:rFonts w:ascii="HelveticaNeueLT Std" w:hAnsi="HelveticaNeueLT Std"/>
          <w:b/>
          <w:color w:val="000000"/>
        </w:rPr>
        <w:t xml:space="preserve"> </w:t>
      </w:r>
      <w:r w:rsidRPr="004F039C">
        <w:rPr>
          <w:rFonts w:ascii="HelveticaNeueLT Std" w:hAnsi="HelveticaNeueLT Std"/>
          <w:color w:val="000000"/>
        </w:rPr>
        <w:t>El saldo de 291,630,105.47</w:t>
      </w:r>
      <w:r w:rsidR="002323D6" w:rsidRPr="004F039C">
        <w:rPr>
          <w:rFonts w:ascii="HelveticaNeueLT Std" w:hAnsi="HelveticaNeueLT Std"/>
          <w:color w:val="000000"/>
        </w:rPr>
        <w:t>, de</w:t>
      </w:r>
      <w:r w:rsidRPr="004F039C">
        <w:rPr>
          <w:rFonts w:ascii="HelveticaNeueLT Std" w:hAnsi="HelveticaNeueLT Std"/>
          <w:color w:val="000000"/>
        </w:rPr>
        <w:t xml:space="preserve"> acuerdo con el Análisis de Movimientos del Activo No Circulante y su Depreciación se puede observar en el siguiente:</w:t>
      </w:r>
    </w:p>
    <w:p w14:paraId="213D97CD" w14:textId="220541AC" w:rsidR="008A4EA3" w:rsidRPr="004F039C" w:rsidRDefault="005A11AB" w:rsidP="005A11AB">
      <w:pPr>
        <w:spacing w:line="240" w:lineRule="auto"/>
        <w:jc w:val="both"/>
        <w:rPr>
          <w:rFonts w:ascii="HelveticaNeueLT Std" w:hAnsi="HelveticaNeueLT Std"/>
          <w:color w:val="000000"/>
        </w:rPr>
      </w:pPr>
      <w:r w:rsidRPr="004F039C">
        <w:rPr>
          <w:rFonts w:ascii="HelveticaNeueLT Std" w:hAnsi="HelveticaNeueLT Std"/>
          <w:noProof/>
        </w:rPr>
        <w:drawing>
          <wp:inline distT="0" distB="0" distL="0" distR="0" wp14:anchorId="4DEB166E" wp14:editId="7F39D7CA">
            <wp:extent cx="6567805" cy="2050415"/>
            <wp:effectExtent l="0" t="0" r="4445" b="698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95276" cy="2058991"/>
                    </a:xfrm>
                    <a:prstGeom prst="rect">
                      <a:avLst/>
                    </a:prstGeom>
                    <a:noFill/>
                    <a:ln>
                      <a:noFill/>
                    </a:ln>
                  </pic:spPr>
                </pic:pic>
              </a:graphicData>
            </a:graphic>
          </wp:inline>
        </w:drawing>
      </w:r>
    </w:p>
    <w:p w14:paraId="47458EBA" w14:textId="52F55C3A" w:rsidR="004F660A" w:rsidRPr="004F039C" w:rsidRDefault="00EB41CD">
      <w:pPr>
        <w:spacing w:after="0" w:line="240" w:lineRule="auto"/>
        <w:jc w:val="both"/>
        <w:rPr>
          <w:rFonts w:ascii="HelveticaNeueLT Std" w:hAnsi="HelveticaNeueLT Std"/>
          <w:color w:val="000000"/>
        </w:rPr>
      </w:pPr>
      <w:r w:rsidRPr="004F039C">
        <w:rPr>
          <w:rFonts w:ascii="HelveticaNeueLT Std" w:hAnsi="HelveticaNeueLT Std"/>
          <w:color w:val="000000"/>
        </w:rPr>
        <w:t>En el rubro de Equipo de Cómputo y de Tec</w:t>
      </w:r>
      <w:r w:rsidRPr="004F039C">
        <w:rPr>
          <w:rFonts w:ascii="HelveticaNeueLT Std" w:hAnsi="HelveticaNeueLT Std"/>
          <w:color w:val="000000"/>
        </w:rPr>
        <w:t xml:space="preserve">nologías de la Información se han realizado adquisiciones en el presente ejercicio por la cantidad de 6,904,625.93, en el mes diciembre </w:t>
      </w:r>
      <w:r w:rsidR="00E65C46" w:rsidRPr="004F039C">
        <w:rPr>
          <w:rFonts w:ascii="HelveticaNeueLT Std" w:hAnsi="HelveticaNeueLT Std"/>
          <w:color w:val="000000"/>
        </w:rPr>
        <w:t>por 895,283.43</w:t>
      </w:r>
      <w:r w:rsidRPr="004F039C">
        <w:rPr>
          <w:rFonts w:ascii="HelveticaNeueLT Std" w:hAnsi="HelveticaNeueLT Std"/>
          <w:color w:val="000000"/>
        </w:rPr>
        <w:t>, en el mes de noviembre 3,073,689.82 y en el mes de octubre por 2,935,652.68; así como una baja por la ca</w:t>
      </w:r>
      <w:r w:rsidRPr="004F039C">
        <w:rPr>
          <w:rFonts w:ascii="HelveticaNeueLT Std" w:hAnsi="HelveticaNeueLT Std"/>
          <w:color w:val="000000"/>
        </w:rPr>
        <w:t xml:space="preserve">ntidad de 9,089.03 de una </w:t>
      </w:r>
      <w:r w:rsidRPr="004F039C">
        <w:rPr>
          <w:rFonts w:ascii="HelveticaNeueLT Std" w:hAnsi="HelveticaNeueLT Std"/>
        </w:rPr>
        <w:t>cámara</w:t>
      </w:r>
      <w:r w:rsidRPr="004F039C">
        <w:rPr>
          <w:rFonts w:ascii="HelveticaNeueLT Std" w:hAnsi="HelveticaNeueLT Std"/>
          <w:color w:val="000000"/>
        </w:rPr>
        <w:t xml:space="preserve"> minidomo.  En el  rubro de Muebles de Oficina y Estantería se realizaron adquisiciones por 68,582,338.00, el importe de 1'383,748.00, corresponden a seis vehículos que dejaron de ser útiles para el IFREM, por lo tanto, éstos se tendrán registrados en cuen</w:t>
      </w:r>
      <w:r w:rsidRPr="004F039C">
        <w:rPr>
          <w:rFonts w:ascii="HelveticaNeueLT Std" w:hAnsi="HelveticaNeueLT Std"/>
          <w:color w:val="000000"/>
        </w:rPr>
        <w:t xml:space="preserve">tas de orden hasta su destino final, de acuerdo con la autorización en el Acta de la Octogésima Octava Sesión Ordinaria del Consejo Directivo del IFREM, de fecha jueves 29 de septiembre del presente año, en cuanto a la cantidad de 2,116,776.67; se integra </w:t>
      </w:r>
      <w:r w:rsidRPr="004F039C">
        <w:rPr>
          <w:rFonts w:ascii="HelveticaNeueLT Std" w:hAnsi="HelveticaNeueLT Std"/>
          <w:color w:val="000000"/>
        </w:rPr>
        <w:t>por las reclasificaciones de 95,468.00 de la cuenta 1241-1 “Muebles de Oficina y Estantería”, a la cuenta 1241-3 “Equipo de Cómputo y de Tecnologías de la Información” y de 29,000.00 de Equipo de Cómputo y de Tecnologías de la Información a Muebles de Ofic</w:t>
      </w:r>
      <w:r w:rsidRPr="004F039C">
        <w:rPr>
          <w:rFonts w:ascii="HelveticaNeueLT Std" w:hAnsi="HelveticaNeueLT Std"/>
          <w:color w:val="000000"/>
        </w:rPr>
        <w:t xml:space="preserve">ina y Estantería; además de la disminución de 12,003.68, por concepto de teléfonos controlada en cuentas de orden, por ser bienes muebles con un importe menor a 70 UMAS cada uno. En el mes de octubre se </w:t>
      </w:r>
      <w:r w:rsidRPr="004F039C">
        <w:rPr>
          <w:rFonts w:ascii="HelveticaNeueLT Std" w:hAnsi="HelveticaNeueLT Std"/>
        </w:rPr>
        <w:t>están</w:t>
      </w:r>
      <w:r w:rsidRPr="004F039C">
        <w:rPr>
          <w:rFonts w:ascii="HelveticaNeueLT Std" w:hAnsi="HelveticaNeueLT Std"/>
          <w:color w:val="000000"/>
        </w:rPr>
        <w:t xml:space="preserve"> aplicando las reclasificaciones y estimaciones </w:t>
      </w:r>
      <w:r w:rsidRPr="004F039C">
        <w:rPr>
          <w:rFonts w:ascii="HelveticaNeueLT Std" w:hAnsi="HelveticaNeueLT Std"/>
          <w:color w:val="000000"/>
        </w:rPr>
        <w:t xml:space="preserve">en Equipo de Cómputo y de Tecnologías de la Información por 2,171,240.99; y en el rubro de Muebles de Oficina y </w:t>
      </w:r>
      <w:r w:rsidR="00E65C46" w:rsidRPr="004F039C">
        <w:rPr>
          <w:rFonts w:ascii="HelveticaNeueLT Std" w:hAnsi="HelveticaNeueLT Std"/>
          <w:color w:val="000000"/>
        </w:rPr>
        <w:t>Estantería</w:t>
      </w:r>
      <w:r w:rsidRPr="004F039C">
        <w:rPr>
          <w:rFonts w:ascii="HelveticaNeueLT Std" w:hAnsi="HelveticaNeueLT Std"/>
          <w:color w:val="000000"/>
        </w:rPr>
        <w:t xml:space="preserve">, los 841,116.55, se integran por un monto de 358,023.99, de los cuales como resultado de la depuración de cuentas de las variaciones </w:t>
      </w:r>
      <w:r w:rsidRPr="004F039C">
        <w:rPr>
          <w:rFonts w:ascii="HelveticaNeueLT Std" w:hAnsi="HelveticaNeueLT Std"/>
          <w:color w:val="000000"/>
        </w:rPr>
        <w:t xml:space="preserve">detectadas en la </w:t>
      </w:r>
      <w:r w:rsidRPr="004F039C">
        <w:rPr>
          <w:rFonts w:ascii="HelveticaNeueLT Std" w:hAnsi="HelveticaNeueLT Std"/>
        </w:rPr>
        <w:t>conciliación</w:t>
      </w:r>
      <w:r w:rsidRPr="004F039C">
        <w:rPr>
          <w:rFonts w:ascii="HelveticaNeueLT Std" w:hAnsi="HelveticaNeueLT Std"/>
          <w:color w:val="000000"/>
        </w:rPr>
        <w:t xml:space="preserve"> física-contable de los bienes muebles de acuerdo con el análisis son bienes muebles que se tienen como control administrativo por ser reaprovechables, por lo tanto se reconocen por la realización de los inventarios, conforme a</w:t>
      </w:r>
      <w:r w:rsidRPr="004F039C">
        <w:rPr>
          <w:rFonts w:ascii="HelveticaNeueLT Std" w:hAnsi="HelveticaNeueLT Std"/>
          <w:color w:val="000000"/>
        </w:rPr>
        <w:t xml:space="preserve"> la relación de los bienes de control administrativo, por lo anterior es procedente el registro contra la depreciación acumulada aplicando mediante abono a la cuenta de Activo no circulante lo </w:t>
      </w:r>
      <w:r w:rsidRPr="004F039C">
        <w:rPr>
          <w:rFonts w:ascii="HelveticaNeueLT Std" w:hAnsi="HelveticaNeueLT Std"/>
        </w:rPr>
        <w:t>correspondiente</w:t>
      </w:r>
      <w:r w:rsidRPr="004F039C">
        <w:rPr>
          <w:rFonts w:ascii="HelveticaNeueLT Std" w:hAnsi="HelveticaNeueLT Std"/>
          <w:color w:val="000000"/>
        </w:rPr>
        <w:t xml:space="preserve">. </w:t>
      </w:r>
      <w:r w:rsidR="00E65C46" w:rsidRPr="004F039C">
        <w:rPr>
          <w:rFonts w:ascii="HelveticaNeueLT Std" w:hAnsi="HelveticaNeueLT Std"/>
        </w:rPr>
        <w:t>Asimismo,</w:t>
      </w:r>
      <w:r w:rsidRPr="004F039C">
        <w:rPr>
          <w:rFonts w:ascii="HelveticaNeueLT Std" w:hAnsi="HelveticaNeueLT Std"/>
          <w:color w:val="000000"/>
        </w:rPr>
        <w:t xml:space="preserve"> de acuerdo a la conciliación de acti</w:t>
      </w:r>
      <w:r w:rsidRPr="004F039C">
        <w:rPr>
          <w:rFonts w:ascii="HelveticaNeueLT Std" w:hAnsi="HelveticaNeueLT Std"/>
          <w:color w:val="000000"/>
        </w:rPr>
        <w:t>vos fijos, debido a que ya no se tienen en los inventarios del IFREM conforme con el Sistema de Control Patrimonial (SICOPA-Web), se reclasifican de la depreciación acumulada la cantidad de 102,743.56, que corresponden a bienes muebles registrados contable</w:t>
      </w:r>
      <w:r w:rsidRPr="004F039C">
        <w:rPr>
          <w:rFonts w:ascii="HelveticaNeueLT Std" w:hAnsi="HelveticaNeueLT Std"/>
          <w:color w:val="000000"/>
        </w:rPr>
        <w:t>mente y no son considerados en existencias. En el mes de noviembre 2022, con base en el análisis y depuración de cuentas de la conciliación de activo no circulante (activo fijo), se realizó la reclasificación de 313,881.00, a la cuenta 1247 “Colecciones, O</w:t>
      </w:r>
      <w:r w:rsidRPr="004F039C">
        <w:rPr>
          <w:rFonts w:ascii="HelveticaNeueLT Std" w:hAnsi="HelveticaNeueLT Std"/>
          <w:color w:val="000000"/>
        </w:rPr>
        <w:t>bras de Arte y Objetos Valiosos”.</w:t>
      </w:r>
    </w:p>
    <w:p w14:paraId="7A100C2A" w14:textId="71FD2882" w:rsidR="008A4EA3" w:rsidRPr="004F039C" w:rsidRDefault="00EB41CD" w:rsidP="008A4EA3">
      <w:pPr>
        <w:spacing w:after="0" w:line="240" w:lineRule="auto"/>
        <w:jc w:val="both"/>
        <w:rPr>
          <w:rFonts w:ascii="HelveticaNeueLT Std" w:hAnsi="HelveticaNeueLT Std"/>
          <w:color w:val="000000"/>
        </w:rPr>
      </w:pPr>
      <w:r w:rsidRPr="004F039C">
        <w:rPr>
          <w:rFonts w:ascii="HelveticaNeueLT Std" w:hAnsi="HelveticaNeueLT Std"/>
          <w:color w:val="000000"/>
        </w:rPr>
        <w:t>Cabe mencionar que para el análisis y depuración de estas cuentas se están aplicando los registros con base en los “Lineamientos dirigidos a asegurar que el Sistema de Contabilidad Gubernamental facilite el Registro y Cont</w:t>
      </w:r>
      <w:r w:rsidRPr="004F039C">
        <w:rPr>
          <w:rFonts w:ascii="HelveticaNeueLT Std" w:hAnsi="HelveticaNeueLT Std"/>
          <w:color w:val="000000"/>
        </w:rPr>
        <w:t>rol de los Inventarios de los Bienes Muebles e Inmuebles de los Entes Públicos” y a las “Principales Reglas de Registro y Valoración del Patrimonio”, emitidas por el Consejo Nacional de Armonización Contable (CONAC).</w:t>
      </w:r>
    </w:p>
    <w:p w14:paraId="1807F3C6" w14:textId="77777777" w:rsidR="008A4EA3" w:rsidRPr="004F039C" w:rsidRDefault="008A4EA3" w:rsidP="008A4EA3">
      <w:pPr>
        <w:spacing w:after="0" w:line="240" w:lineRule="auto"/>
        <w:jc w:val="both"/>
        <w:rPr>
          <w:rFonts w:ascii="HelveticaNeueLT Std" w:hAnsi="HelveticaNeueLT Std"/>
          <w:color w:val="000000"/>
        </w:rPr>
      </w:pPr>
    </w:p>
    <w:p w14:paraId="68CFDE76" w14:textId="77777777" w:rsidR="004F660A" w:rsidRPr="004F039C" w:rsidRDefault="00EB41CD">
      <w:pPr>
        <w:spacing w:after="0" w:line="240" w:lineRule="auto"/>
        <w:rPr>
          <w:rFonts w:ascii="HelveticaNeueLT Std" w:hAnsi="HelveticaNeueLT Std"/>
          <w:color w:val="000000"/>
        </w:rPr>
      </w:pPr>
      <w:r w:rsidRPr="004F039C">
        <w:rPr>
          <w:rFonts w:ascii="HelveticaNeueLT Std" w:hAnsi="HelveticaNeueLT Std"/>
          <w:b/>
          <w:color w:val="000000"/>
        </w:rPr>
        <w:t>8.   Colecciones, Obras de Arte y Obje</w:t>
      </w:r>
      <w:r w:rsidRPr="004F039C">
        <w:rPr>
          <w:rFonts w:ascii="HelveticaNeueLT Std" w:hAnsi="HelveticaNeueLT Std"/>
          <w:b/>
          <w:color w:val="000000"/>
        </w:rPr>
        <w:t>tos Valiosos.-</w:t>
      </w:r>
      <w:r w:rsidRPr="004F039C">
        <w:rPr>
          <w:rFonts w:ascii="HelveticaNeueLT Std" w:hAnsi="HelveticaNeueLT Std"/>
          <w:color w:val="000000"/>
        </w:rPr>
        <w:t xml:space="preserve"> En este rubro el saldo es de 313,881.00</w:t>
      </w:r>
    </w:p>
    <w:p w14:paraId="09964B08" w14:textId="77777777" w:rsidR="004F660A" w:rsidRPr="004F039C" w:rsidRDefault="004F660A">
      <w:pPr>
        <w:spacing w:after="0" w:line="240" w:lineRule="auto"/>
        <w:rPr>
          <w:rFonts w:ascii="HelveticaNeueLT Std" w:hAnsi="HelveticaNeueLT Std"/>
          <w:color w:val="000000"/>
        </w:rPr>
      </w:pPr>
    </w:p>
    <w:p w14:paraId="21F65BF8" w14:textId="58CB3985" w:rsidR="008773A9" w:rsidRPr="004F039C" w:rsidRDefault="00EB41CD" w:rsidP="008773A9">
      <w:pPr>
        <w:spacing w:after="0" w:line="240" w:lineRule="auto"/>
        <w:rPr>
          <w:rFonts w:ascii="HelveticaNeueLT Std" w:hAnsi="HelveticaNeueLT Std"/>
          <w:color w:val="000000"/>
        </w:rPr>
      </w:pPr>
      <w:r w:rsidRPr="004F039C">
        <w:rPr>
          <w:rFonts w:ascii="HelveticaNeueLT Std" w:hAnsi="HelveticaNeueLT Std"/>
          <w:color w:val="000000"/>
        </w:rPr>
        <w:lastRenderedPageBreak/>
        <w:t>A</w:t>
      </w:r>
      <w:r w:rsidRPr="004F039C">
        <w:rPr>
          <w:rFonts w:ascii="HelveticaNeueLT Std" w:hAnsi="HelveticaNeueLT Std"/>
          <w:b/>
          <w:color w:val="000000"/>
        </w:rPr>
        <w:t xml:space="preserve">ctivos </w:t>
      </w:r>
      <w:r w:rsidR="002B42D1" w:rsidRPr="004F039C">
        <w:rPr>
          <w:rFonts w:ascii="HelveticaNeueLT Std" w:hAnsi="HelveticaNeueLT Std"/>
          <w:b/>
          <w:color w:val="000000"/>
        </w:rPr>
        <w:t>Diferidos. -</w:t>
      </w:r>
      <w:r w:rsidRPr="004F039C">
        <w:rPr>
          <w:rFonts w:ascii="HelveticaNeueLT Std" w:hAnsi="HelveticaNeueLT Std"/>
          <w:color w:val="000000"/>
        </w:rPr>
        <w:t xml:space="preserve"> El saldo de 64,761.00, se integra por la siguiente cuenta: </w:t>
      </w:r>
    </w:p>
    <w:p w14:paraId="550BFECE" w14:textId="77777777" w:rsidR="008773A9" w:rsidRPr="004F039C" w:rsidRDefault="008773A9" w:rsidP="008773A9">
      <w:pPr>
        <w:spacing w:after="0" w:line="240" w:lineRule="auto"/>
        <w:rPr>
          <w:rFonts w:ascii="HelveticaNeueLT Std" w:hAnsi="HelveticaNeueLT Std"/>
          <w:color w:val="000000"/>
        </w:rPr>
      </w:pPr>
    </w:p>
    <w:p w14:paraId="6FBE34BA" w14:textId="0332F5CA" w:rsidR="008773A9" w:rsidRPr="004F039C" w:rsidRDefault="00EB41CD" w:rsidP="008773A9">
      <w:pPr>
        <w:spacing w:after="0" w:line="240" w:lineRule="auto"/>
        <w:rPr>
          <w:rFonts w:ascii="HelveticaNeueLT Std" w:hAnsi="HelveticaNeueLT Std"/>
          <w:color w:val="000000"/>
        </w:rPr>
      </w:pPr>
      <w:r w:rsidRPr="004F039C">
        <w:rPr>
          <w:rFonts w:ascii="HelveticaNeueLT Std" w:hAnsi="HelveticaNeueLT Std"/>
          <w:b/>
          <w:color w:val="000000"/>
        </w:rPr>
        <w:t>9.</w:t>
      </w:r>
      <w:r w:rsidRPr="004F039C">
        <w:rPr>
          <w:rFonts w:ascii="HelveticaNeueLT Std" w:hAnsi="HelveticaNeueLT Std"/>
          <w:color w:val="000000"/>
        </w:rPr>
        <w:t xml:space="preserve">  </w:t>
      </w:r>
      <w:r w:rsidRPr="004F039C">
        <w:rPr>
          <w:rFonts w:ascii="HelveticaNeueLT Std" w:hAnsi="HelveticaNeueLT Std"/>
          <w:b/>
          <w:color w:val="000000"/>
        </w:rPr>
        <w:t xml:space="preserve"> Otros Activos Diferidos. -</w:t>
      </w:r>
      <w:r w:rsidRPr="004F039C">
        <w:rPr>
          <w:rFonts w:ascii="HelveticaNeueLT Std" w:hAnsi="HelveticaNeueLT Std"/>
          <w:color w:val="000000"/>
        </w:rPr>
        <w:t xml:space="preserve"> Su saldo representa los depósitos en garantía que se han otorgado a la Comisión Federal de Electricidad (CFE) para prestar el servicio de energía eléctrica. </w:t>
      </w:r>
    </w:p>
    <w:p w14:paraId="335943C1" w14:textId="77777777" w:rsidR="008773A9" w:rsidRPr="004F039C" w:rsidRDefault="00EB41CD" w:rsidP="008773A9">
      <w:pPr>
        <w:spacing w:after="0" w:line="240" w:lineRule="auto"/>
        <w:rPr>
          <w:rFonts w:ascii="HelveticaNeueLT Std" w:hAnsi="HelveticaNeueLT Std"/>
        </w:rPr>
      </w:pPr>
      <w:r w:rsidRPr="004F039C">
        <w:rPr>
          <w:rFonts w:ascii="HelveticaNeueLT Std" w:hAnsi="HelveticaNeueLT Std"/>
          <w:b/>
          <w:color w:val="000000"/>
        </w:rPr>
        <w:t>Pasivo Circulante</w:t>
      </w:r>
    </w:p>
    <w:p w14:paraId="5CB361A7" w14:textId="77777777" w:rsidR="008773A9" w:rsidRPr="004F039C" w:rsidRDefault="008773A9" w:rsidP="008773A9">
      <w:pPr>
        <w:spacing w:after="0" w:line="240" w:lineRule="auto"/>
        <w:rPr>
          <w:rFonts w:ascii="HelveticaNeueLT Std" w:hAnsi="HelveticaNeueLT Std"/>
        </w:rPr>
      </w:pPr>
    </w:p>
    <w:p w14:paraId="6F986116" w14:textId="0288FF36" w:rsidR="008773A9" w:rsidRPr="004F039C" w:rsidRDefault="00EB41CD" w:rsidP="008773A9">
      <w:pPr>
        <w:spacing w:after="0" w:line="240" w:lineRule="auto"/>
        <w:rPr>
          <w:rFonts w:ascii="HelveticaNeueLT Std" w:hAnsi="HelveticaNeueLT Std"/>
        </w:rPr>
      </w:pPr>
      <w:r w:rsidRPr="004F039C">
        <w:rPr>
          <w:rFonts w:ascii="HelveticaNeueLT Std" w:hAnsi="HelveticaNeueLT Std"/>
          <w:b/>
          <w:color w:val="000000"/>
        </w:rPr>
        <w:t xml:space="preserve">Cuentas por Pagar a Corto Plazo.- </w:t>
      </w:r>
      <w:r w:rsidRPr="004F039C">
        <w:rPr>
          <w:rFonts w:ascii="HelveticaNeueLT Std" w:hAnsi="HelveticaNeueLT Std"/>
          <w:color w:val="000000"/>
        </w:rPr>
        <w:t>El saldo de este rubro por 11,237,672.96, se</w:t>
      </w:r>
      <w:r w:rsidRPr="004F039C">
        <w:rPr>
          <w:rFonts w:ascii="HelveticaNeueLT Std" w:hAnsi="HelveticaNeueLT Std"/>
          <w:color w:val="000000"/>
        </w:rPr>
        <w:t xml:space="preserve"> integra de la forma y con la antigüedad de saldos siguientes:</w:t>
      </w:r>
    </w:p>
    <w:p w14:paraId="2EE9D298" w14:textId="7C38B284" w:rsidR="004F660A" w:rsidRPr="004F039C" w:rsidRDefault="00EB41CD" w:rsidP="008773A9">
      <w:pPr>
        <w:spacing w:line="240" w:lineRule="auto"/>
        <w:jc w:val="both"/>
        <w:rPr>
          <w:rFonts w:ascii="HelveticaNeueLT Std" w:hAnsi="HelveticaNeueLT Std"/>
        </w:rPr>
      </w:pPr>
      <w:r w:rsidRPr="004F039C">
        <w:rPr>
          <w:rFonts w:ascii="HelveticaNeueLT Std" w:hAnsi="HelveticaNeueLT Std"/>
          <w:b/>
          <w:color w:val="000000"/>
        </w:rPr>
        <w:t xml:space="preserve">Proveedores por Pagar a Corto </w:t>
      </w:r>
      <w:r w:rsidR="002B42D1" w:rsidRPr="004F039C">
        <w:rPr>
          <w:rFonts w:ascii="HelveticaNeueLT Std" w:hAnsi="HelveticaNeueLT Std"/>
          <w:b/>
          <w:color w:val="000000"/>
        </w:rPr>
        <w:t>Plazo. -</w:t>
      </w:r>
      <w:r w:rsidRPr="004F039C">
        <w:rPr>
          <w:rFonts w:ascii="HelveticaNeueLT Std" w:hAnsi="HelveticaNeueLT Std"/>
          <w:b/>
          <w:color w:val="000000"/>
        </w:rPr>
        <w:t xml:space="preserve"> </w:t>
      </w:r>
      <w:r w:rsidRPr="004F039C">
        <w:rPr>
          <w:rFonts w:ascii="HelveticaNeueLT Std" w:hAnsi="HelveticaNeueLT Std"/>
          <w:color w:val="000000"/>
        </w:rPr>
        <w:t xml:space="preserve">El saldo de 4,469,834.24 en este mes representa los adeudos a </w:t>
      </w:r>
      <w:r w:rsidR="002B42D1" w:rsidRPr="004F039C">
        <w:rPr>
          <w:rFonts w:ascii="HelveticaNeueLT Std" w:hAnsi="HelveticaNeueLT Std"/>
          <w:color w:val="000000"/>
        </w:rPr>
        <w:t>Proveedores</w:t>
      </w:r>
      <w:r w:rsidRPr="004F039C">
        <w:rPr>
          <w:rFonts w:ascii="HelveticaNeueLT Std" w:hAnsi="HelveticaNeueLT Std"/>
          <w:color w:val="000000"/>
        </w:rPr>
        <w:t xml:space="preserve"> de Bienes </w:t>
      </w:r>
      <w:r w:rsidR="002B42D1" w:rsidRPr="004F039C">
        <w:rPr>
          <w:rFonts w:ascii="HelveticaNeueLT Std" w:hAnsi="HelveticaNeueLT Std"/>
          <w:color w:val="000000"/>
        </w:rPr>
        <w:t>Servicios, esta</w:t>
      </w:r>
      <w:r w:rsidRPr="004F039C">
        <w:rPr>
          <w:rFonts w:ascii="HelveticaNeueLT Std" w:hAnsi="HelveticaNeueLT Std"/>
          <w:color w:val="000000"/>
        </w:rPr>
        <w:t xml:space="preserve"> se describe el cuadro siguiente:</w:t>
      </w:r>
    </w:p>
    <w:p w14:paraId="5B40DA92" w14:textId="77777777" w:rsidR="004F660A" w:rsidRPr="004F039C" w:rsidRDefault="00EB41CD">
      <w:pPr>
        <w:spacing w:after="0" w:line="240" w:lineRule="auto"/>
        <w:jc w:val="both"/>
        <w:rPr>
          <w:rFonts w:ascii="HelveticaNeueLT Std" w:hAnsi="HelveticaNeueLT Std"/>
          <w:b/>
          <w:color w:val="000000"/>
        </w:rPr>
      </w:pPr>
      <w:r w:rsidRPr="004F039C">
        <w:rPr>
          <w:rFonts w:ascii="HelveticaNeueLT Std" w:hAnsi="HelveticaNeueLT Std"/>
          <w:noProof/>
        </w:rPr>
        <w:drawing>
          <wp:inline distT="0" distB="0" distL="0" distR="0" wp14:anchorId="3E12C9E4" wp14:editId="71D8174D">
            <wp:extent cx="6389370" cy="1196876"/>
            <wp:effectExtent l="0" t="0" r="0" b="0"/>
            <wp:docPr id="53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6389370" cy="1196876"/>
                    </a:xfrm>
                    <a:prstGeom prst="rect">
                      <a:avLst/>
                    </a:prstGeom>
                    <a:ln/>
                  </pic:spPr>
                </pic:pic>
              </a:graphicData>
            </a:graphic>
          </wp:inline>
        </w:drawing>
      </w:r>
    </w:p>
    <w:p w14:paraId="67232B0F" w14:textId="77777777" w:rsidR="008773A9" w:rsidRPr="004F039C" w:rsidRDefault="008773A9" w:rsidP="008773A9">
      <w:pPr>
        <w:spacing w:after="0" w:line="240" w:lineRule="auto"/>
        <w:jc w:val="both"/>
        <w:rPr>
          <w:rFonts w:ascii="HelveticaNeueLT Std" w:hAnsi="HelveticaNeueLT Std"/>
          <w:color w:val="000000"/>
        </w:rPr>
      </w:pPr>
    </w:p>
    <w:p w14:paraId="50052EB4" w14:textId="15B9C096" w:rsidR="004F660A" w:rsidRPr="004F039C" w:rsidRDefault="00EB41CD" w:rsidP="008773A9">
      <w:pPr>
        <w:spacing w:after="0" w:line="240" w:lineRule="auto"/>
        <w:jc w:val="both"/>
        <w:rPr>
          <w:rFonts w:ascii="HelveticaNeueLT Std" w:hAnsi="HelveticaNeueLT Std"/>
          <w:color w:val="000000"/>
        </w:rPr>
      </w:pPr>
      <w:r w:rsidRPr="004F039C">
        <w:rPr>
          <w:rFonts w:ascii="HelveticaNeueLT Std" w:hAnsi="HelveticaNeueLT Std"/>
          <w:b/>
          <w:color w:val="000000"/>
        </w:rPr>
        <w:t xml:space="preserve">Contratistas por Obras Públicas por Pagar a </w:t>
      </w:r>
      <w:r w:rsidR="002B42D1" w:rsidRPr="004F039C">
        <w:rPr>
          <w:rFonts w:ascii="HelveticaNeueLT Std" w:hAnsi="HelveticaNeueLT Std"/>
          <w:b/>
          <w:color w:val="000000"/>
        </w:rPr>
        <w:t>Corto. -</w:t>
      </w:r>
      <w:r w:rsidRPr="004F039C">
        <w:rPr>
          <w:rFonts w:ascii="HelveticaNeueLT Std" w:hAnsi="HelveticaNeueLT Std"/>
          <w:b/>
          <w:color w:val="000000"/>
        </w:rPr>
        <w:t xml:space="preserve"> </w:t>
      </w:r>
      <w:r w:rsidRPr="004F039C">
        <w:rPr>
          <w:rFonts w:ascii="HelveticaNeueLT Std" w:hAnsi="HelveticaNeueLT Std"/>
          <w:color w:val="000000"/>
        </w:rPr>
        <w:t xml:space="preserve"> El saldo </w:t>
      </w:r>
      <w:r w:rsidR="002B42D1" w:rsidRPr="004F039C">
        <w:rPr>
          <w:rFonts w:ascii="HelveticaNeueLT Std" w:hAnsi="HelveticaNeueLT Std"/>
          <w:color w:val="000000"/>
        </w:rPr>
        <w:t>de 5,806,729.42</w:t>
      </w:r>
      <w:r w:rsidRPr="004F039C">
        <w:rPr>
          <w:rFonts w:ascii="HelveticaNeueLT Std" w:hAnsi="HelveticaNeueLT Std"/>
          <w:color w:val="000000"/>
        </w:rPr>
        <w:t>, en este mes representa la E</w:t>
      </w:r>
      <w:r w:rsidR="002B42D1" w:rsidRPr="004F039C">
        <w:rPr>
          <w:rFonts w:ascii="HelveticaNeueLT Std" w:hAnsi="HelveticaNeueLT Std"/>
          <w:color w:val="000000"/>
        </w:rPr>
        <w:t>stimación</w:t>
      </w:r>
      <w:r w:rsidRPr="004F039C">
        <w:rPr>
          <w:rFonts w:ascii="HelveticaNeueLT Std" w:hAnsi="HelveticaNeueLT Std"/>
          <w:color w:val="000000"/>
        </w:rPr>
        <w:t xml:space="preserve"> </w:t>
      </w:r>
      <w:r w:rsidR="002B42D1" w:rsidRPr="004F039C">
        <w:rPr>
          <w:rFonts w:ascii="HelveticaNeueLT Std" w:hAnsi="HelveticaNeueLT Std"/>
          <w:color w:val="000000"/>
        </w:rPr>
        <w:t>número</w:t>
      </w:r>
      <w:r w:rsidRPr="004F039C">
        <w:rPr>
          <w:rFonts w:ascii="HelveticaNeueLT Std" w:hAnsi="HelveticaNeueLT Std"/>
          <w:color w:val="000000"/>
        </w:rPr>
        <w:t xml:space="preserve"> 11, 12 y 13 que se le debe a Coningar Construcciones S.A. de C. V. </w:t>
      </w:r>
      <w:r w:rsidR="002B42D1" w:rsidRPr="004F039C">
        <w:rPr>
          <w:rFonts w:ascii="HelveticaNeueLT Std" w:hAnsi="HelveticaNeueLT Std"/>
          <w:color w:val="000000"/>
        </w:rPr>
        <w:t>cómo</w:t>
      </w:r>
      <w:r w:rsidRPr="004F039C">
        <w:rPr>
          <w:rFonts w:ascii="HelveticaNeueLT Std" w:hAnsi="HelveticaNeueLT Std"/>
          <w:color w:val="000000"/>
        </w:rPr>
        <w:t xml:space="preserve"> se describe en el cuadro siguiente:  </w:t>
      </w:r>
    </w:p>
    <w:p w14:paraId="121E0726" w14:textId="77777777" w:rsidR="002B42D1" w:rsidRPr="004F039C" w:rsidRDefault="002B42D1" w:rsidP="008773A9">
      <w:pPr>
        <w:spacing w:after="0" w:line="240" w:lineRule="auto"/>
        <w:jc w:val="both"/>
        <w:rPr>
          <w:rFonts w:ascii="HelveticaNeueLT Std" w:hAnsi="HelveticaNeueLT Std"/>
          <w:color w:val="000000"/>
        </w:rPr>
      </w:pPr>
    </w:p>
    <w:p w14:paraId="71DD9E48" w14:textId="77777777" w:rsidR="004F660A" w:rsidRPr="004F039C" w:rsidRDefault="00EB41CD">
      <w:pPr>
        <w:spacing w:after="0" w:line="240" w:lineRule="auto"/>
        <w:jc w:val="both"/>
        <w:rPr>
          <w:rFonts w:ascii="HelveticaNeueLT Std" w:hAnsi="HelveticaNeueLT Std"/>
          <w:b/>
          <w:color w:val="000000"/>
        </w:rPr>
      </w:pPr>
      <w:r w:rsidRPr="004F039C">
        <w:rPr>
          <w:rFonts w:ascii="HelveticaNeueLT Std" w:hAnsi="HelveticaNeueLT Std"/>
          <w:noProof/>
        </w:rPr>
        <w:drawing>
          <wp:inline distT="0" distB="0" distL="0" distR="0" wp14:anchorId="0A02DF42" wp14:editId="2B3BAB3D">
            <wp:extent cx="6389370" cy="694443"/>
            <wp:effectExtent l="0" t="0" r="0" b="0"/>
            <wp:docPr id="53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a:srcRect/>
                    <a:stretch>
                      <a:fillRect/>
                    </a:stretch>
                  </pic:blipFill>
                  <pic:spPr>
                    <a:xfrm>
                      <a:off x="0" y="0"/>
                      <a:ext cx="6389370" cy="694443"/>
                    </a:xfrm>
                    <a:prstGeom prst="rect">
                      <a:avLst/>
                    </a:prstGeom>
                    <a:ln/>
                  </pic:spPr>
                </pic:pic>
              </a:graphicData>
            </a:graphic>
          </wp:inline>
        </w:drawing>
      </w:r>
    </w:p>
    <w:p w14:paraId="5E0E29C3" w14:textId="53C21FE5" w:rsidR="004F660A" w:rsidRPr="004F039C" w:rsidRDefault="002B42D1" w:rsidP="002B42D1">
      <w:pPr>
        <w:spacing w:after="0" w:line="240" w:lineRule="auto"/>
        <w:jc w:val="both"/>
        <w:rPr>
          <w:rFonts w:ascii="HelveticaNeueLT Std" w:hAnsi="HelveticaNeueLT Std"/>
          <w:color w:val="000000"/>
        </w:rPr>
      </w:pPr>
      <w:r w:rsidRPr="004F039C">
        <w:rPr>
          <w:rFonts w:ascii="HelveticaNeueLT Std" w:hAnsi="HelveticaNeueLT Std"/>
          <w:b/>
          <w:color w:val="000000"/>
        </w:rPr>
        <w:t xml:space="preserve">12. </w:t>
      </w:r>
      <w:r w:rsidRPr="004F039C">
        <w:rPr>
          <w:rFonts w:ascii="HelveticaNeueLT Std" w:hAnsi="HelveticaNeueLT Std"/>
          <w:b/>
          <w:color w:val="000000"/>
        </w:rPr>
        <w:tab/>
        <w:t xml:space="preserve">Retenciones y Contribuciones por Pagar a Corto Plazo. </w:t>
      </w:r>
      <w:r w:rsidRPr="004F039C">
        <w:rPr>
          <w:rFonts w:ascii="HelveticaNeueLT Std" w:hAnsi="HelveticaNeueLT Std"/>
          <w:color w:val="000000"/>
        </w:rPr>
        <w:t>-</w:t>
      </w:r>
      <w:r w:rsidRPr="004F039C">
        <w:rPr>
          <w:rFonts w:ascii="HelveticaNeueLT Std" w:hAnsi="HelveticaNeueLT Std"/>
          <w:b/>
          <w:color w:val="000000"/>
        </w:rPr>
        <w:t xml:space="preserve"> </w:t>
      </w:r>
      <w:r w:rsidRPr="004F039C">
        <w:rPr>
          <w:rFonts w:ascii="HelveticaNeueLT Std" w:hAnsi="HelveticaNeueLT Std"/>
          <w:color w:val="000000"/>
        </w:rPr>
        <w:t>El saldo de 138,398.57, en este mes representa Retenciones por pagar a  SUTEYM, Retenciones de Obra en estimación numero11, 12 y 13, como se describe en el cuadro siguiente.</w:t>
      </w:r>
    </w:p>
    <w:p w14:paraId="7ED07857" w14:textId="53379434" w:rsidR="00BC387A" w:rsidRPr="004F039C" w:rsidRDefault="00EB41CD" w:rsidP="00BC387A">
      <w:pPr>
        <w:spacing w:after="0" w:line="240" w:lineRule="auto"/>
        <w:jc w:val="both"/>
        <w:rPr>
          <w:rFonts w:ascii="HelveticaNeueLT Std" w:hAnsi="HelveticaNeueLT Std"/>
          <w:color w:val="000000"/>
        </w:rPr>
      </w:pPr>
      <w:r w:rsidRPr="004F039C">
        <w:rPr>
          <w:rFonts w:ascii="HelveticaNeueLT Std" w:hAnsi="HelveticaNeueLT Std"/>
          <w:noProof/>
        </w:rPr>
        <w:drawing>
          <wp:inline distT="0" distB="0" distL="0" distR="0" wp14:anchorId="2B2508D8" wp14:editId="46D11D76">
            <wp:extent cx="6389370" cy="873296"/>
            <wp:effectExtent l="0" t="0" r="0" b="0"/>
            <wp:docPr id="53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4"/>
                    <a:srcRect/>
                    <a:stretch>
                      <a:fillRect/>
                    </a:stretch>
                  </pic:blipFill>
                  <pic:spPr>
                    <a:xfrm>
                      <a:off x="0" y="0"/>
                      <a:ext cx="6389370" cy="873296"/>
                    </a:xfrm>
                    <a:prstGeom prst="rect">
                      <a:avLst/>
                    </a:prstGeom>
                    <a:ln/>
                  </pic:spPr>
                </pic:pic>
              </a:graphicData>
            </a:graphic>
          </wp:inline>
        </w:drawing>
      </w:r>
    </w:p>
    <w:p w14:paraId="163D777E" w14:textId="77777777" w:rsidR="00BC387A" w:rsidRPr="004F039C" w:rsidRDefault="00BC387A" w:rsidP="00BC387A">
      <w:pPr>
        <w:spacing w:after="0" w:line="240" w:lineRule="auto"/>
        <w:jc w:val="both"/>
        <w:rPr>
          <w:rFonts w:ascii="HelveticaNeueLT Std" w:hAnsi="HelveticaNeueLT Std"/>
          <w:color w:val="000000"/>
        </w:rPr>
      </w:pPr>
    </w:p>
    <w:p w14:paraId="34E1158A" w14:textId="62D74D00" w:rsidR="004F660A" w:rsidRPr="004F039C" w:rsidRDefault="00EB41CD" w:rsidP="008773A9">
      <w:pPr>
        <w:pStyle w:val="Prrafodelista"/>
        <w:numPr>
          <w:ilvl w:val="0"/>
          <w:numId w:val="11"/>
        </w:numPr>
        <w:jc w:val="both"/>
        <w:rPr>
          <w:rFonts w:ascii="HelveticaNeueLT Std" w:eastAsia="Helvetica Neue" w:hAnsi="HelveticaNeueLT Std" w:cs="Helvetica Neue"/>
          <w:color w:val="000000"/>
          <w:sz w:val="20"/>
          <w:szCs w:val="20"/>
        </w:rPr>
      </w:pPr>
      <w:r w:rsidRPr="004F039C">
        <w:rPr>
          <w:rFonts w:ascii="HelveticaNeueLT Std" w:eastAsia="Helvetica Neue" w:hAnsi="HelveticaNeueLT Std" w:cs="Helvetica Neue"/>
          <w:b/>
          <w:bCs/>
          <w:color w:val="000000"/>
          <w:sz w:val="20"/>
          <w:szCs w:val="20"/>
        </w:rPr>
        <w:t>Otras Cuentas por Pagar a Corto Plazo</w:t>
      </w:r>
      <w:r w:rsidRPr="004F039C">
        <w:rPr>
          <w:rFonts w:ascii="HelveticaNeueLT Std" w:eastAsia="Helvetica Neue" w:hAnsi="HelveticaNeueLT Std" w:cs="Helvetica Neue"/>
          <w:color w:val="000000"/>
          <w:sz w:val="20"/>
          <w:szCs w:val="20"/>
        </w:rPr>
        <w:t xml:space="preserve">. - El saldo de 822,710.73, se representa principalmente, Gobierno del Estado de México, Servicios </w:t>
      </w:r>
      <w:r w:rsidR="008773A9" w:rsidRPr="004F039C">
        <w:rPr>
          <w:rFonts w:ascii="HelveticaNeueLT Std" w:eastAsia="Helvetica Neue" w:hAnsi="HelveticaNeueLT Std" w:cs="Helvetica Neue"/>
          <w:color w:val="000000"/>
          <w:sz w:val="20"/>
          <w:szCs w:val="20"/>
        </w:rPr>
        <w:t>Personales (</w:t>
      </w:r>
      <w:r w:rsidRPr="004F039C">
        <w:rPr>
          <w:rFonts w:ascii="HelveticaNeueLT Std" w:eastAsia="Helvetica Neue" w:hAnsi="HelveticaNeueLT Std" w:cs="Helvetica Neue"/>
          <w:color w:val="000000"/>
          <w:sz w:val="20"/>
          <w:szCs w:val="20"/>
        </w:rPr>
        <w:t>Finiquitos), Cheques en tránsito cancelados y devoluciones de ingresos indebidos.</w:t>
      </w:r>
    </w:p>
    <w:p w14:paraId="3EC94780" w14:textId="77777777" w:rsidR="008773A9" w:rsidRPr="004F039C" w:rsidRDefault="008773A9" w:rsidP="008773A9">
      <w:pPr>
        <w:spacing w:after="0" w:line="240" w:lineRule="auto"/>
        <w:jc w:val="both"/>
        <w:rPr>
          <w:rFonts w:ascii="HelveticaNeueLT Std" w:hAnsi="HelveticaNeueLT Std"/>
          <w:b/>
          <w:color w:val="000000"/>
        </w:rPr>
      </w:pPr>
    </w:p>
    <w:p w14:paraId="4B90B68B" w14:textId="27B0EB80" w:rsidR="004F660A" w:rsidRPr="004F039C" w:rsidRDefault="008773A9">
      <w:pPr>
        <w:spacing w:after="240" w:line="240" w:lineRule="auto"/>
        <w:rPr>
          <w:rFonts w:ascii="HelveticaNeueLT Std" w:hAnsi="HelveticaNeueLT Std"/>
        </w:rPr>
      </w:pPr>
      <w:r w:rsidRPr="004F039C">
        <w:rPr>
          <w:rFonts w:ascii="HelveticaNeueLT Std" w:hAnsi="HelveticaNeueLT Std"/>
          <w:noProof/>
        </w:rPr>
        <w:lastRenderedPageBreak/>
        <w:drawing>
          <wp:inline distT="0" distB="0" distL="0" distR="0" wp14:anchorId="33202F91" wp14:editId="2B3E8546">
            <wp:extent cx="6570980" cy="4143983"/>
            <wp:effectExtent l="0" t="0" r="127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2211" cy="4151066"/>
                    </a:xfrm>
                    <a:prstGeom prst="rect">
                      <a:avLst/>
                    </a:prstGeom>
                    <a:noFill/>
                    <a:ln>
                      <a:noFill/>
                    </a:ln>
                  </pic:spPr>
                </pic:pic>
              </a:graphicData>
            </a:graphic>
          </wp:inline>
        </w:drawing>
      </w:r>
    </w:p>
    <w:p w14:paraId="09B7D7E1" w14:textId="77777777" w:rsidR="004F660A" w:rsidRPr="004F039C" w:rsidRDefault="00EB41CD">
      <w:pPr>
        <w:spacing w:line="240" w:lineRule="auto"/>
        <w:jc w:val="both"/>
        <w:rPr>
          <w:rFonts w:ascii="HelveticaNeueLT Std" w:hAnsi="HelveticaNeueLT Std"/>
        </w:rPr>
      </w:pPr>
      <w:r w:rsidRPr="004F039C">
        <w:rPr>
          <w:rFonts w:ascii="HelveticaNeueLT Std" w:hAnsi="HelveticaNeueLT Std"/>
          <w:b/>
          <w:color w:val="000000"/>
        </w:rPr>
        <w:t>Pasivo No Circulante</w:t>
      </w:r>
    </w:p>
    <w:p w14:paraId="6CE17CFF" w14:textId="77777777" w:rsidR="004F660A" w:rsidRPr="004F039C" w:rsidRDefault="00EB41CD">
      <w:pPr>
        <w:spacing w:line="240" w:lineRule="auto"/>
        <w:jc w:val="both"/>
        <w:rPr>
          <w:rFonts w:ascii="HelveticaNeueLT Std" w:hAnsi="HelveticaNeueLT Std"/>
          <w:color w:val="000000"/>
        </w:rPr>
      </w:pPr>
      <w:r w:rsidRPr="004F039C">
        <w:rPr>
          <w:rFonts w:ascii="HelveticaNeueLT Std" w:hAnsi="HelveticaNeueLT Std"/>
          <w:b/>
          <w:color w:val="000000"/>
        </w:rPr>
        <w:t xml:space="preserve">Documentos por Pagar a Largo Plazo. - </w:t>
      </w:r>
      <w:r w:rsidRPr="004F039C">
        <w:rPr>
          <w:rFonts w:ascii="HelveticaNeueLT Std" w:hAnsi="HelveticaNeueLT Std"/>
          <w:color w:val="000000"/>
        </w:rPr>
        <w:t>Se integra por:</w:t>
      </w:r>
    </w:p>
    <w:p w14:paraId="21852D90" w14:textId="77777777" w:rsidR="004F660A" w:rsidRPr="004F039C" w:rsidRDefault="00EB41CD" w:rsidP="008773A9">
      <w:pPr>
        <w:numPr>
          <w:ilvl w:val="0"/>
          <w:numId w:val="11"/>
        </w:numPr>
        <w:spacing w:after="0" w:line="240" w:lineRule="auto"/>
        <w:jc w:val="both"/>
        <w:rPr>
          <w:rFonts w:ascii="HelveticaNeueLT Std" w:hAnsi="HelveticaNeueLT Std"/>
          <w:color w:val="000000"/>
        </w:rPr>
      </w:pPr>
      <w:r w:rsidRPr="004F039C">
        <w:rPr>
          <w:rFonts w:ascii="HelveticaNeueLT Std" w:hAnsi="HelveticaNeueLT Std"/>
          <w:b/>
          <w:color w:val="000000"/>
        </w:rPr>
        <w:t>Documentos Comerciales por Pagar a Largo Plazo.-</w:t>
      </w:r>
      <w:r w:rsidRPr="004F039C">
        <w:rPr>
          <w:rFonts w:ascii="HelveticaNeueLT Std" w:hAnsi="HelveticaNeueLT Std"/>
          <w:color w:val="000000"/>
        </w:rPr>
        <w:t xml:space="preserve"> El saldo de 5,646,336,693.59, corresponde al pasivo,  en los que se comprometen los ingresos presentes y futuros por concepto de Registro Público de la Propiedad (RPP) del IFREM, de acuerdo a</w:t>
      </w:r>
      <w:r w:rsidRPr="004F039C">
        <w:rPr>
          <w:rFonts w:ascii="HelveticaNeueLT Std" w:hAnsi="HelveticaNeueLT Std"/>
          <w:color w:val="000000"/>
        </w:rPr>
        <w:t>l Decreto de Autorización No. 79 publicado en la Gaceta del Gobierno de fecha 12 de mayo del 2010; por el Fideicomiso de Cobranza con el contrato irrevocable número 80615, de fecha 29 de julio en el ejercicio 2010; correspondiente a los Certificados Bursát</w:t>
      </w:r>
      <w:r w:rsidRPr="004F039C">
        <w:rPr>
          <w:rFonts w:ascii="HelveticaNeueLT Std" w:hAnsi="HelveticaNeueLT Std"/>
          <w:color w:val="000000"/>
        </w:rPr>
        <w:t>iles Fiduciarios Serie A por 1,699,641,269.55, Certificados Bursátiles Fiduciarios Serie B por 799,108,011.00 y  así mismo por el contrato del Fideicomiso Irrevocable número F/1426, de fecha 10 de marzo de 2011, con un saldo por pagar de 3,147,587,413.04.</w:t>
      </w:r>
    </w:p>
    <w:p w14:paraId="0D31A896" w14:textId="77777777" w:rsidR="004F660A" w:rsidRPr="004F039C" w:rsidRDefault="00EB41CD">
      <w:pPr>
        <w:spacing w:line="259" w:lineRule="auto"/>
        <w:rPr>
          <w:rFonts w:ascii="HelveticaNeueLT Std" w:hAnsi="HelveticaNeueLT Std"/>
          <w:color w:val="000000"/>
        </w:rPr>
      </w:pPr>
      <w:r w:rsidRPr="004F039C">
        <w:rPr>
          <w:rFonts w:ascii="HelveticaNeueLT Std" w:hAnsi="HelveticaNeueLT Std"/>
        </w:rPr>
        <w:br w:type="page"/>
      </w:r>
    </w:p>
    <w:p w14:paraId="451D299B" w14:textId="77777777" w:rsidR="004F660A" w:rsidRPr="004F039C" w:rsidRDefault="00EB41CD">
      <w:pPr>
        <w:numPr>
          <w:ilvl w:val="0"/>
          <w:numId w:val="3"/>
        </w:numPr>
        <w:spacing w:before="240" w:after="0" w:line="240" w:lineRule="auto"/>
        <w:ind w:left="1495"/>
        <w:rPr>
          <w:rFonts w:ascii="HelveticaNeueLT Std" w:hAnsi="HelveticaNeueLT Std"/>
          <w:b/>
          <w:color w:val="000000"/>
        </w:rPr>
      </w:pPr>
      <w:r w:rsidRPr="004F039C">
        <w:rPr>
          <w:rFonts w:ascii="HelveticaNeueLT Std" w:hAnsi="HelveticaNeueLT Std"/>
          <w:b/>
          <w:color w:val="000000"/>
        </w:rPr>
        <w:lastRenderedPageBreak/>
        <w:t>NOTAS AL ESTADO DE ACTIVIDADES</w:t>
      </w:r>
    </w:p>
    <w:p w14:paraId="0AD1F21C" w14:textId="77777777" w:rsidR="004F660A" w:rsidRPr="004F039C" w:rsidRDefault="00EB41CD">
      <w:pPr>
        <w:spacing w:line="240" w:lineRule="auto"/>
        <w:jc w:val="both"/>
        <w:rPr>
          <w:rFonts w:ascii="HelveticaNeueLT Std" w:hAnsi="HelveticaNeueLT Std"/>
          <w:b/>
          <w:color w:val="000000"/>
        </w:rPr>
      </w:pPr>
      <w:r w:rsidRPr="004F039C">
        <w:rPr>
          <w:rFonts w:ascii="HelveticaNeueLT Std" w:hAnsi="HelveticaNeueLT Std"/>
          <w:b/>
          <w:color w:val="000000"/>
        </w:rPr>
        <w:t>Ingresos de la Gestión</w:t>
      </w:r>
    </w:p>
    <w:p w14:paraId="087E454C" w14:textId="30A0017A" w:rsidR="00E802AE" w:rsidRPr="004F039C" w:rsidRDefault="00EB41CD" w:rsidP="000051CD">
      <w:pPr>
        <w:numPr>
          <w:ilvl w:val="0"/>
          <w:numId w:val="11"/>
        </w:numPr>
        <w:spacing w:after="0" w:line="240" w:lineRule="auto"/>
        <w:jc w:val="both"/>
        <w:rPr>
          <w:rFonts w:ascii="HelveticaNeueLT Std" w:hAnsi="HelveticaNeueLT Std"/>
        </w:rPr>
      </w:pPr>
      <w:bookmarkStart w:id="4" w:name="_Hlk129695076"/>
      <w:r w:rsidRPr="004F039C">
        <w:rPr>
          <w:rFonts w:ascii="HelveticaNeueLT Std" w:hAnsi="HelveticaNeueLT Std"/>
          <w:b/>
        </w:rPr>
        <w:t xml:space="preserve">Derechos. - </w:t>
      </w:r>
      <w:r w:rsidRPr="004F039C">
        <w:rPr>
          <w:rFonts w:ascii="HelveticaNeueLT Std" w:hAnsi="HelveticaNeueLT Std"/>
        </w:rPr>
        <w:t>Los Ingresos de Gestión por los Derechos de los servicios prestados por el Instituto, en el mes fueron por la cantidad de 225,815,463.00 obteniendo una recaudación en los recursos del Regi</w:t>
      </w:r>
      <w:r w:rsidRPr="004F039C">
        <w:rPr>
          <w:rFonts w:ascii="HelveticaNeueLT Std" w:hAnsi="HelveticaNeueLT Std"/>
        </w:rPr>
        <w:t>stro Público de la Propiedad (RPP) por 222,841,851.00 y los recursos del Registro Público del Comercio (RPC) por 2,973,612.00. Al mes se lleva un total acumulado por 1,859,859,229.00.</w:t>
      </w:r>
    </w:p>
    <w:p w14:paraId="056580F6" w14:textId="77777777" w:rsidR="00837FEE" w:rsidRPr="004F039C" w:rsidRDefault="00837FEE" w:rsidP="00837FEE">
      <w:pPr>
        <w:spacing w:after="0" w:line="240" w:lineRule="auto"/>
        <w:ind w:left="720"/>
        <w:jc w:val="both"/>
        <w:rPr>
          <w:rFonts w:ascii="HelveticaNeueLT Std" w:hAnsi="HelveticaNeueLT Std"/>
        </w:rPr>
      </w:pPr>
    </w:p>
    <w:p w14:paraId="4E216819" w14:textId="77777777" w:rsidR="000051CD" w:rsidRPr="004F039C" w:rsidRDefault="000051CD" w:rsidP="000051CD">
      <w:pPr>
        <w:spacing w:after="0" w:line="240" w:lineRule="auto"/>
        <w:ind w:left="360"/>
        <w:jc w:val="both"/>
        <w:rPr>
          <w:rFonts w:ascii="HelveticaNeueLT Std" w:hAnsi="HelveticaNeueLT Std"/>
          <w:sz w:val="6"/>
          <w:szCs w:val="6"/>
        </w:rPr>
      </w:pPr>
    </w:p>
    <w:bookmarkEnd w:id="4"/>
    <w:p w14:paraId="0474BC28" w14:textId="1AE41A40" w:rsidR="008A6D0D" w:rsidRPr="004F039C" w:rsidRDefault="00EB41CD" w:rsidP="00C54ED1">
      <w:pPr>
        <w:numPr>
          <w:ilvl w:val="0"/>
          <w:numId w:val="11"/>
        </w:numPr>
        <w:spacing w:after="0" w:line="240" w:lineRule="auto"/>
        <w:jc w:val="both"/>
        <w:rPr>
          <w:rFonts w:ascii="HelveticaNeueLT Std" w:hAnsi="HelveticaNeueLT Std"/>
          <w:b/>
        </w:rPr>
      </w:pPr>
      <w:r w:rsidRPr="004F039C">
        <w:rPr>
          <w:rFonts w:ascii="HelveticaNeueLT Std" w:hAnsi="HelveticaNeueLT Std"/>
          <w:b/>
        </w:rPr>
        <w:t>Otros Ingresos y Beneficios:</w:t>
      </w:r>
      <w:r w:rsidRPr="004F039C">
        <w:rPr>
          <w:rFonts w:ascii="HelveticaNeueLT Std" w:hAnsi="HelveticaNeueLT Std"/>
        </w:rPr>
        <w:t xml:space="preserve"> En el mes que se observa un monto de 2,98</w:t>
      </w:r>
      <w:r w:rsidRPr="004F039C">
        <w:rPr>
          <w:rFonts w:ascii="HelveticaNeueLT Std" w:hAnsi="HelveticaNeueLT Std"/>
        </w:rPr>
        <w:t>4,025.66. Al mes se tiene un acumulado por 361,169,123.19, que corresponden a:</w:t>
      </w:r>
    </w:p>
    <w:p w14:paraId="3BCFD2E8" w14:textId="77777777" w:rsidR="00C54ED1" w:rsidRPr="004F039C" w:rsidRDefault="00C54ED1" w:rsidP="00C54ED1">
      <w:pPr>
        <w:spacing w:after="0" w:line="240" w:lineRule="auto"/>
        <w:ind w:left="720"/>
        <w:jc w:val="both"/>
        <w:rPr>
          <w:rFonts w:ascii="HelveticaNeueLT Std" w:hAnsi="HelveticaNeueLT Std"/>
          <w:b/>
        </w:rPr>
      </w:pPr>
    </w:p>
    <w:p w14:paraId="49AFEC2F" w14:textId="5885C610" w:rsidR="004F660A" w:rsidRPr="004F039C" w:rsidRDefault="008A6D0D" w:rsidP="00C54ED1">
      <w:pPr>
        <w:spacing w:line="240" w:lineRule="auto"/>
        <w:ind w:left="644"/>
        <w:jc w:val="both"/>
        <w:rPr>
          <w:rFonts w:ascii="HelveticaNeueLT Std" w:hAnsi="HelveticaNeueLT Std"/>
        </w:rPr>
      </w:pPr>
      <w:r w:rsidRPr="004F039C">
        <w:rPr>
          <w:rFonts w:ascii="HelveticaNeueLT Std" w:eastAsia="Times New Roman" w:hAnsi="HelveticaNeueLT Std" w:cs="Arial"/>
          <w:b/>
          <w:bCs/>
          <w:color w:val="000000"/>
        </w:rPr>
        <w:t xml:space="preserve">Ingresos </w:t>
      </w:r>
      <w:r w:rsidR="00D34889" w:rsidRPr="004F039C">
        <w:rPr>
          <w:rFonts w:ascii="HelveticaNeueLT Std" w:eastAsia="Times New Roman" w:hAnsi="HelveticaNeueLT Std" w:cs="Arial"/>
          <w:b/>
          <w:bCs/>
          <w:color w:val="000000"/>
        </w:rPr>
        <w:t xml:space="preserve">por </w:t>
      </w:r>
      <w:r w:rsidR="005F2E22" w:rsidRPr="004F039C">
        <w:rPr>
          <w:rFonts w:ascii="HelveticaNeueLT Std" w:eastAsia="Times New Roman" w:hAnsi="HelveticaNeueLT Std" w:cs="Arial"/>
          <w:b/>
          <w:bCs/>
          <w:color w:val="000000"/>
        </w:rPr>
        <w:t>P</w:t>
      </w:r>
      <w:r w:rsidR="00D34889" w:rsidRPr="004F039C">
        <w:rPr>
          <w:rFonts w:ascii="HelveticaNeueLT Std" w:eastAsia="Times New Roman" w:hAnsi="HelveticaNeueLT Std" w:cs="Arial"/>
          <w:b/>
          <w:bCs/>
          <w:color w:val="000000"/>
        </w:rPr>
        <w:t xml:space="preserve">roductos </w:t>
      </w:r>
      <w:r w:rsidRPr="004F039C">
        <w:rPr>
          <w:rFonts w:ascii="HelveticaNeueLT Std" w:eastAsia="Times New Roman" w:hAnsi="HelveticaNeueLT Std" w:cs="Arial"/>
          <w:b/>
          <w:bCs/>
          <w:color w:val="000000"/>
        </w:rPr>
        <w:t>Financieros</w:t>
      </w:r>
      <w:r w:rsidRPr="004F039C">
        <w:rPr>
          <w:rFonts w:ascii="HelveticaNeueLT Std" w:eastAsia="Times New Roman" w:hAnsi="HelveticaNeueLT Std" w:cs="Arial"/>
          <w:color w:val="000000"/>
        </w:rPr>
        <w:t>. - Se observa en el mes un saldo de 2,929,080.91, que corresponden a los intereses de las cuentas bancarias productivas y las cuentas de inversión del Instituto. Al mes se tiene un acumulado por 357,780,701.42</w:t>
      </w:r>
      <w:r w:rsidR="00EE3874" w:rsidRPr="004F039C">
        <w:rPr>
          <w:rFonts w:ascii="HelveticaNeueLT Std" w:hAnsi="HelveticaNeueLT Std"/>
        </w:rPr>
        <w:t>; debido principalmente a los Ingresos del Fideicomiso de Cobranza para los pagos de intereses de los bonos correspondientes al primer y segundo semestre de 2022, por la cantidad de 330,419,681. y de 27,361,019.79 derivado de productos financieros de tipo corriente.</w:t>
      </w:r>
    </w:p>
    <w:p w14:paraId="2C55F175" w14:textId="7EBBAF3D" w:rsidR="004F660A" w:rsidRPr="004F039C" w:rsidRDefault="00EB41CD" w:rsidP="000051CD">
      <w:pPr>
        <w:spacing w:line="240" w:lineRule="auto"/>
        <w:ind w:left="644"/>
        <w:jc w:val="both"/>
        <w:rPr>
          <w:rFonts w:ascii="HelveticaNeueLT Std" w:hAnsi="HelveticaNeueLT Std"/>
          <w:color w:val="000000"/>
        </w:rPr>
      </w:pPr>
      <w:r w:rsidRPr="004F039C">
        <w:rPr>
          <w:rFonts w:ascii="HelveticaNeueLT Std" w:hAnsi="HelveticaNeueLT Std"/>
          <w:b/>
          <w:color w:val="000000"/>
        </w:rPr>
        <w:t>Otros Ingresos y Beneficios Varios</w:t>
      </w:r>
      <w:r w:rsidRPr="004F039C">
        <w:rPr>
          <w:rFonts w:ascii="HelveticaNeueLT Std" w:hAnsi="HelveticaNeueLT Std"/>
          <w:color w:val="000000"/>
        </w:rPr>
        <w:t xml:space="preserve">. - Se observa en el mes un saldo, por la cantidad de 54,944.75 correspondiente a Venta de Bases para Concurso por 7,557.00, Llamadas </w:t>
      </w:r>
      <w:r w:rsidRPr="004F039C">
        <w:rPr>
          <w:rFonts w:ascii="HelveticaNeueLT Std" w:hAnsi="HelveticaNeueLT Std"/>
          <w:color w:val="000000"/>
        </w:rPr>
        <w:t>Telefónicas no Oficiales por 28.52, Otros Ingresos Diversos por .05, Cancelación de Cuentas por Pagar por 16,889.00 Aprovechamientos por sanción o incumplimiento por 4,433.84, Depósitos en efectivo no referenciado 11,697.00, Rendimientos de la remesa de lo</w:t>
      </w:r>
      <w:r w:rsidRPr="004F039C">
        <w:rPr>
          <w:rFonts w:ascii="HelveticaNeueLT Std" w:hAnsi="HelveticaNeueLT Std"/>
          <w:color w:val="000000"/>
        </w:rPr>
        <w:t>s ingresos por RPC por 14,339.34. Al mes se tiene un acumulado por 3,388,421.77.</w:t>
      </w:r>
    </w:p>
    <w:p w14:paraId="781CCF7F" w14:textId="77777777" w:rsidR="004F660A" w:rsidRPr="004F039C" w:rsidRDefault="00EB41CD">
      <w:pPr>
        <w:spacing w:line="240" w:lineRule="auto"/>
        <w:jc w:val="both"/>
        <w:rPr>
          <w:rFonts w:ascii="HelveticaNeueLT Std" w:hAnsi="HelveticaNeueLT Std"/>
          <w:b/>
          <w:color w:val="000000"/>
        </w:rPr>
      </w:pPr>
      <w:r w:rsidRPr="004F039C">
        <w:rPr>
          <w:rFonts w:ascii="HelveticaNeueLT Std" w:hAnsi="HelveticaNeueLT Std"/>
          <w:b/>
          <w:color w:val="000000"/>
        </w:rPr>
        <w:t>Gastos y Otras Pérdidas </w:t>
      </w:r>
    </w:p>
    <w:p w14:paraId="04512B9C" w14:textId="331B1A6C" w:rsidR="004F660A" w:rsidRPr="004F039C" w:rsidRDefault="00EB41CD" w:rsidP="008773A9">
      <w:pPr>
        <w:numPr>
          <w:ilvl w:val="0"/>
          <w:numId w:val="11"/>
        </w:numPr>
        <w:spacing w:after="0" w:line="240" w:lineRule="auto"/>
        <w:jc w:val="both"/>
        <w:rPr>
          <w:rFonts w:ascii="HelveticaNeueLT Std" w:hAnsi="HelveticaNeueLT Std"/>
          <w:color w:val="000000"/>
        </w:rPr>
      </w:pPr>
      <w:r w:rsidRPr="004F039C">
        <w:rPr>
          <w:rFonts w:ascii="HelveticaNeueLT Std" w:hAnsi="HelveticaNeueLT Std"/>
          <w:b/>
          <w:color w:val="000000"/>
        </w:rPr>
        <w:t>Gastos de Funcionamiento.</w:t>
      </w:r>
      <w:r w:rsidRPr="004F039C">
        <w:rPr>
          <w:rFonts w:ascii="HelveticaNeueLT Std" w:hAnsi="HelveticaNeueLT Std"/>
          <w:color w:val="000000"/>
        </w:rPr>
        <w:t xml:space="preserve"> - Para la operación del Instituto, </w:t>
      </w:r>
      <w:bookmarkStart w:id="5" w:name="_Hlk129695203"/>
      <w:r w:rsidRPr="004F039C">
        <w:rPr>
          <w:rFonts w:ascii="HelveticaNeueLT Std" w:hAnsi="HelveticaNeueLT Std"/>
          <w:color w:val="000000"/>
        </w:rPr>
        <w:t>se han erogado en este mes la cantidad de 34,044,504.33, integrados principalmente por: “</w:t>
      </w:r>
      <w:r w:rsidRPr="004F039C">
        <w:rPr>
          <w:rFonts w:ascii="HelveticaNeueLT Std" w:hAnsi="HelveticaNeueLT Std"/>
          <w:color w:val="000000"/>
        </w:rPr>
        <w:t xml:space="preserve">Servicios Personales” (pagos de la nómina y sus colaterales) con un importe de 20,593,045.70, que representa el 60.49 por ciento, en el concepto de “Materiales y Suministros” por 2,796,934.52 que representa el 8.21 por ciento, en el concepto </w:t>
      </w:r>
      <w:r w:rsidR="00A61DE3" w:rsidRPr="004F039C">
        <w:rPr>
          <w:rFonts w:ascii="HelveticaNeueLT Std" w:hAnsi="HelveticaNeueLT Std"/>
          <w:color w:val="000000"/>
        </w:rPr>
        <w:t>de “</w:t>
      </w:r>
      <w:r w:rsidRPr="004F039C">
        <w:rPr>
          <w:rFonts w:ascii="HelveticaNeueLT Std" w:hAnsi="HelveticaNeueLT Std"/>
          <w:color w:val="000000"/>
        </w:rPr>
        <w:t xml:space="preserve">Servicios </w:t>
      </w:r>
      <w:r w:rsidRPr="004F039C">
        <w:rPr>
          <w:rFonts w:ascii="HelveticaNeueLT Std" w:hAnsi="HelveticaNeueLT Std"/>
          <w:color w:val="000000"/>
        </w:rPr>
        <w:t>Generales” por 10,654,524.11 que representa el 31.30 por ciento. Presenta un saldo acumulado al mes por 240,276,117.59.</w:t>
      </w:r>
    </w:p>
    <w:bookmarkEnd w:id="5"/>
    <w:p w14:paraId="3902A583" w14:textId="77777777" w:rsidR="004F660A" w:rsidRPr="004F039C" w:rsidRDefault="004F660A">
      <w:pPr>
        <w:spacing w:after="0" w:line="240" w:lineRule="auto"/>
        <w:jc w:val="both"/>
        <w:rPr>
          <w:rFonts w:ascii="HelveticaNeueLT Std" w:hAnsi="HelveticaNeueLT Std"/>
          <w:color w:val="000000"/>
          <w:sz w:val="6"/>
          <w:szCs w:val="6"/>
        </w:rPr>
      </w:pPr>
    </w:p>
    <w:p w14:paraId="35946204" w14:textId="77777777" w:rsidR="004F660A" w:rsidRPr="004F039C" w:rsidRDefault="00EB41CD" w:rsidP="008773A9">
      <w:pPr>
        <w:numPr>
          <w:ilvl w:val="0"/>
          <w:numId w:val="11"/>
        </w:numPr>
        <w:spacing w:after="0" w:line="240" w:lineRule="auto"/>
        <w:jc w:val="both"/>
        <w:rPr>
          <w:rFonts w:ascii="HelveticaNeueLT Std" w:hAnsi="HelveticaNeueLT Std"/>
          <w:color w:val="000000"/>
        </w:rPr>
      </w:pPr>
      <w:r w:rsidRPr="004F039C">
        <w:rPr>
          <w:rFonts w:ascii="HelveticaNeueLT Std" w:hAnsi="HelveticaNeueLT Std"/>
          <w:b/>
          <w:color w:val="000000"/>
        </w:rPr>
        <w:t>Transferencias, Asignaciones, Subsidios y Otras Ayudas. –</w:t>
      </w:r>
      <w:r w:rsidRPr="004F039C">
        <w:rPr>
          <w:rFonts w:ascii="HelveticaNeueLT Std" w:hAnsi="HelveticaNeueLT Std"/>
          <w:color w:val="000000"/>
        </w:rPr>
        <w:t xml:space="preserve"> </w:t>
      </w:r>
      <w:bookmarkStart w:id="6" w:name="_Hlk129695241"/>
      <w:r w:rsidRPr="004F039C">
        <w:rPr>
          <w:rFonts w:ascii="HelveticaNeueLT Std" w:hAnsi="HelveticaNeueLT Std"/>
          <w:color w:val="000000"/>
        </w:rPr>
        <w:t>Presenta en el mes un monto de 202,954.24, por Concepto de Devoluciones de In</w:t>
      </w:r>
      <w:r w:rsidRPr="004F039C">
        <w:rPr>
          <w:rFonts w:ascii="HelveticaNeueLT Std" w:hAnsi="HelveticaNeueLT Std"/>
          <w:color w:val="000000"/>
        </w:rPr>
        <w:t>gresos Indebidos generando un acumulado de 6,290,441.30 y un monto de 1,653,807,280.98 de entrega de remanentes a Gobierno del Estado de México.</w:t>
      </w:r>
      <w:bookmarkEnd w:id="6"/>
    </w:p>
    <w:p w14:paraId="1880FB9D" w14:textId="77777777" w:rsidR="004F660A" w:rsidRPr="004F039C" w:rsidRDefault="004F660A">
      <w:pPr>
        <w:pBdr>
          <w:top w:val="nil"/>
          <w:left w:val="nil"/>
          <w:bottom w:val="nil"/>
          <w:right w:val="nil"/>
          <w:between w:val="nil"/>
        </w:pBdr>
        <w:spacing w:after="0" w:line="240" w:lineRule="auto"/>
        <w:ind w:left="720"/>
        <w:rPr>
          <w:rFonts w:ascii="HelveticaNeueLT Std" w:eastAsia="Times New Roman" w:hAnsi="HelveticaNeueLT Std" w:cs="Times New Roman"/>
          <w:color w:val="000000"/>
          <w:sz w:val="6"/>
          <w:szCs w:val="6"/>
        </w:rPr>
      </w:pPr>
    </w:p>
    <w:p w14:paraId="118C2637" w14:textId="5B637E6F" w:rsidR="004F660A" w:rsidRPr="004F039C" w:rsidRDefault="00EB41CD" w:rsidP="000051CD">
      <w:pPr>
        <w:numPr>
          <w:ilvl w:val="0"/>
          <w:numId w:val="11"/>
        </w:numPr>
        <w:spacing w:after="0" w:line="240" w:lineRule="auto"/>
        <w:jc w:val="both"/>
        <w:rPr>
          <w:rFonts w:ascii="HelveticaNeueLT Std" w:hAnsi="HelveticaNeueLT Std"/>
          <w:color w:val="000000"/>
        </w:rPr>
      </w:pPr>
      <w:r w:rsidRPr="004F039C">
        <w:rPr>
          <w:rFonts w:ascii="HelveticaNeueLT Std" w:hAnsi="HelveticaNeueLT Std"/>
          <w:b/>
          <w:color w:val="000000"/>
        </w:rPr>
        <w:t>Otros Gastos y Pérdidas Extraordinarias.</w:t>
      </w:r>
      <w:r w:rsidRPr="004F039C">
        <w:rPr>
          <w:rFonts w:ascii="HelveticaNeueLT Std" w:hAnsi="HelveticaNeueLT Std"/>
          <w:color w:val="000000"/>
        </w:rPr>
        <w:t xml:space="preserve"> - </w:t>
      </w:r>
      <w:bookmarkStart w:id="7" w:name="_Hlk129695279"/>
      <w:r w:rsidRPr="004F039C">
        <w:rPr>
          <w:rFonts w:ascii="HelveticaNeueLT Std" w:hAnsi="HelveticaNeueLT Std"/>
          <w:color w:val="000000"/>
        </w:rPr>
        <w:t>En esta partida se refleja en el mes la cantidad de 4,364,970.46 co</w:t>
      </w:r>
      <w:r w:rsidRPr="004F039C">
        <w:rPr>
          <w:rFonts w:ascii="HelveticaNeueLT Std" w:hAnsi="HelveticaNeueLT Std"/>
          <w:color w:val="000000"/>
        </w:rPr>
        <w:t xml:space="preserve">rrespondiente la depreciación de bienes muebles e inmuebles. Presenta un saldo acumulado al mes por 14,699,474.78. Así mismo, gastos contables no presupuestarios muestra una disminución por 1,308,443.06 derivado de la devolución de remanentes a </w:t>
      </w:r>
      <w:r w:rsidR="000051CD" w:rsidRPr="004F039C">
        <w:rPr>
          <w:rFonts w:ascii="HelveticaNeueLT Std" w:hAnsi="HelveticaNeueLT Std"/>
          <w:color w:val="000000"/>
        </w:rPr>
        <w:t>Gobierno</w:t>
      </w:r>
      <w:r w:rsidRPr="004F039C">
        <w:rPr>
          <w:rFonts w:ascii="HelveticaNeueLT Std" w:hAnsi="HelveticaNeueLT Std"/>
          <w:color w:val="000000"/>
        </w:rPr>
        <w:t xml:space="preserve"> de</w:t>
      </w:r>
      <w:r w:rsidRPr="004F039C">
        <w:rPr>
          <w:rFonts w:ascii="HelveticaNeueLT Std" w:hAnsi="HelveticaNeueLT Std"/>
          <w:color w:val="000000"/>
        </w:rPr>
        <w:t>l Estado de México del subsidio en la amortización de capital en los pagos de los certificados bursátiles. Se cuenta con un saldo acumulado de 4,499,847.84 correspondientes a la devolución al GEM, de los Remanentes e intereses del Programa de Acciones para</w:t>
      </w:r>
      <w:r w:rsidRPr="004F039C">
        <w:rPr>
          <w:rFonts w:ascii="HelveticaNeueLT Std" w:hAnsi="HelveticaNeueLT Std"/>
          <w:color w:val="000000"/>
        </w:rPr>
        <w:t xml:space="preserve"> el Desarrollo (PAD).</w:t>
      </w:r>
      <w:bookmarkEnd w:id="7"/>
    </w:p>
    <w:p w14:paraId="0C5AD6AD" w14:textId="77777777" w:rsidR="00D30FCA" w:rsidRPr="004F039C" w:rsidRDefault="00D30FCA" w:rsidP="00D30FCA">
      <w:pPr>
        <w:pStyle w:val="Prrafodelista"/>
        <w:rPr>
          <w:rFonts w:ascii="HelveticaNeueLT Std" w:hAnsi="HelveticaNeueLT Std"/>
          <w:color w:val="000000"/>
        </w:rPr>
      </w:pPr>
    </w:p>
    <w:p w14:paraId="12F64251" w14:textId="13EA55A2" w:rsidR="00D30FCA" w:rsidRPr="004F039C" w:rsidRDefault="00D30FCA" w:rsidP="00D30FCA">
      <w:pPr>
        <w:spacing w:after="0" w:line="240" w:lineRule="auto"/>
        <w:ind w:left="720"/>
        <w:jc w:val="both"/>
        <w:rPr>
          <w:rFonts w:ascii="HelveticaNeueLT Std" w:hAnsi="HelveticaNeueLT Std"/>
          <w:color w:val="000000"/>
        </w:rPr>
      </w:pPr>
    </w:p>
    <w:p w14:paraId="1FE3F6D4" w14:textId="77777777" w:rsidR="00D30FCA" w:rsidRPr="004F039C" w:rsidRDefault="00D30FCA" w:rsidP="00D30FCA">
      <w:pPr>
        <w:spacing w:after="0" w:line="240" w:lineRule="auto"/>
        <w:ind w:left="720"/>
        <w:jc w:val="both"/>
        <w:rPr>
          <w:rFonts w:ascii="HelveticaNeueLT Std" w:hAnsi="HelveticaNeueLT Std"/>
          <w:color w:val="000000"/>
        </w:rPr>
      </w:pPr>
    </w:p>
    <w:p w14:paraId="48A2CAD8" w14:textId="77777777" w:rsidR="004F660A" w:rsidRPr="004F039C" w:rsidRDefault="00EB41CD">
      <w:pPr>
        <w:numPr>
          <w:ilvl w:val="0"/>
          <w:numId w:val="3"/>
        </w:numPr>
        <w:spacing w:before="240" w:after="0" w:line="240" w:lineRule="auto"/>
        <w:ind w:left="1495"/>
        <w:rPr>
          <w:rFonts w:ascii="HelveticaNeueLT Std" w:hAnsi="HelveticaNeueLT Std"/>
          <w:b/>
          <w:color w:val="000000"/>
        </w:rPr>
      </w:pPr>
      <w:r w:rsidRPr="004F039C">
        <w:rPr>
          <w:rFonts w:ascii="HelveticaNeueLT Std" w:hAnsi="HelveticaNeueLT Std"/>
          <w:b/>
          <w:color w:val="000000"/>
        </w:rPr>
        <w:t>NOTAS AL ESTADO DE VARIACIONES EN LA HACIENDA PÚBLICA/PATRIMONIO</w:t>
      </w:r>
    </w:p>
    <w:p w14:paraId="284CA985" w14:textId="77777777" w:rsidR="004F660A" w:rsidRPr="004F039C" w:rsidRDefault="004F660A">
      <w:pPr>
        <w:spacing w:after="0" w:line="240" w:lineRule="auto"/>
        <w:rPr>
          <w:rFonts w:ascii="HelveticaNeueLT Std" w:hAnsi="HelveticaNeueLT Std"/>
        </w:rPr>
      </w:pPr>
    </w:p>
    <w:p w14:paraId="2010201F" w14:textId="77777777" w:rsidR="004F660A" w:rsidRPr="004F039C" w:rsidRDefault="00EB41CD" w:rsidP="008773A9">
      <w:pPr>
        <w:numPr>
          <w:ilvl w:val="0"/>
          <w:numId w:val="11"/>
        </w:numPr>
        <w:spacing w:after="0" w:line="240" w:lineRule="auto"/>
        <w:jc w:val="both"/>
        <w:rPr>
          <w:rFonts w:ascii="HelveticaNeueLT Std" w:hAnsi="HelveticaNeueLT Std"/>
        </w:rPr>
      </w:pPr>
      <w:r w:rsidRPr="004F039C">
        <w:rPr>
          <w:rFonts w:ascii="HelveticaNeueLT Std" w:hAnsi="HelveticaNeueLT Std"/>
          <w:b/>
          <w:color w:val="000000"/>
        </w:rPr>
        <w:lastRenderedPageBreak/>
        <w:t>Hacienda Pública/Patrimonio Contribuido. -</w:t>
      </w:r>
      <w:r w:rsidRPr="004F039C">
        <w:rPr>
          <w:rFonts w:ascii="HelveticaNeueLT Std" w:hAnsi="HelveticaNeueLT Std"/>
          <w:color w:val="000000"/>
        </w:rPr>
        <w:t xml:space="preserve"> En el Estado de Variaciones en la Hacienda Pública, el patrimonio contribuido neto final del Instituto por la cantidad de 5,203,459.11 se conserva por las aportaciones del Gobierno del Estado de México, así como la incorporación de cuatro terrenos de dona</w:t>
      </w:r>
      <w:r w:rsidRPr="004F039C">
        <w:rPr>
          <w:rFonts w:ascii="HelveticaNeueLT Std" w:hAnsi="HelveticaNeueLT Std"/>
          <w:color w:val="000000"/>
        </w:rPr>
        <w:t>ción.</w:t>
      </w:r>
      <w:r w:rsidRPr="004F039C">
        <w:rPr>
          <w:rFonts w:ascii="HelveticaNeueLT Std" w:hAnsi="HelveticaNeueLT Std"/>
        </w:rPr>
        <w:br/>
      </w:r>
    </w:p>
    <w:p w14:paraId="25ACFFB5" w14:textId="77777777" w:rsidR="004F660A" w:rsidRPr="004F039C" w:rsidRDefault="00EB41CD" w:rsidP="008773A9">
      <w:pPr>
        <w:numPr>
          <w:ilvl w:val="0"/>
          <w:numId w:val="11"/>
        </w:numPr>
        <w:spacing w:after="0" w:line="240" w:lineRule="auto"/>
        <w:jc w:val="both"/>
        <w:rPr>
          <w:rFonts w:ascii="HelveticaNeueLT Std" w:hAnsi="HelveticaNeueLT Std"/>
          <w:color w:val="000000"/>
        </w:rPr>
      </w:pPr>
      <w:r w:rsidRPr="004F039C">
        <w:rPr>
          <w:rFonts w:ascii="HelveticaNeueLT Std" w:hAnsi="HelveticaNeueLT Std"/>
          <w:b/>
          <w:color w:val="000000"/>
        </w:rPr>
        <w:t xml:space="preserve">Hacienda Pública / Patrimonio Generado de Ejercicios Anteriores. - </w:t>
      </w:r>
      <w:r w:rsidRPr="004F039C">
        <w:rPr>
          <w:rFonts w:ascii="HelveticaNeueLT Std" w:hAnsi="HelveticaNeueLT Std"/>
          <w:color w:val="000000"/>
        </w:rPr>
        <w:t>En este mes se detecta que el Patrimonio Neto Final es de 1,443,021,954.60, por los Resultados de Ejercicios Anteriores.</w:t>
      </w:r>
    </w:p>
    <w:p w14:paraId="78DA904D" w14:textId="77777777" w:rsidR="004F660A" w:rsidRPr="004F039C" w:rsidRDefault="004F660A">
      <w:pPr>
        <w:spacing w:after="0" w:line="240" w:lineRule="auto"/>
        <w:rPr>
          <w:rFonts w:ascii="HelveticaNeueLT Std" w:hAnsi="HelveticaNeueLT Std"/>
        </w:rPr>
      </w:pPr>
    </w:p>
    <w:p w14:paraId="73DEDA19" w14:textId="77777777" w:rsidR="004F660A" w:rsidRPr="004F039C" w:rsidRDefault="00EB41CD" w:rsidP="008773A9">
      <w:pPr>
        <w:numPr>
          <w:ilvl w:val="0"/>
          <w:numId w:val="11"/>
        </w:numPr>
        <w:spacing w:after="0" w:line="240" w:lineRule="auto"/>
        <w:jc w:val="both"/>
        <w:rPr>
          <w:rFonts w:ascii="HelveticaNeueLT Std" w:hAnsi="HelveticaNeueLT Std"/>
          <w:color w:val="000000"/>
        </w:rPr>
      </w:pPr>
      <w:r w:rsidRPr="004F039C">
        <w:rPr>
          <w:rFonts w:ascii="HelveticaNeueLT Std" w:hAnsi="HelveticaNeueLT Std"/>
          <w:b/>
          <w:color w:val="000000"/>
        </w:rPr>
        <w:t xml:space="preserve">Resultado del Ejercicio: (Ahorro/Desahorro). </w:t>
      </w:r>
      <w:r w:rsidRPr="004F039C">
        <w:rPr>
          <w:rFonts w:ascii="HelveticaNeueLT Std" w:hAnsi="HelveticaNeueLT Std"/>
          <w:color w:val="000000"/>
        </w:rPr>
        <w:t xml:space="preserve">- </w:t>
      </w:r>
      <w:bookmarkStart w:id="8" w:name="_Hlk129695338"/>
      <w:r w:rsidRPr="004F039C">
        <w:rPr>
          <w:rFonts w:ascii="HelveticaNeueLT Std" w:hAnsi="HelveticaNeueLT Std"/>
          <w:color w:val="000000"/>
        </w:rPr>
        <w:t>Se observa en</w:t>
      </w:r>
      <w:r w:rsidRPr="004F039C">
        <w:rPr>
          <w:rFonts w:ascii="HelveticaNeueLT Std" w:hAnsi="HelveticaNeueLT Std"/>
          <w:color w:val="000000"/>
        </w:rPr>
        <w:t xml:space="preserve"> la Hacienda Pública/Patrimonio Generado del Ejercicio, un desahorro por 140,925,825.14, debido principalmente a que los gastos generados son mayores por la devolución de los remanentes contra los ingresos de acuerdo con el estado de actividades.</w:t>
      </w:r>
    </w:p>
    <w:bookmarkEnd w:id="8"/>
    <w:p w14:paraId="4761E24C" w14:textId="77777777" w:rsidR="004F660A" w:rsidRPr="004F039C" w:rsidRDefault="00EB41CD">
      <w:pPr>
        <w:numPr>
          <w:ilvl w:val="0"/>
          <w:numId w:val="3"/>
        </w:numPr>
        <w:spacing w:before="240" w:after="0" w:line="240" w:lineRule="auto"/>
        <w:ind w:left="1495"/>
        <w:rPr>
          <w:rFonts w:ascii="HelveticaNeueLT Std" w:hAnsi="HelveticaNeueLT Std"/>
          <w:b/>
          <w:color w:val="000000"/>
        </w:rPr>
      </w:pPr>
      <w:r w:rsidRPr="004F039C">
        <w:rPr>
          <w:rFonts w:ascii="HelveticaNeueLT Std" w:hAnsi="HelveticaNeueLT Std"/>
          <w:b/>
          <w:color w:val="000000"/>
        </w:rPr>
        <w:t xml:space="preserve">NOTAS AL </w:t>
      </w:r>
      <w:r w:rsidRPr="004F039C">
        <w:rPr>
          <w:rFonts w:ascii="HelveticaNeueLT Std" w:hAnsi="HelveticaNeueLT Std"/>
          <w:b/>
          <w:color w:val="000000"/>
        </w:rPr>
        <w:t>ESTADO DE FLUJOS DE EFECTIVO</w:t>
      </w:r>
    </w:p>
    <w:p w14:paraId="11336922" w14:textId="77777777" w:rsidR="004F660A" w:rsidRPr="004F039C" w:rsidRDefault="004F660A">
      <w:pPr>
        <w:spacing w:after="0" w:line="240" w:lineRule="auto"/>
        <w:rPr>
          <w:rFonts w:ascii="HelveticaNeueLT Std" w:hAnsi="HelveticaNeueLT Std"/>
        </w:rPr>
      </w:pPr>
    </w:p>
    <w:p w14:paraId="7C5509ED" w14:textId="77777777" w:rsidR="004F660A" w:rsidRPr="004F039C" w:rsidRDefault="00EB41CD">
      <w:pPr>
        <w:spacing w:after="0" w:line="240" w:lineRule="auto"/>
        <w:rPr>
          <w:rFonts w:ascii="HelveticaNeueLT Std" w:hAnsi="HelveticaNeueLT Std"/>
          <w:color w:val="000000"/>
        </w:rPr>
      </w:pPr>
      <w:r w:rsidRPr="004F039C">
        <w:rPr>
          <w:rFonts w:ascii="HelveticaNeueLT Std" w:hAnsi="HelveticaNeueLT Std"/>
          <w:color w:val="000000"/>
        </w:rPr>
        <w:t>En este Estado se observa el análisis de los saldos inicial y final que figuran en la última parte del Estado de Flujo de Efectivo en la cuenta de efectivo y equivalentes es como sigue:</w:t>
      </w:r>
    </w:p>
    <w:p w14:paraId="656ABB5D" w14:textId="199663BE" w:rsidR="004F660A" w:rsidRPr="004F039C" w:rsidRDefault="005B0B2E">
      <w:pPr>
        <w:spacing w:after="0" w:line="240" w:lineRule="auto"/>
        <w:rPr>
          <w:rFonts w:ascii="HelveticaNeueLT Std" w:hAnsi="HelveticaNeueLT Std"/>
          <w:color w:val="000000"/>
        </w:rPr>
      </w:pPr>
      <w:r w:rsidRPr="004F039C">
        <w:rPr>
          <w:rFonts w:ascii="HelveticaNeueLT Std" w:hAnsi="HelveticaNeueLT Std"/>
          <w:noProof/>
        </w:rPr>
        <w:drawing>
          <wp:anchor distT="0" distB="0" distL="114300" distR="114300" simplePos="0" relativeHeight="251663360" behindDoc="1" locked="0" layoutInCell="1" allowOverlap="1" wp14:anchorId="7149AD6F" wp14:editId="1C3F235B">
            <wp:simplePos x="0" y="0"/>
            <wp:positionH relativeFrom="margin">
              <wp:posOffset>1018540</wp:posOffset>
            </wp:positionH>
            <wp:positionV relativeFrom="paragraph">
              <wp:posOffset>29845</wp:posOffset>
            </wp:positionV>
            <wp:extent cx="4581525" cy="1001314"/>
            <wp:effectExtent l="0" t="0" r="0" b="8890"/>
            <wp:wrapNone/>
            <wp:docPr id="5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4618062" cy="1009299"/>
                    </a:xfrm>
                    <a:prstGeom prst="rect">
                      <a:avLst/>
                    </a:prstGeom>
                    <a:ln/>
                  </pic:spPr>
                </pic:pic>
              </a:graphicData>
            </a:graphic>
            <wp14:sizeRelH relativeFrom="page">
              <wp14:pctWidth>0</wp14:pctWidth>
            </wp14:sizeRelH>
            <wp14:sizeRelV relativeFrom="page">
              <wp14:pctHeight>0</wp14:pctHeight>
            </wp14:sizeRelV>
          </wp:anchor>
        </w:drawing>
      </w:r>
    </w:p>
    <w:p w14:paraId="4AA2B8C6" w14:textId="1E9D74CB" w:rsidR="004F660A" w:rsidRPr="004F039C" w:rsidRDefault="004F660A">
      <w:pPr>
        <w:spacing w:after="0" w:line="240" w:lineRule="auto"/>
        <w:jc w:val="center"/>
        <w:rPr>
          <w:rFonts w:ascii="HelveticaNeueLT Std" w:hAnsi="HelveticaNeueLT Std"/>
        </w:rPr>
      </w:pPr>
    </w:p>
    <w:p w14:paraId="5F976389" w14:textId="068598F5" w:rsidR="004F660A" w:rsidRPr="004F039C" w:rsidRDefault="004F660A">
      <w:pPr>
        <w:spacing w:after="0" w:line="240" w:lineRule="auto"/>
        <w:jc w:val="center"/>
        <w:rPr>
          <w:rFonts w:ascii="HelveticaNeueLT Std" w:hAnsi="HelveticaNeueLT Std"/>
        </w:rPr>
      </w:pPr>
    </w:p>
    <w:p w14:paraId="4E49AFBE" w14:textId="7BE7E376" w:rsidR="005B0B2E" w:rsidRPr="004F039C" w:rsidRDefault="005B0B2E">
      <w:pPr>
        <w:spacing w:after="0" w:line="240" w:lineRule="auto"/>
        <w:jc w:val="center"/>
        <w:rPr>
          <w:rFonts w:ascii="HelveticaNeueLT Std" w:hAnsi="HelveticaNeueLT Std"/>
        </w:rPr>
      </w:pPr>
    </w:p>
    <w:p w14:paraId="0A0E2519" w14:textId="5BB1F40A" w:rsidR="005B0B2E" w:rsidRPr="004F039C" w:rsidRDefault="005B0B2E">
      <w:pPr>
        <w:spacing w:after="0" w:line="240" w:lineRule="auto"/>
        <w:jc w:val="center"/>
        <w:rPr>
          <w:rFonts w:ascii="HelveticaNeueLT Std" w:hAnsi="HelveticaNeueLT Std"/>
        </w:rPr>
      </w:pPr>
    </w:p>
    <w:p w14:paraId="54EC1A2B" w14:textId="00B4CB1A" w:rsidR="005B0B2E" w:rsidRPr="004F039C" w:rsidRDefault="005B0B2E">
      <w:pPr>
        <w:spacing w:after="0" w:line="240" w:lineRule="auto"/>
        <w:jc w:val="center"/>
        <w:rPr>
          <w:rFonts w:ascii="HelveticaNeueLT Std" w:hAnsi="HelveticaNeueLT Std"/>
        </w:rPr>
      </w:pPr>
    </w:p>
    <w:p w14:paraId="163C2F50" w14:textId="77777777" w:rsidR="005B0B2E" w:rsidRPr="004F039C" w:rsidRDefault="005B0B2E">
      <w:pPr>
        <w:spacing w:after="0" w:line="240" w:lineRule="auto"/>
        <w:jc w:val="center"/>
        <w:rPr>
          <w:rFonts w:ascii="HelveticaNeueLT Std" w:hAnsi="HelveticaNeueLT Std"/>
        </w:rPr>
      </w:pPr>
    </w:p>
    <w:p w14:paraId="31BDD39C" w14:textId="1ACB42CB" w:rsidR="00416B86" w:rsidRPr="004F039C" w:rsidRDefault="00EB41CD" w:rsidP="00416B86">
      <w:pPr>
        <w:numPr>
          <w:ilvl w:val="0"/>
          <w:numId w:val="11"/>
        </w:numPr>
        <w:spacing w:after="0" w:line="240" w:lineRule="auto"/>
        <w:jc w:val="both"/>
        <w:rPr>
          <w:rFonts w:ascii="HelveticaNeueLT Std" w:hAnsi="HelveticaNeueLT Std"/>
        </w:rPr>
      </w:pPr>
      <w:r w:rsidRPr="004F039C">
        <w:rPr>
          <w:rFonts w:ascii="HelveticaNeueLT Std" w:hAnsi="HelveticaNeueLT Std"/>
        </w:rPr>
        <w:t>La Conciliación de los Flujos de</w:t>
      </w:r>
      <w:r w:rsidRPr="004F039C">
        <w:rPr>
          <w:rFonts w:ascii="HelveticaNeueLT Std" w:hAnsi="HelveticaNeueLT Std"/>
        </w:rPr>
        <w:t xml:space="preserve"> Efectivo Netos de las Actividades de Operación y la cuenta de Ahorro/Desahorro antes de Rubros Extraordinarios, queda como sigue</w:t>
      </w:r>
    </w:p>
    <w:p w14:paraId="21127CD8" w14:textId="40A7EE3E" w:rsidR="00416B86" w:rsidRPr="004F039C" w:rsidRDefault="0040555E" w:rsidP="00416B86">
      <w:pPr>
        <w:spacing w:after="0" w:line="240" w:lineRule="auto"/>
        <w:ind w:left="360"/>
        <w:jc w:val="both"/>
        <w:rPr>
          <w:rFonts w:ascii="HelveticaNeueLT Std" w:hAnsi="HelveticaNeueLT Std"/>
          <w:color w:val="FFFF00"/>
        </w:rPr>
      </w:pPr>
      <w:r w:rsidRPr="004F039C">
        <w:rPr>
          <w:rFonts w:ascii="HelveticaNeueLT Std" w:hAnsi="HelveticaNeueLT Std"/>
          <w:noProof/>
        </w:rPr>
        <w:drawing>
          <wp:anchor distT="0" distB="0" distL="114300" distR="114300" simplePos="0" relativeHeight="251662336" behindDoc="0" locked="0" layoutInCell="1" allowOverlap="1" wp14:anchorId="76802A02" wp14:editId="056B902D">
            <wp:simplePos x="0" y="0"/>
            <wp:positionH relativeFrom="margin">
              <wp:align>center</wp:align>
            </wp:positionH>
            <wp:positionV relativeFrom="paragraph">
              <wp:posOffset>90261</wp:posOffset>
            </wp:positionV>
            <wp:extent cx="4733925" cy="1948543"/>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33925" cy="19485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A7C0C4" w14:textId="7C22085E" w:rsidR="00416B86" w:rsidRPr="004F039C" w:rsidRDefault="00416B86" w:rsidP="00416B86">
      <w:pPr>
        <w:spacing w:after="0" w:line="240" w:lineRule="auto"/>
        <w:ind w:left="720"/>
        <w:jc w:val="center"/>
        <w:rPr>
          <w:rFonts w:ascii="HelveticaNeueLT Std" w:hAnsi="HelveticaNeueLT Std"/>
          <w:color w:val="FFFF00"/>
        </w:rPr>
      </w:pPr>
    </w:p>
    <w:p w14:paraId="1E107722" w14:textId="475D741D" w:rsidR="004F660A" w:rsidRPr="004F039C" w:rsidRDefault="004F660A">
      <w:pPr>
        <w:spacing w:after="0" w:line="240" w:lineRule="auto"/>
        <w:jc w:val="both"/>
        <w:rPr>
          <w:rFonts w:ascii="HelveticaNeueLT Std" w:hAnsi="HelveticaNeueLT Std"/>
          <w:color w:val="FFFF00"/>
        </w:rPr>
      </w:pPr>
    </w:p>
    <w:p w14:paraId="78B7180F" w14:textId="1CD26C02" w:rsidR="004F660A" w:rsidRPr="004F039C" w:rsidRDefault="004F660A">
      <w:pPr>
        <w:spacing w:after="0" w:line="240" w:lineRule="auto"/>
        <w:jc w:val="center"/>
        <w:rPr>
          <w:rFonts w:ascii="HelveticaNeueLT Std" w:hAnsi="HelveticaNeueLT Std"/>
          <w:color w:val="FFFF00"/>
        </w:rPr>
      </w:pPr>
    </w:p>
    <w:p w14:paraId="4F864C16" w14:textId="6E21CD25" w:rsidR="00416B86" w:rsidRPr="004F039C" w:rsidRDefault="00416B86">
      <w:pPr>
        <w:spacing w:after="0" w:line="240" w:lineRule="auto"/>
        <w:jc w:val="center"/>
        <w:rPr>
          <w:rFonts w:ascii="HelveticaNeueLT Std" w:hAnsi="HelveticaNeueLT Std"/>
          <w:color w:val="000000"/>
        </w:rPr>
      </w:pPr>
      <w:bookmarkStart w:id="9" w:name="_GoBack"/>
      <w:bookmarkEnd w:id="9"/>
    </w:p>
    <w:p w14:paraId="21C7E686" w14:textId="0CE373AE" w:rsidR="00416B86" w:rsidRPr="004F039C" w:rsidRDefault="00416B86">
      <w:pPr>
        <w:spacing w:after="0" w:line="240" w:lineRule="auto"/>
        <w:jc w:val="center"/>
        <w:rPr>
          <w:rFonts w:ascii="HelveticaNeueLT Std" w:hAnsi="HelveticaNeueLT Std"/>
          <w:color w:val="000000"/>
        </w:rPr>
      </w:pPr>
    </w:p>
    <w:p w14:paraId="0CD99B41" w14:textId="1325B334" w:rsidR="00416B86" w:rsidRPr="004F039C" w:rsidRDefault="00416B86">
      <w:pPr>
        <w:spacing w:after="0" w:line="240" w:lineRule="auto"/>
        <w:jc w:val="center"/>
        <w:rPr>
          <w:rFonts w:ascii="HelveticaNeueLT Std" w:hAnsi="HelveticaNeueLT Std"/>
          <w:color w:val="000000"/>
        </w:rPr>
      </w:pPr>
    </w:p>
    <w:p w14:paraId="28589A46" w14:textId="6A2334BC" w:rsidR="00416B86" w:rsidRPr="004F039C" w:rsidRDefault="00416B86">
      <w:pPr>
        <w:spacing w:after="0" w:line="240" w:lineRule="auto"/>
        <w:jc w:val="center"/>
        <w:rPr>
          <w:rFonts w:ascii="HelveticaNeueLT Std" w:hAnsi="HelveticaNeueLT Std"/>
          <w:color w:val="000000"/>
        </w:rPr>
      </w:pPr>
    </w:p>
    <w:p w14:paraId="63AB112C" w14:textId="34BEAF02" w:rsidR="00416B86" w:rsidRPr="004F039C" w:rsidRDefault="00416B86">
      <w:pPr>
        <w:spacing w:after="0" w:line="240" w:lineRule="auto"/>
        <w:jc w:val="center"/>
        <w:rPr>
          <w:rFonts w:ascii="HelveticaNeueLT Std" w:hAnsi="HelveticaNeueLT Std"/>
          <w:color w:val="000000"/>
        </w:rPr>
      </w:pPr>
    </w:p>
    <w:p w14:paraId="124CBA65" w14:textId="24975FED" w:rsidR="00416B86" w:rsidRPr="004F039C" w:rsidRDefault="00416B86">
      <w:pPr>
        <w:spacing w:after="0" w:line="240" w:lineRule="auto"/>
        <w:jc w:val="center"/>
        <w:rPr>
          <w:rFonts w:ascii="HelveticaNeueLT Std" w:hAnsi="HelveticaNeueLT Std"/>
          <w:color w:val="000000"/>
        </w:rPr>
      </w:pPr>
    </w:p>
    <w:p w14:paraId="3846F1AB" w14:textId="14B1F3A2" w:rsidR="00416B86" w:rsidRPr="004F039C" w:rsidRDefault="00416B86" w:rsidP="0040555E">
      <w:pPr>
        <w:spacing w:after="0" w:line="240" w:lineRule="auto"/>
        <w:rPr>
          <w:rFonts w:ascii="HelveticaNeueLT Std" w:hAnsi="HelveticaNeueLT Std"/>
          <w:color w:val="000000"/>
        </w:rPr>
      </w:pPr>
    </w:p>
    <w:p w14:paraId="6F4227C3" w14:textId="77777777" w:rsidR="0040555E" w:rsidRPr="004F039C" w:rsidRDefault="0040555E">
      <w:pPr>
        <w:spacing w:after="0" w:line="240" w:lineRule="auto"/>
        <w:jc w:val="center"/>
        <w:rPr>
          <w:rFonts w:ascii="HelveticaNeueLT Std" w:hAnsi="HelveticaNeueLT Std"/>
          <w:color w:val="000000"/>
        </w:rPr>
      </w:pPr>
    </w:p>
    <w:p w14:paraId="37DDF668" w14:textId="77777777" w:rsidR="0040555E" w:rsidRPr="004F039C" w:rsidRDefault="0040555E">
      <w:pPr>
        <w:spacing w:after="0" w:line="240" w:lineRule="auto"/>
        <w:jc w:val="both"/>
        <w:rPr>
          <w:rFonts w:ascii="HelveticaNeueLT Std" w:hAnsi="HelveticaNeueLT Std"/>
          <w:color w:val="000000"/>
        </w:rPr>
      </w:pPr>
    </w:p>
    <w:p w14:paraId="0D02902F" w14:textId="0FAE7ED9" w:rsidR="004F660A" w:rsidRPr="004F039C" w:rsidRDefault="00EB41CD" w:rsidP="008773A9">
      <w:pPr>
        <w:numPr>
          <w:ilvl w:val="0"/>
          <w:numId w:val="11"/>
        </w:numPr>
        <w:spacing w:after="0" w:line="259" w:lineRule="auto"/>
        <w:jc w:val="both"/>
        <w:rPr>
          <w:rFonts w:ascii="HelveticaNeueLT Std" w:hAnsi="HelveticaNeueLT Std"/>
          <w:color w:val="000000"/>
        </w:rPr>
      </w:pPr>
      <w:bookmarkStart w:id="10" w:name="_heading=h.30j0zll" w:colFirst="0" w:colLast="0"/>
      <w:bookmarkEnd w:id="10"/>
      <w:r w:rsidRPr="004F039C">
        <w:rPr>
          <w:rFonts w:ascii="HelveticaNeueLT Std" w:hAnsi="HelveticaNeueLT Std"/>
          <w:color w:val="000000"/>
        </w:rPr>
        <w:t xml:space="preserve">El efectivo y equivalentes en este mes para que el Instituto de la Función Registral del Estado de México cubra </w:t>
      </w:r>
      <w:r w:rsidRPr="004F039C">
        <w:rPr>
          <w:rFonts w:ascii="HelveticaNeueLT Std" w:hAnsi="HelveticaNeueLT Std"/>
          <w:color w:val="000000"/>
        </w:rPr>
        <w:t>sus obligaciones de pago, fue de 321,704,904.78.</w:t>
      </w:r>
    </w:p>
    <w:p w14:paraId="34450594" w14:textId="56F3C1D3" w:rsidR="00424EC5" w:rsidRPr="004F039C" w:rsidRDefault="00424EC5" w:rsidP="00424EC5">
      <w:pPr>
        <w:spacing w:after="0" w:line="259" w:lineRule="auto"/>
        <w:ind w:left="720"/>
        <w:jc w:val="both"/>
        <w:rPr>
          <w:rFonts w:ascii="HelveticaNeueLT Std" w:hAnsi="HelveticaNeueLT Std"/>
          <w:color w:val="000000"/>
        </w:rPr>
      </w:pPr>
    </w:p>
    <w:p w14:paraId="605FAB4B" w14:textId="77777777" w:rsidR="00424EC5" w:rsidRPr="004F039C" w:rsidRDefault="00424EC5" w:rsidP="00424EC5">
      <w:pPr>
        <w:spacing w:after="0" w:line="259" w:lineRule="auto"/>
        <w:ind w:left="720"/>
        <w:jc w:val="both"/>
        <w:rPr>
          <w:rFonts w:ascii="HelveticaNeueLT Std" w:hAnsi="HelveticaNeueLT Std"/>
          <w:color w:val="000000"/>
        </w:rPr>
      </w:pPr>
    </w:p>
    <w:p w14:paraId="36620C61" w14:textId="77777777" w:rsidR="004F660A" w:rsidRPr="004F039C" w:rsidRDefault="00EB41CD">
      <w:pPr>
        <w:numPr>
          <w:ilvl w:val="0"/>
          <w:numId w:val="3"/>
        </w:numPr>
        <w:spacing w:before="240" w:after="0" w:line="240" w:lineRule="auto"/>
        <w:ind w:left="1495"/>
        <w:rPr>
          <w:rFonts w:ascii="HelveticaNeueLT Std" w:hAnsi="HelveticaNeueLT Std"/>
          <w:color w:val="000000"/>
        </w:rPr>
      </w:pPr>
      <w:r w:rsidRPr="004F039C">
        <w:rPr>
          <w:rFonts w:ascii="HelveticaNeueLT Std" w:hAnsi="HelveticaNeueLT Std"/>
          <w:b/>
        </w:rPr>
        <w:t>CONCILIACIÓN ENTRE LOS INGRESOS PRESUPUESTARIOS Y CONTABLES, ASÍ COMO ENTRE LOS EGRESOS PRESUPUESTARIOS Y LOS GASTOS CONTABLES</w:t>
      </w:r>
    </w:p>
    <w:p w14:paraId="6A81ACA5" w14:textId="77777777" w:rsidR="004F660A" w:rsidRPr="004F039C" w:rsidRDefault="004F660A">
      <w:pPr>
        <w:spacing w:after="0" w:line="276" w:lineRule="auto"/>
        <w:rPr>
          <w:rFonts w:ascii="HelveticaNeueLT Std" w:hAnsi="HelveticaNeueLT Std"/>
        </w:rPr>
      </w:pPr>
    </w:p>
    <w:p w14:paraId="0BC913C1" w14:textId="02F52C11" w:rsidR="004F660A" w:rsidRPr="004F039C" w:rsidRDefault="00EB41CD">
      <w:pPr>
        <w:spacing w:after="0" w:line="276" w:lineRule="auto"/>
        <w:jc w:val="center"/>
        <w:rPr>
          <w:rFonts w:ascii="HelveticaNeueLT Std" w:hAnsi="HelveticaNeueLT Std"/>
        </w:rPr>
      </w:pPr>
      <w:r w:rsidRPr="004F039C">
        <w:rPr>
          <w:rFonts w:ascii="HelveticaNeueLT Std" w:hAnsi="HelveticaNeueLT Std"/>
          <w:noProof/>
        </w:rPr>
        <w:lastRenderedPageBreak/>
        <w:drawing>
          <wp:inline distT="0" distB="0" distL="0" distR="0" wp14:anchorId="4A82F3B3" wp14:editId="1CCBF212">
            <wp:extent cx="6148622" cy="3859710"/>
            <wp:effectExtent l="0" t="0" r="0" b="0"/>
            <wp:docPr id="54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6148622" cy="3859710"/>
                    </a:xfrm>
                    <a:prstGeom prst="rect">
                      <a:avLst/>
                    </a:prstGeom>
                    <a:ln/>
                  </pic:spPr>
                </pic:pic>
              </a:graphicData>
            </a:graphic>
          </wp:inline>
        </w:drawing>
      </w:r>
    </w:p>
    <w:p w14:paraId="12A83C7B" w14:textId="77777777" w:rsidR="00721980" w:rsidRPr="004F039C" w:rsidRDefault="00721980">
      <w:pPr>
        <w:spacing w:after="0" w:line="276" w:lineRule="auto"/>
        <w:jc w:val="center"/>
        <w:rPr>
          <w:rFonts w:ascii="HelveticaNeueLT Std" w:hAnsi="HelveticaNeueLT Std"/>
        </w:rPr>
      </w:pPr>
    </w:p>
    <w:p w14:paraId="3C079679" w14:textId="77777777" w:rsidR="004F660A" w:rsidRPr="004F039C" w:rsidRDefault="00EB41CD">
      <w:pPr>
        <w:tabs>
          <w:tab w:val="left" w:pos="1545"/>
        </w:tabs>
        <w:jc w:val="both"/>
        <w:rPr>
          <w:rFonts w:ascii="HelveticaNeueLT Std" w:hAnsi="HelveticaNeueLT Std"/>
        </w:rPr>
      </w:pPr>
      <w:r w:rsidRPr="004F039C">
        <w:rPr>
          <w:rFonts w:ascii="HelveticaNeueLT Std" w:hAnsi="HelveticaNeueLT Std"/>
          <w:b/>
        </w:rPr>
        <w:t>Conciliación entre los Ingresos Presupuestarios y Contables</w:t>
      </w:r>
      <w:r w:rsidRPr="004F039C">
        <w:rPr>
          <w:rFonts w:ascii="HelveticaNeueLT Std" w:hAnsi="HelveticaNeueLT Std"/>
        </w:rPr>
        <w:t xml:space="preserve">.- En el Rubro </w:t>
      </w:r>
      <w:r w:rsidRPr="004F039C">
        <w:rPr>
          <w:rFonts w:ascii="HelveticaNeueLT Std" w:hAnsi="HelveticaNeueLT Std"/>
        </w:rPr>
        <w:t>de Ingresos Presupuestarios No Contables en el renglón de Ingresos Derivados de Financiamientos por la cantidad de 2,137,358,728.16 se integran de 432,168,235.22 de “Otros Ingresos para Pago (Bonos) Amortización de Capital” de las Series “A” , “B” y Subord</w:t>
      </w:r>
      <w:r w:rsidRPr="004F039C">
        <w:rPr>
          <w:rFonts w:ascii="HelveticaNeueLT Std" w:hAnsi="HelveticaNeueLT Std"/>
        </w:rPr>
        <w:t>inada “C” de los Certificados Bursátiles del Fideicomiso de Cobranza; 1,627,377,959.85, de Remanentes e Intereses del Fideicomiso de Cobranza, 10,949,924.31, de los Pasivos que se generen como Resultado de Erogaciones que se Devenguen en el Ejercicio Fisca</w:t>
      </w:r>
      <w:r w:rsidRPr="004F039C">
        <w:rPr>
          <w:rFonts w:ascii="HelveticaNeueLT Std" w:hAnsi="HelveticaNeueLT Std"/>
        </w:rPr>
        <w:t>l pero que queden Pendiente de Liquidar al Cierre del mismo,  66,862,608.78 para el Suministro de Sistemas de Archivo en Oficinas Registrales y Archivo General de Notarias. En el renglón Otros Ingresos Presupuestarios No Contables de 5,945,106.87 de la ade</w:t>
      </w:r>
      <w:r w:rsidRPr="004F039C">
        <w:rPr>
          <w:rFonts w:ascii="HelveticaNeueLT Std" w:hAnsi="HelveticaNeueLT Std"/>
        </w:rPr>
        <w:t>cuación para el refrendo (sólo para afectación presupuestal), de recursos para la Construcción y Equipamiento de la segunda Etapa del Archivo General de Notarias (Conclusión).</w:t>
      </w:r>
    </w:p>
    <w:p w14:paraId="0A24851D" w14:textId="77777777" w:rsidR="004F660A" w:rsidRPr="004F039C" w:rsidRDefault="004F660A">
      <w:pPr>
        <w:rPr>
          <w:rFonts w:ascii="HelveticaNeueLT Std" w:hAnsi="HelveticaNeueLT Std"/>
          <w:highlight w:val="yellow"/>
        </w:rPr>
      </w:pPr>
    </w:p>
    <w:p w14:paraId="36136541" w14:textId="7E85B63D" w:rsidR="004F660A" w:rsidRPr="004F039C" w:rsidRDefault="00F768C3" w:rsidP="00F768C3">
      <w:pPr>
        <w:jc w:val="center"/>
        <w:rPr>
          <w:rFonts w:ascii="HelveticaNeueLT Std" w:hAnsi="HelveticaNeueLT Std"/>
        </w:rPr>
      </w:pPr>
      <w:r w:rsidRPr="004F039C">
        <w:rPr>
          <w:rFonts w:ascii="HelveticaNeueLT Std" w:hAnsi="HelveticaNeueLT Std"/>
          <w:noProof/>
        </w:rPr>
        <w:lastRenderedPageBreak/>
        <w:drawing>
          <wp:inline distT="0" distB="0" distL="0" distR="0" wp14:anchorId="07D95D95" wp14:editId="056713C4">
            <wp:extent cx="5408578" cy="5340350"/>
            <wp:effectExtent l="0" t="0" r="190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1176" cy="5342915"/>
                    </a:xfrm>
                    <a:prstGeom prst="rect">
                      <a:avLst/>
                    </a:prstGeom>
                    <a:noFill/>
                    <a:ln>
                      <a:noFill/>
                    </a:ln>
                  </pic:spPr>
                </pic:pic>
              </a:graphicData>
            </a:graphic>
          </wp:inline>
        </w:drawing>
      </w:r>
    </w:p>
    <w:p w14:paraId="21203F8A" w14:textId="48496642" w:rsidR="004F660A" w:rsidRPr="004F039C" w:rsidRDefault="004F660A">
      <w:pPr>
        <w:tabs>
          <w:tab w:val="left" w:pos="1215"/>
        </w:tabs>
        <w:jc w:val="center"/>
        <w:rPr>
          <w:rFonts w:ascii="HelveticaNeueLT Std" w:hAnsi="HelveticaNeueLT Std"/>
        </w:rPr>
      </w:pPr>
    </w:p>
    <w:p w14:paraId="5B96E60A" w14:textId="48C18BFF" w:rsidR="00327755" w:rsidRPr="004F039C" w:rsidRDefault="00EB41CD">
      <w:pPr>
        <w:tabs>
          <w:tab w:val="left" w:pos="1215"/>
        </w:tabs>
        <w:jc w:val="both"/>
        <w:rPr>
          <w:rFonts w:ascii="HelveticaNeueLT Std" w:hAnsi="HelveticaNeueLT Std"/>
        </w:rPr>
      </w:pPr>
      <w:r w:rsidRPr="004F039C">
        <w:rPr>
          <w:rFonts w:ascii="HelveticaNeueLT Std" w:hAnsi="HelveticaNeueLT Std"/>
          <w:b/>
        </w:rPr>
        <w:t>Conciliación entre los Egresos Presupuestarios y los Gastos Contables</w:t>
      </w:r>
      <w:r w:rsidRPr="004F039C">
        <w:rPr>
          <w:rFonts w:ascii="HelveticaNeueLT Std" w:hAnsi="HelveticaNeueLT Std"/>
        </w:rPr>
        <w:t xml:space="preserve">. </w:t>
      </w:r>
      <w:r w:rsidR="00327755" w:rsidRPr="004F039C">
        <w:rPr>
          <w:rFonts w:ascii="HelveticaNeueLT Std" w:hAnsi="HelveticaNeueLT Std"/>
        </w:rPr>
        <w:t xml:space="preserve">El renglón de Otros Egresos Presupuestales No Contables por 1,257,276,367.63, de las Transferencias al Fideicomiso de Cobranza, las </w:t>
      </w:r>
      <w:r w:rsidR="00060A5F" w:rsidRPr="004F039C">
        <w:rPr>
          <w:rFonts w:ascii="HelveticaNeueLT Std" w:hAnsi="HelveticaNeueLT Std"/>
        </w:rPr>
        <w:t>cuales fueron</w:t>
      </w:r>
      <w:r w:rsidR="00327755" w:rsidRPr="004F039C">
        <w:rPr>
          <w:rFonts w:ascii="HelveticaNeueLT Std" w:hAnsi="HelveticaNeueLT Std"/>
        </w:rPr>
        <w:t xml:space="preserve"> disminuidas por los remanentes </w:t>
      </w:r>
      <w:r w:rsidR="00060A5F" w:rsidRPr="004F039C">
        <w:rPr>
          <w:rFonts w:ascii="HelveticaNeueLT Std" w:hAnsi="HelveticaNeueLT Std"/>
        </w:rPr>
        <w:t>recibidos en</w:t>
      </w:r>
      <w:r w:rsidR="00327755" w:rsidRPr="004F039C">
        <w:rPr>
          <w:rFonts w:ascii="HelveticaNeueLT Std" w:hAnsi="HelveticaNeueLT Std"/>
        </w:rPr>
        <w:t xml:space="preserve"> el mes de octubre. En el rubro de Otros Gastos Contables No Presupuestales por se integra de: </w:t>
      </w:r>
      <w:r w:rsidR="00060A5F" w:rsidRPr="004F039C">
        <w:rPr>
          <w:rFonts w:ascii="HelveticaNeueLT Std" w:hAnsi="HelveticaNeueLT Std"/>
        </w:rPr>
        <w:t>4,499,847.84 por</w:t>
      </w:r>
      <w:r w:rsidR="00327755" w:rsidRPr="004F039C">
        <w:rPr>
          <w:rFonts w:ascii="HelveticaNeueLT Std" w:hAnsi="HelveticaNeueLT Std"/>
        </w:rPr>
        <w:t xml:space="preserve"> la transferencia al GEM, de los remanentes del Programa de Regularización de Tenencia de la Tierra 2021.</w:t>
      </w:r>
    </w:p>
    <w:p w14:paraId="3C97C43B" w14:textId="77777777" w:rsidR="004F660A" w:rsidRPr="004F039C" w:rsidRDefault="004F660A">
      <w:pPr>
        <w:tabs>
          <w:tab w:val="left" w:pos="1215"/>
        </w:tabs>
        <w:jc w:val="both"/>
        <w:rPr>
          <w:rFonts w:ascii="HelveticaNeueLT Std" w:hAnsi="HelveticaNeueLT Std"/>
        </w:rPr>
      </w:pPr>
    </w:p>
    <w:p w14:paraId="254FF250" w14:textId="77777777" w:rsidR="004F660A" w:rsidRPr="004F039C" w:rsidRDefault="00EB41CD">
      <w:pPr>
        <w:spacing w:line="240" w:lineRule="auto"/>
        <w:rPr>
          <w:rFonts w:ascii="HelveticaNeueLT Std" w:hAnsi="HelveticaNeueLT Std"/>
          <w:b/>
          <w:color w:val="000000"/>
        </w:rPr>
      </w:pPr>
      <w:r w:rsidRPr="004F039C">
        <w:rPr>
          <w:rFonts w:ascii="HelveticaNeueLT Std" w:hAnsi="HelveticaNeueLT Std"/>
          <w:b/>
          <w:color w:val="000000"/>
        </w:rPr>
        <w:t>b) NOTAS DE MEMORIA (CUENTAS DE ORDEN)</w:t>
      </w:r>
    </w:p>
    <w:p w14:paraId="070FA99A" w14:textId="77777777" w:rsidR="004F660A" w:rsidRPr="004F039C" w:rsidRDefault="00EB41CD">
      <w:pPr>
        <w:tabs>
          <w:tab w:val="left" w:pos="8064"/>
        </w:tabs>
        <w:spacing w:line="276" w:lineRule="auto"/>
        <w:jc w:val="both"/>
        <w:rPr>
          <w:rFonts w:ascii="HelveticaNeueLT Std" w:hAnsi="HelveticaNeueLT Std"/>
        </w:rPr>
      </w:pPr>
      <w:r w:rsidRPr="004F039C">
        <w:rPr>
          <w:rFonts w:ascii="HelveticaNeueLT Std" w:hAnsi="HelveticaNeueLT Std"/>
        </w:rPr>
        <w:t>Las Cuentas de Orden Contables y Presupuestarias se integran de la sigu</w:t>
      </w:r>
      <w:r w:rsidRPr="004F039C">
        <w:rPr>
          <w:rFonts w:ascii="HelveticaNeueLT Std" w:hAnsi="HelveticaNeueLT Std"/>
        </w:rPr>
        <w:t>iente forma:</w:t>
      </w:r>
    </w:p>
    <w:p w14:paraId="7EEA37CE" w14:textId="0DC8B093" w:rsidR="004F660A" w:rsidRPr="004F039C" w:rsidRDefault="00727280" w:rsidP="00F71ECF">
      <w:pPr>
        <w:tabs>
          <w:tab w:val="left" w:pos="8064"/>
        </w:tabs>
        <w:spacing w:line="276" w:lineRule="auto"/>
        <w:jc w:val="center"/>
        <w:rPr>
          <w:rFonts w:ascii="HelveticaNeueLT Std" w:hAnsi="HelveticaNeueLT Std"/>
        </w:rPr>
      </w:pPr>
      <w:r w:rsidRPr="004F039C">
        <w:rPr>
          <w:rFonts w:ascii="HelveticaNeueLT Std" w:hAnsi="HelveticaNeueLT Std"/>
          <w:noProof/>
        </w:rPr>
        <w:lastRenderedPageBreak/>
        <w:drawing>
          <wp:inline distT="0" distB="0" distL="0" distR="0" wp14:anchorId="332BD93C" wp14:editId="145E02B6">
            <wp:extent cx="4921139" cy="1770689"/>
            <wp:effectExtent l="0" t="0" r="0" b="127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1015" cy="1781439"/>
                    </a:xfrm>
                    <a:prstGeom prst="rect">
                      <a:avLst/>
                    </a:prstGeom>
                    <a:noFill/>
                    <a:ln>
                      <a:noFill/>
                    </a:ln>
                  </pic:spPr>
                </pic:pic>
              </a:graphicData>
            </a:graphic>
          </wp:inline>
        </w:drawing>
      </w:r>
    </w:p>
    <w:p w14:paraId="7A6BE93F" w14:textId="77777777" w:rsidR="004F660A" w:rsidRPr="004F039C" w:rsidRDefault="00EB41CD">
      <w:pPr>
        <w:tabs>
          <w:tab w:val="left" w:pos="8064"/>
        </w:tabs>
        <w:spacing w:line="276" w:lineRule="auto"/>
        <w:jc w:val="both"/>
        <w:rPr>
          <w:rFonts w:ascii="HelveticaNeueLT Std" w:hAnsi="HelveticaNeueLT Std"/>
        </w:rPr>
      </w:pPr>
      <w:r w:rsidRPr="004F039C">
        <w:rPr>
          <w:rFonts w:ascii="HelveticaNeueLT Std" w:hAnsi="HelveticaNeueLT Std"/>
          <w:noProof/>
          <w:color w:val="FFFF00"/>
        </w:rPr>
        <w:drawing>
          <wp:anchor distT="0" distB="0" distL="114300" distR="114300" simplePos="0" relativeHeight="251658240" behindDoc="0" locked="0" layoutInCell="1" hidden="0" allowOverlap="1" wp14:anchorId="22917BC7" wp14:editId="628FE56B">
            <wp:simplePos x="0" y="0"/>
            <wp:positionH relativeFrom="column">
              <wp:posOffset>180340</wp:posOffset>
            </wp:positionH>
            <wp:positionV relativeFrom="paragraph">
              <wp:posOffset>184513</wp:posOffset>
            </wp:positionV>
            <wp:extent cx="6218627" cy="4680857"/>
            <wp:effectExtent l="0" t="0" r="0" b="5715"/>
            <wp:wrapNone/>
            <wp:docPr id="5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t="7430" b="2579"/>
                    <a:stretch>
                      <a:fillRect/>
                    </a:stretch>
                  </pic:blipFill>
                  <pic:spPr>
                    <a:xfrm>
                      <a:off x="0" y="0"/>
                      <a:ext cx="6223514" cy="4684535"/>
                    </a:xfrm>
                    <a:prstGeom prst="rect">
                      <a:avLst/>
                    </a:prstGeom>
                    <a:ln/>
                  </pic:spPr>
                </pic:pic>
              </a:graphicData>
            </a:graphic>
            <wp14:sizeRelV relativeFrom="margin">
              <wp14:pctHeight>0</wp14:pctHeight>
            </wp14:sizeRelV>
          </wp:anchor>
        </w:drawing>
      </w:r>
    </w:p>
    <w:p w14:paraId="18E00934" w14:textId="77777777" w:rsidR="004F660A" w:rsidRPr="004F039C" w:rsidRDefault="004F660A">
      <w:pPr>
        <w:rPr>
          <w:rFonts w:ascii="HelveticaNeueLT Std" w:hAnsi="HelveticaNeueLT Std"/>
        </w:rPr>
      </w:pPr>
    </w:p>
    <w:p w14:paraId="65CDD858" w14:textId="77777777" w:rsidR="004F660A" w:rsidRPr="004F039C" w:rsidRDefault="004F660A">
      <w:pPr>
        <w:rPr>
          <w:rFonts w:ascii="HelveticaNeueLT Std" w:hAnsi="HelveticaNeueLT Std"/>
        </w:rPr>
      </w:pPr>
    </w:p>
    <w:p w14:paraId="24F19A9C" w14:textId="77777777" w:rsidR="004F660A" w:rsidRPr="004F039C" w:rsidRDefault="004F660A">
      <w:pPr>
        <w:rPr>
          <w:rFonts w:ascii="HelveticaNeueLT Std" w:hAnsi="HelveticaNeueLT Std"/>
        </w:rPr>
      </w:pPr>
    </w:p>
    <w:p w14:paraId="63C52910" w14:textId="77777777" w:rsidR="004F660A" w:rsidRPr="004F039C" w:rsidRDefault="004F660A">
      <w:pPr>
        <w:rPr>
          <w:rFonts w:ascii="HelveticaNeueLT Std" w:hAnsi="HelveticaNeueLT Std"/>
        </w:rPr>
      </w:pPr>
    </w:p>
    <w:p w14:paraId="1DC53537" w14:textId="77777777" w:rsidR="004F660A" w:rsidRPr="004F039C" w:rsidRDefault="004F660A">
      <w:pPr>
        <w:rPr>
          <w:rFonts w:ascii="HelveticaNeueLT Std" w:hAnsi="HelveticaNeueLT Std"/>
        </w:rPr>
      </w:pPr>
    </w:p>
    <w:p w14:paraId="31972FC3" w14:textId="77777777" w:rsidR="004F660A" w:rsidRPr="004F039C" w:rsidRDefault="004F660A">
      <w:pPr>
        <w:rPr>
          <w:rFonts w:ascii="HelveticaNeueLT Std" w:hAnsi="HelveticaNeueLT Std"/>
        </w:rPr>
      </w:pPr>
    </w:p>
    <w:p w14:paraId="101008D6" w14:textId="77777777" w:rsidR="004F660A" w:rsidRPr="004F039C" w:rsidRDefault="004F660A">
      <w:pPr>
        <w:rPr>
          <w:rFonts w:ascii="HelveticaNeueLT Std" w:hAnsi="HelveticaNeueLT Std"/>
        </w:rPr>
      </w:pPr>
    </w:p>
    <w:p w14:paraId="522FA7AC" w14:textId="77777777" w:rsidR="004F660A" w:rsidRPr="004F039C" w:rsidRDefault="004F660A">
      <w:pPr>
        <w:rPr>
          <w:rFonts w:ascii="HelveticaNeueLT Std" w:hAnsi="HelveticaNeueLT Std"/>
        </w:rPr>
      </w:pPr>
    </w:p>
    <w:p w14:paraId="09405897" w14:textId="77777777" w:rsidR="004F660A" w:rsidRPr="004F039C" w:rsidRDefault="004F660A">
      <w:pPr>
        <w:rPr>
          <w:rFonts w:ascii="HelveticaNeueLT Std" w:hAnsi="HelveticaNeueLT Std"/>
        </w:rPr>
      </w:pPr>
    </w:p>
    <w:p w14:paraId="049349F0" w14:textId="77777777" w:rsidR="004F660A" w:rsidRPr="004F039C" w:rsidRDefault="004F660A">
      <w:pPr>
        <w:rPr>
          <w:rFonts w:ascii="HelveticaNeueLT Std" w:hAnsi="HelveticaNeueLT Std"/>
        </w:rPr>
      </w:pPr>
    </w:p>
    <w:p w14:paraId="21882EB1" w14:textId="77777777" w:rsidR="004F660A" w:rsidRPr="004F039C" w:rsidRDefault="004F660A">
      <w:pPr>
        <w:rPr>
          <w:rFonts w:ascii="HelveticaNeueLT Std" w:hAnsi="HelveticaNeueLT Std"/>
        </w:rPr>
      </w:pPr>
    </w:p>
    <w:p w14:paraId="0074001D" w14:textId="77777777" w:rsidR="004F660A" w:rsidRPr="004F039C" w:rsidRDefault="004F660A">
      <w:pPr>
        <w:rPr>
          <w:rFonts w:ascii="HelveticaNeueLT Std" w:hAnsi="HelveticaNeueLT Std"/>
        </w:rPr>
      </w:pPr>
    </w:p>
    <w:p w14:paraId="7D351AC5" w14:textId="77777777" w:rsidR="004F660A" w:rsidRPr="004F039C" w:rsidRDefault="004F660A">
      <w:pPr>
        <w:rPr>
          <w:rFonts w:ascii="HelveticaNeueLT Std" w:hAnsi="HelveticaNeueLT Std"/>
        </w:rPr>
      </w:pPr>
    </w:p>
    <w:p w14:paraId="7950E748" w14:textId="77777777" w:rsidR="004F660A" w:rsidRPr="004F039C" w:rsidRDefault="004F660A">
      <w:pPr>
        <w:rPr>
          <w:rFonts w:ascii="HelveticaNeueLT Std" w:hAnsi="HelveticaNeueLT Std"/>
        </w:rPr>
      </w:pPr>
    </w:p>
    <w:p w14:paraId="2FC5BA4E" w14:textId="77777777" w:rsidR="004F660A" w:rsidRPr="004F039C" w:rsidRDefault="004F660A">
      <w:pPr>
        <w:rPr>
          <w:rFonts w:ascii="HelveticaNeueLT Std" w:hAnsi="HelveticaNeueLT Std"/>
        </w:rPr>
      </w:pPr>
    </w:p>
    <w:p w14:paraId="4F8913A2" w14:textId="77777777" w:rsidR="004F660A" w:rsidRPr="004F039C" w:rsidRDefault="00EB41CD">
      <w:pPr>
        <w:tabs>
          <w:tab w:val="left" w:pos="927"/>
        </w:tabs>
        <w:spacing w:line="276" w:lineRule="auto"/>
        <w:jc w:val="both"/>
        <w:rPr>
          <w:rFonts w:ascii="HelveticaNeueLT Std" w:hAnsi="HelveticaNeueLT Std"/>
        </w:rPr>
      </w:pPr>
      <w:r w:rsidRPr="004F039C">
        <w:rPr>
          <w:rFonts w:ascii="HelveticaNeueLT Std" w:hAnsi="HelveticaNeueLT Std"/>
        </w:rPr>
        <w:tab/>
      </w:r>
    </w:p>
    <w:p w14:paraId="58C30AC3" w14:textId="77777777" w:rsidR="004F660A" w:rsidRPr="004F039C" w:rsidRDefault="00EB41CD">
      <w:pPr>
        <w:tabs>
          <w:tab w:val="left" w:pos="8064"/>
        </w:tabs>
        <w:spacing w:line="276" w:lineRule="auto"/>
        <w:jc w:val="both"/>
        <w:rPr>
          <w:rFonts w:ascii="HelveticaNeueLT Std" w:hAnsi="HelveticaNeueLT Std"/>
        </w:rPr>
      </w:pPr>
      <w:r w:rsidRPr="004F039C">
        <w:rPr>
          <w:rFonts w:ascii="HelveticaNeueLT Std" w:hAnsi="HelveticaNeueLT Std"/>
        </w:rPr>
        <w:br w:type="page"/>
      </w:r>
      <w:r w:rsidRPr="004F039C">
        <w:rPr>
          <w:rFonts w:ascii="HelveticaNeueLT Std" w:hAnsi="HelveticaNeueLT Std"/>
        </w:rPr>
        <w:lastRenderedPageBreak/>
        <w:t>La comunicación de la asignación del Presupuesto Autorizado para el Ejercicio Fiscal 2022, se realizó mediante oficio No. 20704001L-0062/2022, de fecha 08 de febrero de 2022, emitido por la Secretaría de Finanzas, con el cual se aprueba la asignación presu</w:t>
      </w:r>
      <w:r w:rsidRPr="004F039C">
        <w:rPr>
          <w:rFonts w:ascii="HelveticaNeueLT Std" w:hAnsi="HelveticaNeueLT Std"/>
        </w:rPr>
        <w:t xml:space="preserve">puestal autorizada por la LXI Legislatura local al Instituto de la Función Registral del Estado de México, que asciende a la cantidad de </w:t>
      </w:r>
      <w:r w:rsidRPr="004F039C">
        <w:rPr>
          <w:rFonts w:ascii="HelveticaNeueLT Std" w:hAnsi="HelveticaNeueLT Std"/>
          <w:b/>
        </w:rPr>
        <w:t>2,398,812,320.00,</w:t>
      </w:r>
      <w:r w:rsidRPr="004F039C">
        <w:rPr>
          <w:rFonts w:ascii="HelveticaNeueLT Std" w:hAnsi="HelveticaNeueLT Std"/>
        </w:rPr>
        <w:t xml:space="preserve"> adicionalmente</w:t>
      </w:r>
      <w:r w:rsidRPr="004F039C">
        <w:rPr>
          <w:rFonts w:ascii="HelveticaNeueLT Std" w:hAnsi="HelveticaNeueLT Std"/>
          <w:b/>
        </w:rPr>
        <w:t xml:space="preserve"> s</w:t>
      </w:r>
      <w:r w:rsidRPr="004F039C">
        <w:rPr>
          <w:rFonts w:ascii="HelveticaNeueLT Std" w:hAnsi="HelveticaNeueLT Std"/>
        </w:rPr>
        <w:t>e tuvo una asignación y autorización presupuestal de 38,658,686.65, autorizada con el</w:t>
      </w:r>
      <w:r w:rsidRPr="004F039C">
        <w:rPr>
          <w:rFonts w:ascii="HelveticaNeueLT Std" w:hAnsi="HelveticaNeueLT Std"/>
        </w:rPr>
        <w:t xml:space="preserve"> oficio No. 20704000L-APAD-0017/22, del 10 de febrero de 2022, signado por el Subsecretario de Planeación y Presupuesto, con cargo al Programa de Acciones para el Desarrollo (PAD), dando un total de 2,437,471,006.65, distribuido de la siguiente manera:</w:t>
      </w:r>
    </w:p>
    <w:p w14:paraId="4D80BDAB" w14:textId="77777777" w:rsidR="004F660A" w:rsidRPr="004F039C" w:rsidRDefault="00EB41CD">
      <w:pPr>
        <w:tabs>
          <w:tab w:val="left" w:pos="8064"/>
        </w:tabs>
        <w:spacing w:line="276" w:lineRule="auto"/>
        <w:jc w:val="center"/>
        <w:rPr>
          <w:rFonts w:ascii="HelveticaNeueLT Std" w:hAnsi="HelveticaNeueLT Std"/>
        </w:rPr>
      </w:pPr>
      <w:r w:rsidRPr="004F039C">
        <w:rPr>
          <w:rFonts w:ascii="HelveticaNeueLT Std" w:hAnsi="HelveticaNeueLT Std"/>
          <w:noProof/>
        </w:rPr>
        <w:drawing>
          <wp:inline distT="0" distB="0" distL="0" distR="0" wp14:anchorId="1A747A77" wp14:editId="018AE7E6">
            <wp:extent cx="6303881" cy="1757179"/>
            <wp:effectExtent l="0" t="0" r="0" b="0"/>
            <wp:docPr id="54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2"/>
                    <a:srcRect/>
                    <a:stretch>
                      <a:fillRect/>
                    </a:stretch>
                  </pic:blipFill>
                  <pic:spPr>
                    <a:xfrm>
                      <a:off x="0" y="0"/>
                      <a:ext cx="6303881" cy="1757179"/>
                    </a:xfrm>
                    <a:prstGeom prst="rect">
                      <a:avLst/>
                    </a:prstGeom>
                    <a:ln/>
                  </pic:spPr>
                </pic:pic>
              </a:graphicData>
            </a:graphic>
          </wp:inline>
        </w:drawing>
      </w:r>
    </w:p>
    <w:p w14:paraId="5EF9395D" w14:textId="77777777" w:rsidR="004F660A" w:rsidRPr="004F039C" w:rsidRDefault="00EB41CD">
      <w:pPr>
        <w:spacing w:line="240" w:lineRule="auto"/>
        <w:jc w:val="both"/>
        <w:rPr>
          <w:rFonts w:ascii="HelveticaNeueLT Std" w:hAnsi="HelveticaNeueLT Std"/>
        </w:rPr>
      </w:pPr>
      <w:bookmarkStart w:id="11" w:name="_heading=h.1fob9te" w:colFirst="0" w:colLast="0"/>
      <w:bookmarkEnd w:id="11"/>
      <w:r w:rsidRPr="004F039C">
        <w:rPr>
          <w:rFonts w:ascii="HelveticaNeueLT Std" w:hAnsi="HelveticaNeueLT Std"/>
        </w:rPr>
        <w:t>E</w:t>
      </w:r>
      <w:r w:rsidRPr="004F039C">
        <w:rPr>
          <w:rFonts w:ascii="HelveticaNeueLT Std" w:hAnsi="HelveticaNeueLT Std"/>
        </w:rPr>
        <w:t xml:space="preserve">l presupuesto se ha modificado para el presente ejercicio dando un total de </w:t>
      </w:r>
      <w:r w:rsidRPr="004F039C">
        <w:rPr>
          <w:rFonts w:ascii="HelveticaNeueLT Std" w:hAnsi="HelveticaNeueLT Std"/>
          <w:b/>
          <w:color w:val="000000"/>
        </w:rPr>
        <w:t>4,466,961,329.57</w:t>
      </w:r>
      <w:r w:rsidRPr="004F039C">
        <w:rPr>
          <w:rFonts w:ascii="HelveticaNeueLT Std" w:hAnsi="HelveticaNeueLT Std"/>
          <w:b/>
        </w:rPr>
        <w:t>,</w:t>
      </w:r>
      <w:r w:rsidRPr="004F039C">
        <w:rPr>
          <w:rFonts w:ascii="HelveticaNeueLT Std" w:hAnsi="HelveticaNeueLT Std"/>
        </w:rPr>
        <w:t xml:space="preserve"> de acuerdo con las siguientes adecuaciones:</w:t>
      </w:r>
    </w:p>
    <w:p w14:paraId="1A1A8260" w14:textId="77777777" w:rsidR="004F660A" w:rsidRPr="004F039C" w:rsidRDefault="00EB41CD">
      <w:pPr>
        <w:tabs>
          <w:tab w:val="left" w:pos="8064"/>
        </w:tabs>
        <w:spacing w:line="276" w:lineRule="auto"/>
        <w:jc w:val="center"/>
        <w:rPr>
          <w:rFonts w:ascii="HelveticaNeueLT Std" w:hAnsi="HelveticaNeueLT Std"/>
        </w:rPr>
      </w:pPr>
      <w:r w:rsidRPr="004F039C">
        <w:rPr>
          <w:rFonts w:ascii="HelveticaNeueLT Std" w:hAnsi="HelveticaNeueLT Std"/>
          <w:noProof/>
        </w:rPr>
        <w:drawing>
          <wp:anchor distT="0" distB="0" distL="0" distR="0" simplePos="0" relativeHeight="251659264" behindDoc="1" locked="0" layoutInCell="1" hidden="0" allowOverlap="1" wp14:anchorId="48EF0CAA" wp14:editId="1A90DD63">
            <wp:simplePos x="0" y="0"/>
            <wp:positionH relativeFrom="column">
              <wp:posOffset>0</wp:posOffset>
            </wp:positionH>
            <wp:positionV relativeFrom="paragraph">
              <wp:posOffset>12065</wp:posOffset>
            </wp:positionV>
            <wp:extent cx="6591300" cy="3257550"/>
            <wp:effectExtent l="0" t="0" r="0" b="3175"/>
            <wp:wrapNone/>
            <wp:docPr id="52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a:stretch>
                      <a:fillRect/>
                    </a:stretch>
                  </pic:blipFill>
                  <pic:spPr>
                    <a:xfrm>
                      <a:off x="0" y="0"/>
                      <a:ext cx="6591300" cy="3257550"/>
                    </a:xfrm>
                    <a:prstGeom prst="rect">
                      <a:avLst/>
                    </a:prstGeom>
                    <a:ln/>
                  </pic:spPr>
                </pic:pic>
              </a:graphicData>
            </a:graphic>
            <wp14:sizeRelV relativeFrom="margin">
              <wp14:pctHeight>0</wp14:pctHeight>
            </wp14:sizeRelV>
          </wp:anchor>
        </w:drawing>
      </w:r>
    </w:p>
    <w:p w14:paraId="06084B56" w14:textId="77777777" w:rsidR="004F660A" w:rsidRPr="004F039C" w:rsidRDefault="00EB41CD">
      <w:pPr>
        <w:rPr>
          <w:rFonts w:ascii="HelveticaNeueLT Std" w:hAnsi="HelveticaNeueLT Std"/>
        </w:rPr>
      </w:pPr>
      <w:r w:rsidRPr="004F039C">
        <w:rPr>
          <w:rFonts w:ascii="HelveticaNeueLT Std" w:hAnsi="HelveticaNeueLT Std"/>
        </w:rPr>
        <w:br w:type="page"/>
      </w:r>
      <w:r w:rsidRPr="004F039C">
        <w:rPr>
          <w:rFonts w:ascii="HelveticaNeueLT Std" w:hAnsi="HelveticaNeueLT Std"/>
          <w:b/>
        </w:rPr>
        <w:lastRenderedPageBreak/>
        <w:t>Estado Comparativo del Ejercicio del Presupuesto de Egresos:</w:t>
      </w:r>
      <w:r w:rsidRPr="004F039C">
        <w:rPr>
          <w:rFonts w:ascii="HelveticaNeueLT Std" w:hAnsi="HelveticaNeueLT Std"/>
        </w:rPr>
        <w:t xml:space="preserve"> </w:t>
      </w:r>
    </w:p>
    <w:p w14:paraId="073EC709" w14:textId="77777777" w:rsidR="004F660A" w:rsidRPr="004F039C" w:rsidRDefault="00EB41CD">
      <w:pPr>
        <w:tabs>
          <w:tab w:val="left" w:pos="6420"/>
        </w:tabs>
        <w:spacing w:line="259" w:lineRule="auto"/>
        <w:rPr>
          <w:rFonts w:ascii="HelveticaNeueLT Std" w:hAnsi="HelveticaNeueLT Std"/>
          <w:b/>
        </w:rPr>
      </w:pPr>
      <w:r w:rsidRPr="004F039C">
        <w:rPr>
          <w:rFonts w:ascii="HelveticaNeueLT Std" w:hAnsi="HelveticaNeueLT Std"/>
          <w:noProof/>
        </w:rPr>
        <w:drawing>
          <wp:inline distT="0" distB="0" distL="0" distR="0" wp14:anchorId="5C671849" wp14:editId="7A1B8C9F">
            <wp:extent cx="6392810" cy="1220187"/>
            <wp:effectExtent l="0" t="0" r="0" b="0"/>
            <wp:docPr id="5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4"/>
                    <a:srcRect/>
                    <a:stretch>
                      <a:fillRect/>
                    </a:stretch>
                  </pic:blipFill>
                  <pic:spPr>
                    <a:xfrm>
                      <a:off x="0" y="0"/>
                      <a:ext cx="6392810" cy="1220187"/>
                    </a:xfrm>
                    <a:prstGeom prst="rect">
                      <a:avLst/>
                    </a:prstGeom>
                    <a:ln/>
                  </pic:spPr>
                </pic:pic>
              </a:graphicData>
            </a:graphic>
          </wp:inline>
        </w:drawing>
      </w:r>
    </w:p>
    <w:p w14:paraId="0E665EDE" w14:textId="77777777" w:rsidR="004F660A" w:rsidRPr="004F039C" w:rsidRDefault="00EB41CD">
      <w:pPr>
        <w:tabs>
          <w:tab w:val="left" w:pos="488"/>
        </w:tabs>
        <w:spacing w:line="276" w:lineRule="auto"/>
        <w:jc w:val="both"/>
        <w:rPr>
          <w:rFonts w:ascii="HelveticaNeueLT Std" w:hAnsi="HelveticaNeueLT Std"/>
        </w:rPr>
      </w:pPr>
      <w:bookmarkStart w:id="12" w:name="_Hlk129695406"/>
      <w:r w:rsidRPr="004F039C">
        <w:rPr>
          <w:rFonts w:ascii="HelveticaNeueLT Std" w:hAnsi="HelveticaNeueLT Std"/>
        </w:rPr>
        <w:t xml:space="preserve">El presupuesto de egresos aprobado anual fue de </w:t>
      </w:r>
      <w:r w:rsidRPr="004F039C">
        <w:rPr>
          <w:rFonts w:ascii="HelveticaNeueLT Std" w:hAnsi="HelveticaNeueLT Std"/>
        </w:rPr>
        <w:t xml:space="preserve">2,398’812,320.00, el presupuesto modificado al mes es de 4,466,961,329.57 y se ha ejercido al mes que se analiza la cantidad de 4,410,456,143.71; por lo tanto, se observa una variación absoluta de 56,505,185.86, que representa el 1.26 por ciento contra el </w:t>
      </w:r>
      <w:r w:rsidRPr="004F039C">
        <w:rPr>
          <w:rFonts w:ascii="HelveticaNeueLT Std" w:hAnsi="HelveticaNeueLT Std"/>
        </w:rPr>
        <w:t>presupuesto acumulado al mes modificado, principalmente por lo siguiente:</w:t>
      </w:r>
    </w:p>
    <w:p w14:paraId="08521FC7" w14:textId="77777777" w:rsidR="004F660A" w:rsidRPr="004F039C" w:rsidRDefault="00EB41CD">
      <w:pPr>
        <w:spacing w:line="276" w:lineRule="auto"/>
        <w:jc w:val="both"/>
        <w:rPr>
          <w:rFonts w:ascii="HelveticaNeueLT Std" w:hAnsi="HelveticaNeueLT Std"/>
        </w:rPr>
      </w:pPr>
      <w:r w:rsidRPr="004F039C">
        <w:rPr>
          <w:rFonts w:ascii="HelveticaNeueLT Std" w:hAnsi="HelveticaNeueLT Std"/>
          <w:b/>
        </w:rPr>
        <w:t>En el Capítulo 1000 “Servicios Personales</w:t>
      </w:r>
      <w:r w:rsidRPr="004F039C">
        <w:rPr>
          <w:rFonts w:ascii="HelveticaNeueLT Std" w:hAnsi="HelveticaNeueLT Std"/>
        </w:rPr>
        <w:t>”.</w:t>
      </w:r>
      <w:r w:rsidRPr="004F039C">
        <w:rPr>
          <w:rFonts w:ascii="HelveticaNeueLT Std" w:hAnsi="HelveticaNeueLT Std"/>
          <w:b/>
        </w:rPr>
        <w:t xml:space="preserve"> –</w:t>
      </w:r>
      <w:r w:rsidRPr="004F039C">
        <w:rPr>
          <w:rFonts w:ascii="HelveticaNeueLT Std" w:hAnsi="HelveticaNeueLT Std"/>
        </w:rPr>
        <w:t xml:space="preserve"> El subejercicio obedece a que el presupuesto autorizado por la Secretaría de Finanzas es superior al Costo de la Plantilla de este Insti</w:t>
      </w:r>
      <w:r w:rsidRPr="004F039C">
        <w:rPr>
          <w:rFonts w:ascii="HelveticaNeueLT Std" w:hAnsi="HelveticaNeueLT Std"/>
        </w:rPr>
        <w:t>tuto.</w:t>
      </w:r>
    </w:p>
    <w:p w14:paraId="5199C073" w14:textId="77777777" w:rsidR="004F660A" w:rsidRPr="004F039C" w:rsidRDefault="00EB41CD">
      <w:pPr>
        <w:spacing w:line="276" w:lineRule="auto"/>
        <w:jc w:val="both"/>
        <w:rPr>
          <w:rFonts w:ascii="HelveticaNeueLT Std" w:hAnsi="HelveticaNeueLT Std"/>
        </w:rPr>
      </w:pPr>
      <w:r w:rsidRPr="004F039C">
        <w:rPr>
          <w:rFonts w:ascii="HelveticaNeueLT Std" w:hAnsi="HelveticaNeueLT Std"/>
          <w:b/>
        </w:rPr>
        <w:t>En el Capítulo 2000 “Materiales y Suministros”. –</w:t>
      </w:r>
      <w:r w:rsidRPr="004F039C">
        <w:rPr>
          <w:rFonts w:ascii="HelveticaNeueLT Std" w:hAnsi="HelveticaNeueLT Std"/>
        </w:rPr>
        <w:t xml:space="preserve"> Del monto total del subejercicio al cierre fiscal 2022, el 12% del presupuesto por ejercer corresponde a la economía generada por el cumplimiento a lo dispuesto en las Medidas de Austeridad y Contenci</w:t>
      </w:r>
      <w:r w:rsidRPr="004F039C">
        <w:rPr>
          <w:rFonts w:ascii="HelveticaNeueLT Std" w:hAnsi="HelveticaNeueLT Std"/>
        </w:rPr>
        <w:t>ón al Gasto Público del Poder Ejecutivo del Gobierno del Estado de México, publicadas en el Periodico Oficial del Estado Libre y Soberano de México "Gaceta del Gobierno" de fecha 14 de mayo de 2021.</w:t>
      </w:r>
    </w:p>
    <w:p w14:paraId="1278ED99" w14:textId="77777777" w:rsidR="004F660A" w:rsidRPr="004F039C" w:rsidRDefault="00EB41CD">
      <w:pPr>
        <w:spacing w:line="276" w:lineRule="auto"/>
        <w:jc w:val="both"/>
        <w:rPr>
          <w:rFonts w:ascii="HelveticaNeueLT Std" w:hAnsi="HelveticaNeueLT Std"/>
        </w:rPr>
      </w:pPr>
      <w:r w:rsidRPr="004F039C">
        <w:rPr>
          <w:rFonts w:ascii="HelveticaNeueLT Std" w:hAnsi="HelveticaNeueLT Std"/>
        </w:rPr>
        <w:t>Adicional a lo antes descrito, las adquisiciones que se r</w:t>
      </w:r>
      <w:r w:rsidRPr="004F039C">
        <w:rPr>
          <w:rFonts w:ascii="HelveticaNeueLT Std" w:hAnsi="HelveticaNeueLT Std"/>
        </w:rPr>
        <w:t>ealizaron en su momento fueron substanciadas y contratadas a un menor precio de lo presupuestado, y por consiguiente impacta en el subejercicio acumulado al cierre del ejercicio 2022, lo cual es considerada como un ahorro.</w:t>
      </w:r>
    </w:p>
    <w:p w14:paraId="443FB6B0" w14:textId="77777777" w:rsidR="004F660A" w:rsidRPr="004F039C" w:rsidRDefault="00EB41CD">
      <w:pPr>
        <w:spacing w:line="276" w:lineRule="auto"/>
        <w:jc w:val="both"/>
        <w:rPr>
          <w:rFonts w:ascii="HelveticaNeueLT Std" w:hAnsi="HelveticaNeueLT Std"/>
        </w:rPr>
      </w:pPr>
      <w:r w:rsidRPr="004F039C">
        <w:rPr>
          <w:rFonts w:ascii="HelveticaNeueLT Std" w:hAnsi="HelveticaNeueLT Std"/>
          <w:b/>
        </w:rPr>
        <w:t>En el Capítulo 3000 “Servicios Ge</w:t>
      </w:r>
      <w:r w:rsidRPr="004F039C">
        <w:rPr>
          <w:rFonts w:ascii="HelveticaNeueLT Std" w:hAnsi="HelveticaNeueLT Std"/>
          <w:b/>
        </w:rPr>
        <w:t xml:space="preserve">nerales”.- </w:t>
      </w:r>
      <w:r w:rsidRPr="004F039C">
        <w:rPr>
          <w:rFonts w:ascii="HelveticaNeueLT Std" w:hAnsi="HelveticaNeueLT Std"/>
        </w:rPr>
        <w:t>Del monto total del subejercicio al cierre fiscal 2022, el 17 por ciento del presupuesto por ejercer corresponde a la economía generada por el cumplimiento a lo dispuesto en las Medidas de Austeridad y Contención al Gasto Público del Poder Ejecu</w:t>
      </w:r>
      <w:r w:rsidRPr="004F039C">
        <w:rPr>
          <w:rFonts w:ascii="HelveticaNeueLT Std" w:hAnsi="HelveticaNeueLT Std"/>
        </w:rPr>
        <w:t>tivo del Gobierno del Estado de México, publicadas en el Periodico Oficial del Estado Libre y Soberano de México "Gaceta del Gobierno" de fecha 14 de mayo de 2021.</w:t>
      </w:r>
    </w:p>
    <w:p w14:paraId="5B5048F0" w14:textId="77777777" w:rsidR="004F660A" w:rsidRPr="004F039C" w:rsidRDefault="00EB41CD">
      <w:pPr>
        <w:spacing w:line="276" w:lineRule="auto"/>
        <w:jc w:val="both"/>
        <w:rPr>
          <w:rFonts w:ascii="HelveticaNeueLT Std" w:hAnsi="HelveticaNeueLT Std"/>
        </w:rPr>
      </w:pPr>
      <w:r w:rsidRPr="004F039C">
        <w:rPr>
          <w:rFonts w:ascii="HelveticaNeueLT Std" w:hAnsi="HelveticaNeueLT Std"/>
        </w:rPr>
        <w:t>Adicional a lo antes descrito, las adquisiciones que se realizaron en su momento fueron subs</w:t>
      </w:r>
      <w:r w:rsidRPr="004F039C">
        <w:rPr>
          <w:rFonts w:ascii="HelveticaNeueLT Std" w:hAnsi="HelveticaNeueLT Std"/>
        </w:rPr>
        <w:t>tanciadas y contratadas a un menor precio de lo presupuestado, y por consiguiente impacta en el subejercicio acumulado al cierre del ejercicio 2022, lo cual es considerada como un ahorro.</w:t>
      </w:r>
    </w:p>
    <w:p w14:paraId="320B1893" w14:textId="77777777" w:rsidR="004F660A" w:rsidRPr="004F039C" w:rsidRDefault="00EB41CD">
      <w:pPr>
        <w:spacing w:line="276" w:lineRule="auto"/>
        <w:jc w:val="both"/>
        <w:rPr>
          <w:rFonts w:ascii="HelveticaNeueLT Std" w:hAnsi="HelveticaNeueLT Std"/>
        </w:rPr>
      </w:pPr>
      <w:r w:rsidRPr="004F039C">
        <w:rPr>
          <w:rFonts w:ascii="HelveticaNeueLT Std" w:hAnsi="HelveticaNeueLT Std"/>
          <w:b/>
        </w:rPr>
        <w:t xml:space="preserve">En el Capítulo 5000 “Bienes Muebles, Inmuebles e Intangibles”. - </w:t>
      </w:r>
      <w:r w:rsidRPr="004F039C">
        <w:rPr>
          <w:rFonts w:ascii="HelveticaNeueLT Std" w:hAnsi="HelveticaNeueLT Std"/>
        </w:rPr>
        <w:t xml:space="preserve">El </w:t>
      </w:r>
      <w:r w:rsidRPr="004F039C">
        <w:rPr>
          <w:rFonts w:ascii="HelveticaNeueLT Std" w:hAnsi="HelveticaNeueLT Std"/>
        </w:rPr>
        <w:t>subejercicio mensual y acumulado al cierre del ejercicio 2022 del 2 por ciento, obedece a que las adquisiciones que se realizaron fueron substanciadas y contratadas a un menor precio de lo presupuestado, y por consiguiente impacta en el subejercicio acumul</w:t>
      </w:r>
      <w:r w:rsidRPr="004F039C">
        <w:rPr>
          <w:rFonts w:ascii="HelveticaNeueLT Std" w:hAnsi="HelveticaNeueLT Std"/>
        </w:rPr>
        <w:t>ado, lo cual es considerada como un ahorro.</w:t>
      </w:r>
    </w:p>
    <w:p w14:paraId="03516258" w14:textId="45611775" w:rsidR="004F660A" w:rsidRPr="004F039C" w:rsidRDefault="00EB41CD" w:rsidP="00191DB2">
      <w:pPr>
        <w:spacing w:line="276" w:lineRule="auto"/>
        <w:jc w:val="both"/>
        <w:rPr>
          <w:rFonts w:ascii="HelveticaNeueLT Std" w:hAnsi="HelveticaNeueLT Std"/>
        </w:rPr>
      </w:pPr>
      <w:r w:rsidRPr="004F039C">
        <w:rPr>
          <w:rFonts w:ascii="HelveticaNeueLT Std" w:hAnsi="HelveticaNeueLT Std"/>
          <w:b/>
        </w:rPr>
        <w:t xml:space="preserve">En el Capítulo 9000 “Deuda Pública”. - </w:t>
      </w:r>
      <w:r w:rsidRPr="004F039C">
        <w:rPr>
          <w:rFonts w:ascii="HelveticaNeueLT Std" w:hAnsi="HelveticaNeueLT Std"/>
        </w:rPr>
        <w:t>El subejercicio obtenido en el capítulo de “Deuda Pública” del 3 por ciento, deriva principalmente de los recursos proyectados para el registro contable - presupuestal de la</w:t>
      </w:r>
      <w:r w:rsidRPr="004F039C">
        <w:rPr>
          <w:rFonts w:ascii="HelveticaNeueLT Std" w:hAnsi="HelveticaNeueLT Std"/>
        </w:rPr>
        <w:t xml:space="preserve"> actualización de la deuda y en particular a la Serie Bursátil "C", la cual se tiene pactada en Unidades de Inversión (UDIS).</w:t>
      </w:r>
      <w:bookmarkEnd w:id="12"/>
    </w:p>
    <w:p w14:paraId="64367640" w14:textId="77777777" w:rsidR="004F660A" w:rsidRPr="004F039C" w:rsidRDefault="00EB41CD">
      <w:pPr>
        <w:spacing w:line="259" w:lineRule="auto"/>
        <w:rPr>
          <w:rFonts w:ascii="HelveticaNeueLT Std" w:hAnsi="HelveticaNeueLT Std"/>
          <w:b/>
          <w:color w:val="000000"/>
        </w:rPr>
      </w:pPr>
      <w:r w:rsidRPr="004F039C">
        <w:rPr>
          <w:rFonts w:ascii="HelveticaNeueLT Std" w:hAnsi="HelveticaNeueLT Std"/>
          <w:b/>
        </w:rPr>
        <w:t xml:space="preserve"> c) NOTAS</w:t>
      </w:r>
      <w:r w:rsidRPr="004F039C">
        <w:rPr>
          <w:rFonts w:ascii="HelveticaNeueLT Std" w:hAnsi="HelveticaNeueLT Std"/>
          <w:b/>
          <w:color w:val="000000"/>
        </w:rPr>
        <w:t xml:space="preserve"> DE GESTIÓN ADMINISTRATIVA</w:t>
      </w:r>
    </w:p>
    <w:p w14:paraId="18635C82" w14:textId="77777777" w:rsidR="004F660A" w:rsidRPr="004F039C" w:rsidRDefault="00EB41CD">
      <w:pPr>
        <w:jc w:val="both"/>
        <w:rPr>
          <w:rFonts w:ascii="HelveticaNeueLT Std" w:hAnsi="HelveticaNeueLT Std"/>
        </w:rPr>
      </w:pPr>
      <w:r w:rsidRPr="004F039C">
        <w:rPr>
          <w:rFonts w:ascii="HelveticaNeueLT Std" w:hAnsi="HelveticaNeueLT Std"/>
        </w:rPr>
        <w:lastRenderedPageBreak/>
        <w:t xml:space="preserve">El objetivo del presente documento es la revelación del contexto y de los aspectos </w:t>
      </w:r>
      <w:r w:rsidRPr="004F039C">
        <w:rPr>
          <w:rFonts w:ascii="HelveticaNeueLT Std" w:hAnsi="HelveticaNeueLT Std"/>
        </w:rPr>
        <w:t>económico-financieros más importantes que influyeron en las decisiones del período, y que se consideraron en la elaboración de los estados financieros para la mayor comprensión de los mismos y sus particularidades. Los Estados Financieros del IFREM, provee</w:t>
      </w:r>
      <w:r w:rsidRPr="004F039C">
        <w:rPr>
          <w:rFonts w:ascii="HelveticaNeueLT Std" w:hAnsi="HelveticaNeueLT Std"/>
        </w:rPr>
        <w:t>n de información financiera a los principales usuarios de la misma, a saber, al H. Congreso Local, Entes Fiscalizadores y a los ciudadanos.</w:t>
      </w:r>
    </w:p>
    <w:p w14:paraId="36E096E2" w14:textId="77777777" w:rsidR="004F660A" w:rsidRPr="004F039C" w:rsidRDefault="00EB41CD">
      <w:pPr>
        <w:spacing w:line="276" w:lineRule="auto"/>
        <w:jc w:val="both"/>
        <w:rPr>
          <w:rFonts w:ascii="HelveticaNeueLT Std" w:hAnsi="HelveticaNeueLT Std"/>
        </w:rPr>
      </w:pPr>
      <w:r w:rsidRPr="004F039C">
        <w:rPr>
          <w:rFonts w:ascii="HelveticaNeueLT Std" w:hAnsi="HelveticaNeueLT Std"/>
        </w:rPr>
        <w:t>De esta manera, se informa y explica la respuesta del gobierno a las condiciones relacionadas con la información fin</w:t>
      </w:r>
      <w:r w:rsidRPr="004F039C">
        <w:rPr>
          <w:rFonts w:ascii="HelveticaNeueLT Std" w:hAnsi="HelveticaNeueLT Std"/>
        </w:rPr>
        <w:t>anciera de cada período de gestión; además de exponer aquellas políticas que podrían afectar la toma de decisiones en períodos posteriores.</w:t>
      </w:r>
    </w:p>
    <w:p w14:paraId="610923A8" w14:textId="77777777" w:rsidR="004F660A" w:rsidRPr="004F039C" w:rsidRDefault="00EB41CD">
      <w:pPr>
        <w:numPr>
          <w:ilvl w:val="0"/>
          <w:numId w:val="7"/>
        </w:numPr>
        <w:spacing w:after="0" w:line="276" w:lineRule="auto"/>
        <w:ind w:left="851"/>
        <w:jc w:val="both"/>
        <w:rPr>
          <w:rFonts w:ascii="HelveticaNeueLT Std" w:hAnsi="HelveticaNeueLT Std"/>
          <w:b/>
        </w:rPr>
      </w:pPr>
      <w:r w:rsidRPr="004F039C">
        <w:rPr>
          <w:rFonts w:ascii="HelveticaNeueLT Std" w:hAnsi="HelveticaNeueLT Std"/>
          <w:b/>
        </w:rPr>
        <w:t>Introducción</w:t>
      </w:r>
    </w:p>
    <w:p w14:paraId="36A9CFC7" w14:textId="77777777" w:rsidR="004F660A" w:rsidRPr="004F039C" w:rsidRDefault="00EB41CD">
      <w:pPr>
        <w:spacing w:before="240" w:line="276" w:lineRule="auto"/>
        <w:jc w:val="both"/>
        <w:rPr>
          <w:rFonts w:ascii="HelveticaNeueLT Std" w:hAnsi="HelveticaNeueLT Std"/>
        </w:rPr>
      </w:pPr>
      <w:r w:rsidRPr="004F039C">
        <w:rPr>
          <w:rFonts w:ascii="HelveticaNeueLT Std" w:hAnsi="HelveticaNeueLT Std"/>
        </w:rPr>
        <w:t>La dinámica de la Administración Pública Estatal hace necesario modernizar las estructuras de organizac</w:t>
      </w:r>
      <w:r w:rsidRPr="004F039C">
        <w:rPr>
          <w:rFonts w:ascii="HelveticaNeueLT Std" w:hAnsi="HelveticaNeueLT Std"/>
        </w:rPr>
        <w:t>ión, a fin de dotarlas de mayor capacidad de respuesta en el desarrollo de los planes y programas de gobierno que garanticen la certeza y seguridad jurídica de los inmuebles.</w:t>
      </w:r>
    </w:p>
    <w:p w14:paraId="2B94E6C7" w14:textId="77777777" w:rsidR="004F660A" w:rsidRPr="004F039C" w:rsidRDefault="00EB41CD">
      <w:pPr>
        <w:spacing w:line="276" w:lineRule="auto"/>
        <w:jc w:val="both"/>
        <w:rPr>
          <w:rFonts w:ascii="HelveticaNeueLT Std" w:hAnsi="HelveticaNeueLT Std"/>
        </w:rPr>
      </w:pPr>
      <w:r w:rsidRPr="004F039C">
        <w:rPr>
          <w:rFonts w:ascii="HelveticaNeueLT Std" w:hAnsi="HelveticaNeueLT Std"/>
        </w:rPr>
        <w:t>En este sentido, la visión del Gobierno del Estado en la modernización del Regist</w:t>
      </w:r>
      <w:r w:rsidRPr="004F039C">
        <w:rPr>
          <w:rFonts w:ascii="HelveticaNeueLT Std" w:hAnsi="HelveticaNeueLT Std"/>
        </w:rPr>
        <w:t>ro Público de la Propiedad, es garantizar la publicidad de los derechos susceptibles de inscripción, otorgar mayor seguridad pública sobre la propiedad inmobiliaria y facilitar los trámites relacionados con la operación de predios, a fin de dar mayor fluid</w:t>
      </w:r>
      <w:r w:rsidRPr="004F039C">
        <w:rPr>
          <w:rFonts w:ascii="HelveticaNeueLT Std" w:hAnsi="HelveticaNeueLT Std"/>
        </w:rPr>
        <w:t>ez a las operaciones del mercado inmobiliario, impulsar el uso de créditos hipotecarios y apoyar la competitividad y el crecimiento económico de la entidad.</w:t>
      </w:r>
    </w:p>
    <w:p w14:paraId="0A661FD6" w14:textId="77777777" w:rsidR="004F660A" w:rsidRPr="004F039C" w:rsidRDefault="00EB41CD">
      <w:pPr>
        <w:spacing w:line="276" w:lineRule="auto"/>
        <w:jc w:val="both"/>
        <w:rPr>
          <w:rFonts w:ascii="HelveticaNeueLT Std" w:hAnsi="HelveticaNeueLT Std"/>
        </w:rPr>
      </w:pPr>
      <w:r w:rsidRPr="004F039C">
        <w:rPr>
          <w:rFonts w:ascii="HelveticaNeueLT Std" w:hAnsi="HelveticaNeueLT Std"/>
        </w:rPr>
        <w:t>Con la modernización del Registro Público de la Propiedad se fortalece la soberanía del Estado de M</w:t>
      </w:r>
      <w:r w:rsidRPr="004F039C">
        <w:rPr>
          <w:rFonts w:ascii="HelveticaNeueLT Std" w:hAnsi="HelveticaNeueLT Std"/>
        </w:rPr>
        <w:t>éxico y se afianzan los principios en los que esta institución funda y motiva su actividad dentro del quehacer público. Asimismo, se promueve la inversión, se fomenta la construcción y la adquisición de vivienda y, por ende, se fortalecen los cimientos par</w:t>
      </w:r>
      <w:r w:rsidRPr="004F039C">
        <w:rPr>
          <w:rFonts w:ascii="HelveticaNeueLT Std" w:hAnsi="HelveticaNeueLT Std"/>
        </w:rPr>
        <w:t>a el crecimiento económico del Estado.</w:t>
      </w:r>
    </w:p>
    <w:p w14:paraId="0AE0096C" w14:textId="77777777" w:rsidR="004F660A" w:rsidRPr="004F039C" w:rsidRDefault="00EB41CD">
      <w:pPr>
        <w:spacing w:line="276" w:lineRule="auto"/>
        <w:jc w:val="both"/>
        <w:rPr>
          <w:rFonts w:ascii="HelveticaNeueLT Std" w:hAnsi="HelveticaNeueLT Std"/>
        </w:rPr>
      </w:pPr>
      <w:r w:rsidRPr="004F039C">
        <w:rPr>
          <w:rFonts w:ascii="HelveticaNeueLT Std" w:hAnsi="HelveticaNeueLT Std"/>
        </w:rPr>
        <w:t xml:space="preserve">El objetivo principal del Instituto es llevar a cabo la función registral del Estado de México en los términos de la Ley Registral para el Estado de México, Reglamento de la Ley Registral para el Estado de México, la </w:t>
      </w:r>
      <w:r w:rsidRPr="004F039C">
        <w:rPr>
          <w:rFonts w:ascii="HelveticaNeueLT Std" w:hAnsi="HelveticaNeueLT Std"/>
        </w:rPr>
        <w:t>Ley que crea este Organismo y su Reglamento Interior, así como en ordenamientos legales aplicables, en los cuales mandata que su objeto es de interés general, beneficio colectivo y para la prestación de un servicio público. Los Derechos por la prestación d</w:t>
      </w:r>
      <w:r w:rsidRPr="004F039C">
        <w:rPr>
          <w:rFonts w:ascii="HelveticaNeueLT Std" w:hAnsi="HelveticaNeueLT Std"/>
        </w:rPr>
        <w:t>e los servicios se encuentran establecidos en la Ley de Ingresos del Estado de México para el ejercicio fiscal correspondiente, en el Código Financiero del Estado de México y Municipios.</w:t>
      </w:r>
    </w:p>
    <w:p w14:paraId="63FAF717" w14:textId="0A15D218" w:rsidR="004F660A" w:rsidRPr="004F039C" w:rsidRDefault="00EB41CD" w:rsidP="00191DB2">
      <w:pPr>
        <w:numPr>
          <w:ilvl w:val="0"/>
          <w:numId w:val="7"/>
        </w:numPr>
        <w:spacing w:after="0" w:line="276" w:lineRule="auto"/>
        <w:ind w:left="851"/>
        <w:jc w:val="both"/>
        <w:rPr>
          <w:rFonts w:ascii="HelveticaNeueLT Std" w:hAnsi="HelveticaNeueLT Std"/>
          <w:b/>
        </w:rPr>
      </w:pPr>
      <w:r w:rsidRPr="004F039C">
        <w:rPr>
          <w:rFonts w:ascii="HelveticaNeueLT Std" w:hAnsi="HelveticaNeueLT Std"/>
          <w:b/>
        </w:rPr>
        <w:t>Panorama Económico y Financiero</w:t>
      </w:r>
    </w:p>
    <w:p w14:paraId="4940DF5A" w14:textId="192863F1" w:rsidR="004F660A" w:rsidRPr="004F039C" w:rsidRDefault="00EB41CD">
      <w:pPr>
        <w:spacing w:after="101" w:line="276" w:lineRule="auto"/>
        <w:jc w:val="both"/>
        <w:rPr>
          <w:rFonts w:ascii="HelveticaNeueLT Std" w:hAnsi="HelveticaNeueLT Std"/>
        </w:rPr>
      </w:pPr>
      <w:r w:rsidRPr="004F039C">
        <w:rPr>
          <w:rFonts w:ascii="HelveticaNeueLT Std" w:hAnsi="HelveticaNeueLT Std"/>
        </w:rPr>
        <w:t>Se informa sobre las principales cond</w:t>
      </w:r>
      <w:r w:rsidRPr="004F039C">
        <w:rPr>
          <w:rFonts w:ascii="HelveticaNeueLT Std" w:hAnsi="HelveticaNeueLT Std"/>
        </w:rPr>
        <w:t>iciones económico-financieras bajo las cuales el Instituto de la Función Registral del Estado de México estuvo operando; las cuales influyeron en la toma de decisiones de la administración pública.</w:t>
      </w:r>
    </w:p>
    <w:p w14:paraId="58C55856" w14:textId="77777777" w:rsidR="004F660A" w:rsidRPr="004F039C" w:rsidRDefault="00EB41CD">
      <w:pPr>
        <w:numPr>
          <w:ilvl w:val="0"/>
          <w:numId w:val="7"/>
        </w:numPr>
        <w:spacing w:after="0" w:line="276" w:lineRule="auto"/>
        <w:ind w:left="851"/>
        <w:jc w:val="both"/>
        <w:rPr>
          <w:rFonts w:ascii="HelveticaNeueLT Std" w:hAnsi="HelveticaNeueLT Std"/>
          <w:b/>
        </w:rPr>
      </w:pPr>
      <w:r w:rsidRPr="004F039C">
        <w:rPr>
          <w:rFonts w:ascii="HelveticaNeueLT Std" w:hAnsi="HelveticaNeueLT Std"/>
          <w:b/>
        </w:rPr>
        <w:t xml:space="preserve"> Autorización e Historia</w:t>
      </w:r>
    </w:p>
    <w:p w14:paraId="25DAB083" w14:textId="77777777" w:rsidR="004F660A" w:rsidRPr="004F039C" w:rsidRDefault="004F660A">
      <w:pPr>
        <w:spacing w:after="0" w:line="276" w:lineRule="auto"/>
        <w:jc w:val="both"/>
        <w:rPr>
          <w:rFonts w:ascii="HelveticaNeueLT Std" w:hAnsi="HelveticaNeueLT Std"/>
          <w:b/>
        </w:rPr>
      </w:pPr>
    </w:p>
    <w:p w14:paraId="51B26030" w14:textId="77777777" w:rsidR="004F660A" w:rsidRPr="004F039C" w:rsidRDefault="00EB41CD">
      <w:pPr>
        <w:spacing w:line="276" w:lineRule="auto"/>
        <w:jc w:val="both"/>
        <w:rPr>
          <w:rFonts w:ascii="HelveticaNeueLT Std" w:hAnsi="HelveticaNeueLT Std"/>
        </w:rPr>
      </w:pPr>
      <w:r w:rsidRPr="004F039C">
        <w:rPr>
          <w:rFonts w:ascii="HelveticaNeueLT Std" w:hAnsi="HelveticaNeueLT Std"/>
        </w:rPr>
        <w:t>El 3 de diciembre de 2007 se pub</w:t>
      </w:r>
      <w:r w:rsidRPr="004F039C">
        <w:rPr>
          <w:rFonts w:ascii="HelveticaNeueLT Std" w:hAnsi="HelveticaNeueLT Std"/>
        </w:rPr>
        <w:t>licó en el periódico oficial "Gaceta del Gobierno", el Decreto No. 90 de la "LVI" Legislatura del Estado de México, mediante el cual se expide la Ley que crea el Organismo Público Descentralizado denominado Instituto de la Función Registral del Estado de M</w:t>
      </w:r>
      <w:r w:rsidRPr="004F039C">
        <w:rPr>
          <w:rFonts w:ascii="HelveticaNeueLT Std" w:hAnsi="HelveticaNeueLT Std"/>
        </w:rPr>
        <w:t xml:space="preserve">éxico, con personalidad jurídica y patrimonio propios, sectorizado a la Secretaria General de Gobierno, el cual tenía por objeto llevar a cabo la función registral del Estado </w:t>
      </w:r>
      <w:r w:rsidRPr="004F039C">
        <w:rPr>
          <w:rFonts w:ascii="HelveticaNeueLT Std" w:hAnsi="HelveticaNeueLT Std"/>
        </w:rPr>
        <w:lastRenderedPageBreak/>
        <w:t>de México en los términos del Código Civil del Estado de México, del Reglamento d</w:t>
      </w:r>
      <w:r w:rsidRPr="004F039C">
        <w:rPr>
          <w:rFonts w:ascii="HelveticaNeueLT Std" w:hAnsi="HelveticaNeueLT Std"/>
        </w:rPr>
        <w:t>el Registro Público de la Propiedad del Estado de México, de su Reglamento Interior, y demás ordenamientos legales aplicables.</w:t>
      </w:r>
    </w:p>
    <w:p w14:paraId="43210008" w14:textId="77777777" w:rsidR="004F660A" w:rsidRPr="004F039C" w:rsidRDefault="00EB41CD">
      <w:pPr>
        <w:spacing w:line="276" w:lineRule="auto"/>
        <w:jc w:val="both"/>
        <w:rPr>
          <w:rFonts w:ascii="HelveticaNeueLT Std" w:hAnsi="HelveticaNeueLT Std"/>
        </w:rPr>
      </w:pPr>
      <w:r w:rsidRPr="004F039C">
        <w:rPr>
          <w:rFonts w:ascii="HelveticaNeueLT Std" w:hAnsi="HelveticaNeueLT Std"/>
        </w:rPr>
        <w:t>Cabe señalar que hasta diciembre de 2007 la función registral era atendida por la Dirección General del Registro Público de la Pr</w:t>
      </w:r>
      <w:r w:rsidRPr="004F039C">
        <w:rPr>
          <w:rFonts w:ascii="HelveticaNeueLT Std" w:hAnsi="HelveticaNeueLT Std"/>
        </w:rPr>
        <w:t>opiedad, adscrita a la Secretaría General de Gobierno; sin embargo, con la entrada en vigor, el 2 de enero de 2008, de la Ley que Crea el Instituto de la Función Registral del Estado de México, los recursos humanos, materiales y financieros con los que ven</w:t>
      </w:r>
      <w:r w:rsidRPr="004F039C">
        <w:rPr>
          <w:rFonts w:ascii="HelveticaNeueLT Std" w:hAnsi="HelveticaNeueLT Std"/>
        </w:rPr>
        <w:t>ía operando esa unidad administrativa fueron transferidos al citado organismo descentralizado.</w:t>
      </w:r>
    </w:p>
    <w:p w14:paraId="640B10A4" w14:textId="77777777" w:rsidR="004F660A" w:rsidRPr="004F039C" w:rsidRDefault="00EB41CD">
      <w:pPr>
        <w:spacing w:line="276" w:lineRule="auto"/>
        <w:jc w:val="both"/>
        <w:rPr>
          <w:rFonts w:ascii="HelveticaNeueLT Std" w:hAnsi="HelveticaNeueLT Std"/>
        </w:rPr>
      </w:pPr>
      <w:r w:rsidRPr="004F039C">
        <w:rPr>
          <w:rFonts w:ascii="HelveticaNeueLT Std" w:hAnsi="HelveticaNeueLT Std"/>
        </w:rPr>
        <w:t>Asimismo, se subrogaron al Instituto de la Función Registral del Estado de México, los derechos y obligaciones de la Dirección General del Registro Público de la</w:t>
      </w:r>
      <w:r w:rsidRPr="004F039C">
        <w:rPr>
          <w:rFonts w:ascii="HelveticaNeueLT Std" w:hAnsi="HelveticaNeueLT Std"/>
        </w:rPr>
        <w:t xml:space="preserve"> Propiedad de la Secretaría General de Gobierno.</w:t>
      </w:r>
    </w:p>
    <w:p w14:paraId="178A4656" w14:textId="77777777" w:rsidR="004F660A" w:rsidRPr="004F039C" w:rsidRDefault="00EB41CD">
      <w:pPr>
        <w:spacing w:line="276" w:lineRule="auto"/>
        <w:jc w:val="both"/>
        <w:rPr>
          <w:rFonts w:ascii="HelveticaNeueLT Std" w:hAnsi="HelveticaNeueLT Std"/>
        </w:rPr>
      </w:pPr>
      <w:r w:rsidRPr="004F039C">
        <w:rPr>
          <w:rFonts w:ascii="HelveticaNeueLT Std" w:hAnsi="HelveticaNeueLT Std"/>
        </w:rPr>
        <w:t xml:space="preserve">A fin de dar cumplimiento al objeto y atribuciones conferidas al Instituto de la Función Registral del Estado de México, establecidas en su ley de creación, y con el propósito de fortalecer al organismo, la </w:t>
      </w:r>
      <w:r w:rsidRPr="004F039C">
        <w:rPr>
          <w:rFonts w:ascii="HelveticaNeueLT Std" w:hAnsi="HelveticaNeueLT Std"/>
        </w:rPr>
        <w:t>Secretaría de Finanzas autorizó su estructura de organización en abril de 2008, la cual se integró por 31 unidades administrativas (una dirección general, cuatro unidades staff, tres direcciones de área, ocho subdirecciones y 15 departamentos), así como 19</w:t>
      </w:r>
      <w:r w:rsidRPr="004F039C">
        <w:rPr>
          <w:rFonts w:ascii="HelveticaNeueLT Std" w:hAnsi="HelveticaNeueLT Std"/>
        </w:rPr>
        <w:t xml:space="preserve"> unidades administrativas desconcentradas (Oficinas Regístrales).</w:t>
      </w:r>
    </w:p>
    <w:p w14:paraId="2EB91428" w14:textId="77777777" w:rsidR="004F660A" w:rsidRPr="004F039C" w:rsidRDefault="00EB41CD">
      <w:pPr>
        <w:spacing w:line="276" w:lineRule="auto"/>
        <w:jc w:val="both"/>
        <w:rPr>
          <w:rFonts w:ascii="HelveticaNeueLT Std" w:hAnsi="HelveticaNeueLT Std"/>
        </w:rPr>
      </w:pPr>
      <w:r w:rsidRPr="004F039C">
        <w:rPr>
          <w:rFonts w:ascii="HelveticaNeueLT Std" w:hAnsi="HelveticaNeueLT Std"/>
        </w:rPr>
        <w:t>El 3 de abril de 2008 fue publicado en el periódico oficial "Gaceta del Gobierno" el Reglamento Interior del Instituto de la Función Registral del Estado de México, el cual definió el ámbito</w:t>
      </w:r>
      <w:r w:rsidRPr="004F039C">
        <w:rPr>
          <w:rFonts w:ascii="HelveticaNeueLT Std" w:hAnsi="HelveticaNeueLT Std"/>
        </w:rPr>
        <w:t xml:space="preserve"> de competencia de sus unidades administrativas básicas y estableció la distribución del trabajo para dar cumplimiento a su objeto.</w:t>
      </w:r>
    </w:p>
    <w:p w14:paraId="0D46FDE1" w14:textId="77777777" w:rsidR="004F660A" w:rsidRPr="004F039C" w:rsidRDefault="00EB41CD">
      <w:pPr>
        <w:spacing w:line="276" w:lineRule="auto"/>
        <w:jc w:val="both"/>
        <w:rPr>
          <w:rFonts w:ascii="HelveticaNeueLT Std" w:hAnsi="HelveticaNeueLT Std"/>
        </w:rPr>
      </w:pPr>
      <w:r w:rsidRPr="004F039C">
        <w:rPr>
          <w:rFonts w:ascii="HelveticaNeueLT Std" w:hAnsi="HelveticaNeueLT Std"/>
        </w:rPr>
        <w:t>Posteriormente, el 9 de enero de 2009 se publicó en el periódico oficial "Gaceta del Gobierno" el Acuerdo por el que se refo</w:t>
      </w:r>
      <w:r w:rsidRPr="004F039C">
        <w:rPr>
          <w:rFonts w:ascii="HelveticaNeueLT Std" w:hAnsi="HelveticaNeueLT Std"/>
        </w:rPr>
        <w:t>rma el Reglamento Interior del Instituto de la Función Registral del Estado de México, con la finalidad de reubicar las Oficinas Registrales del Distrito Judicial de Tlalnepantla en aquellos municipios, que por sus características de desarrollo, impulso ec</w:t>
      </w:r>
      <w:r w:rsidRPr="004F039C">
        <w:rPr>
          <w:rFonts w:ascii="HelveticaNeueLT Std" w:hAnsi="HelveticaNeueLT Std"/>
        </w:rPr>
        <w:t xml:space="preserve">onómico, población, servicios, tráfico inmobiliario, infraestructura y demás circunstancias, permitieran acercar los servicios que proporciona el Instituto a los lugares en los que se generaba una mayor demanda. Por ello, se modificaron las denominaciones </w:t>
      </w:r>
      <w:r w:rsidRPr="004F039C">
        <w:rPr>
          <w:rFonts w:ascii="HelveticaNeueLT Std" w:hAnsi="HelveticaNeueLT Std"/>
        </w:rPr>
        <w:t>de las Oficinas Registrales de Tlalnepantla I, por Tlalnepantla; Tlalnepantla II, por Naucalpan; y Tlalnepantla III, por Ecatepec, estableciendo en cada una de ellas la circunscripción territorial que les corresponde. El 19 de diciembre de 2012, se publicó</w:t>
      </w:r>
      <w:r w:rsidRPr="004F039C">
        <w:rPr>
          <w:rFonts w:ascii="HelveticaNeueLT Std" w:hAnsi="HelveticaNeueLT Std"/>
        </w:rPr>
        <w:t xml:space="preserve"> en el periódico oficial "Gaceta del Gobierno" el Decreto mediante el cual, se creó la Consejería Jurídica del Ejecutivo Estatal como la dependencia encargada de planear, programar, dirigir, resolver, controlar y evaluar las funciones del registro civil, d</w:t>
      </w:r>
      <w:r w:rsidRPr="004F039C">
        <w:rPr>
          <w:rFonts w:ascii="HelveticaNeueLT Std" w:hAnsi="HelveticaNeueLT Std"/>
        </w:rPr>
        <w:t>el notariado, las relativas a la demarcación y conservación de los límites del Estado y sus municipios, de la función registral, de los asuntos religiosos, administración de la publicación del periódico oficial "Gaceta del Gobierno", las relativas al recon</w:t>
      </w:r>
      <w:r w:rsidRPr="004F039C">
        <w:rPr>
          <w:rFonts w:ascii="HelveticaNeueLT Std" w:hAnsi="HelveticaNeueLT Std"/>
        </w:rPr>
        <w:t>ocimiento, promoción, atención y defensa, de los derechos humanos desde el Poder Ejecutivo, de información de los ordenamientos legales y de coordinarse con los responsables de las unidades de asuntos jurídicos de cada dependencia de la Administración Públ</w:t>
      </w:r>
      <w:r w:rsidRPr="004F039C">
        <w:rPr>
          <w:rFonts w:ascii="HelveticaNeueLT Std" w:hAnsi="HelveticaNeueLT Std"/>
        </w:rPr>
        <w:t>ica Estatal.</w:t>
      </w:r>
    </w:p>
    <w:p w14:paraId="77864ED1" w14:textId="77777777" w:rsidR="004F660A" w:rsidRPr="004F039C" w:rsidRDefault="00EB41CD">
      <w:pPr>
        <w:spacing w:line="276" w:lineRule="auto"/>
        <w:jc w:val="both"/>
        <w:rPr>
          <w:rFonts w:ascii="HelveticaNeueLT Std" w:hAnsi="HelveticaNeueLT Std"/>
        </w:rPr>
      </w:pPr>
      <w:r w:rsidRPr="004F039C">
        <w:rPr>
          <w:rFonts w:ascii="HelveticaNeueLT Std" w:hAnsi="HelveticaNeueLT Std"/>
        </w:rPr>
        <w:t>Derivado de lo anterior, el 25 de febrero de 2013 se publicó en el periódico oficial "Gaceta del Gobierno" la reforma a los artículos 1, 5 en su fracción I; 11 en su fracción 1, y 12 en su fracción III de la Ley que Crea el Organismo Público D</w:t>
      </w:r>
      <w:r w:rsidRPr="004F039C">
        <w:rPr>
          <w:rFonts w:ascii="HelveticaNeueLT Std" w:hAnsi="HelveticaNeueLT Std"/>
        </w:rPr>
        <w:t>escentralizado denominado Instituto de la Función Registral del Estado de México, con la finalidad de re-sectorizar al citado organismo de la Secretaría General de Gobierno a la Consejería Jurídica del Ejecutivo Estatal.</w:t>
      </w:r>
    </w:p>
    <w:p w14:paraId="768A9CF6" w14:textId="77777777" w:rsidR="004F660A" w:rsidRPr="004F039C" w:rsidRDefault="00EB41CD">
      <w:pPr>
        <w:spacing w:line="276" w:lineRule="auto"/>
        <w:jc w:val="both"/>
        <w:rPr>
          <w:rFonts w:ascii="HelveticaNeueLT Std" w:hAnsi="HelveticaNeueLT Std"/>
        </w:rPr>
      </w:pPr>
      <w:r w:rsidRPr="004F039C">
        <w:rPr>
          <w:rFonts w:ascii="HelveticaNeueLT Std" w:hAnsi="HelveticaNeueLT Std"/>
        </w:rPr>
        <w:lastRenderedPageBreak/>
        <w:t xml:space="preserve">El 16 de mayo de 2013, se publicó </w:t>
      </w:r>
      <w:r w:rsidRPr="004F039C">
        <w:rPr>
          <w:rFonts w:ascii="HelveticaNeueLT Std" w:hAnsi="HelveticaNeueLT Std"/>
        </w:rPr>
        <w:t>en el periódico oficial "Gaceta del Gobierno" el Acuerdo por el que se reforman y derogan diversas disposiciones del Reglamento Interior del Instituto de la Función Registral del Estado de México, con el objeto de adecuar su funcionamiento.</w:t>
      </w:r>
    </w:p>
    <w:p w14:paraId="3EB47F14" w14:textId="77777777" w:rsidR="004F660A" w:rsidRPr="004F039C" w:rsidRDefault="00EB41CD">
      <w:pPr>
        <w:spacing w:line="276" w:lineRule="auto"/>
        <w:jc w:val="both"/>
        <w:rPr>
          <w:rFonts w:ascii="HelveticaNeueLT Std" w:hAnsi="HelveticaNeueLT Std"/>
        </w:rPr>
      </w:pPr>
      <w:r w:rsidRPr="004F039C">
        <w:rPr>
          <w:rFonts w:ascii="HelveticaNeueLT Std" w:hAnsi="HelveticaNeueLT Std"/>
        </w:rPr>
        <w:t>El 13 de septie</w:t>
      </w:r>
      <w:r w:rsidRPr="004F039C">
        <w:rPr>
          <w:rFonts w:ascii="HelveticaNeueLT Std" w:hAnsi="HelveticaNeueLT Std"/>
        </w:rPr>
        <w:t>mbre de 2017, se publicó en el periódico oficial "Gaceta del Gobierno" el Decreto No. 244 por el que se reforman diversas disposiciones, entre otras, la Ley que Crea el Organismo Público Descentralizado denominado Instituto de la Función Registral del Esta</w:t>
      </w:r>
      <w:r w:rsidRPr="004F039C">
        <w:rPr>
          <w:rFonts w:ascii="HelveticaNeueLT Std" w:hAnsi="HelveticaNeueLT Std"/>
        </w:rPr>
        <w:t>do de México, con la finalidad, de transformar la Consejería Jurídica del Ejecutivo Estatal en la Secretaría de Justicia y Derechos Humanos, con la finalidad de diseñar y coordinar la política jurídica y de acceso a la justicia del Poder ejecutivo retomand</w:t>
      </w:r>
      <w:r w:rsidRPr="004F039C">
        <w:rPr>
          <w:rFonts w:ascii="HelveticaNeueLT Std" w:hAnsi="HelveticaNeueLT Std"/>
        </w:rPr>
        <w:t>o las funciones de la Consejería Jurídica del Ejecutivo Estatal.</w:t>
      </w:r>
    </w:p>
    <w:p w14:paraId="2D7C09E5" w14:textId="77777777" w:rsidR="004F660A" w:rsidRPr="004F039C" w:rsidRDefault="00EB41CD">
      <w:pPr>
        <w:numPr>
          <w:ilvl w:val="0"/>
          <w:numId w:val="7"/>
        </w:numPr>
        <w:spacing w:after="0" w:line="276" w:lineRule="auto"/>
        <w:ind w:left="851"/>
        <w:jc w:val="both"/>
        <w:rPr>
          <w:rFonts w:ascii="HelveticaNeueLT Std" w:hAnsi="HelveticaNeueLT Std"/>
          <w:b/>
        </w:rPr>
      </w:pPr>
      <w:r w:rsidRPr="004F039C">
        <w:rPr>
          <w:rFonts w:ascii="HelveticaNeueLT Std" w:hAnsi="HelveticaNeueLT Std"/>
          <w:b/>
        </w:rPr>
        <w:t>Organización y Objeto Social</w:t>
      </w:r>
    </w:p>
    <w:p w14:paraId="0A9451B0" w14:textId="77777777" w:rsidR="004F660A" w:rsidRPr="004F039C" w:rsidRDefault="004F660A">
      <w:pPr>
        <w:spacing w:after="0" w:line="276" w:lineRule="auto"/>
        <w:jc w:val="both"/>
        <w:rPr>
          <w:rFonts w:ascii="HelveticaNeueLT Std" w:hAnsi="HelveticaNeueLT Std"/>
          <w:b/>
        </w:rPr>
      </w:pPr>
    </w:p>
    <w:p w14:paraId="770E88F4" w14:textId="77777777" w:rsidR="004F660A" w:rsidRPr="004F039C" w:rsidRDefault="00EB41CD">
      <w:pPr>
        <w:spacing w:after="0" w:line="276" w:lineRule="auto"/>
        <w:jc w:val="both"/>
        <w:rPr>
          <w:rFonts w:ascii="HelveticaNeueLT Std" w:hAnsi="HelveticaNeueLT Std"/>
        </w:rPr>
      </w:pPr>
      <w:r w:rsidRPr="004F039C">
        <w:rPr>
          <w:rFonts w:ascii="HelveticaNeueLT Std" w:hAnsi="HelveticaNeueLT Std"/>
        </w:rPr>
        <w:t>La máxima autoridad del Instituto de la Función Registral del Estado de México, está a cargo del Consejo Directivo. La administración del Instituto de la Función</w:t>
      </w:r>
      <w:r w:rsidRPr="004F039C">
        <w:rPr>
          <w:rFonts w:ascii="HelveticaNeueLT Std" w:hAnsi="HelveticaNeueLT Std"/>
        </w:rPr>
        <w:t xml:space="preserve"> Registral del Estado de México, está a cargo de un Director General, quien es nombrado y removido por el Gobernador del Estado a propuesta del Presidente del Consejo Directivo. Su objetivo es llevar a cabo la función registral del Estado de México en los </w:t>
      </w:r>
      <w:r w:rsidRPr="004F039C">
        <w:rPr>
          <w:rFonts w:ascii="HelveticaNeueLT Std" w:hAnsi="HelveticaNeueLT Std"/>
        </w:rPr>
        <w:t xml:space="preserve">términos de la Ley Registral para el Estado de México, Reglamento de la Ley Registral para el Estado de México y los Derechos por la prestación de los servicios se encuentran establecidos en la Ley de Ingresos del Estado de México para el ejercicio fiscal </w:t>
      </w:r>
      <w:r w:rsidRPr="004F039C">
        <w:rPr>
          <w:rFonts w:ascii="HelveticaNeueLT Std" w:hAnsi="HelveticaNeueLT Std"/>
        </w:rPr>
        <w:t xml:space="preserve">correspondiente, en el Código Financiero del Estado de México y Municipios, la Ley que crea este Organismo y su Reglamento Interior, así como en ordenamientos legales aplicables, su objeto es de interés general, beneficio colectivo y para la prestación de </w:t>
      </w:r>
      <w:r w:rsidRPr="004F039C">
        <w:rPr>
          <w:rFonts w:ascii="HelveticaNeueLT Std" w:hAnsi="HelveticaNeueLT Std"/>
        </w:rPr>
        <w:t>un servicio público.</w:t>
      </w:r>
    </w:p>
    <w:p w14:paraId="03A8E571" w14:textId="77777777" w:rsidR="004F660A" w:rsidRPr="004F039C" w:rsidRDefault="00EB41CD">
      <w:pPr>
        <w:spacing w:line="276" w:lineRule="auto"/>
        <w:jc w:val="both"/>
        <w:rPr>
          <w:rFonts w:ascii="HelveticaNeueLT Std" w:hAnsi="HelveticaNeueLT Std"/>
        </w:rPr>
      </w:pPr>
      <w:r w:rsidRPr="004F039C">
        <w:rPr>
          <w:rFonts w:ascii="HelveticaNeueLT Std" w:hAnsi="HelveticaNeueLT Std"/>
        </w:rPr>
        <w:t xml:space="preserve">Actualmente, el Instituto de la Función Registral del Estado de México cuenta con una estructura orgánica autorizada por la Secretaría de Finanzas en mayo de 2013 integrada por 50 unidades administrativas (una Dirección General, cinco </w:t>
      </w:r>
      <w:r w:rsidRPr="004F039C">
        <w:rPr>
          <w:rFonts w:ascii="HelveticaNeueLT Std" w:hAnsi="HelveticaNeueLT Std"/>
        </w:rPr>
        <w:t xml:space="preserve">Direcciones de Área, nueve Subdirecciones y 35 Departamentos). El organigrama se puede consultar en la siguiente liga: </w:t>
      </w:r>
      <w:hyperlink r:id="rId25">
        <w:r w:rsidRPr="004F039C">
          <w:rPr>
            <w:rFonts w:ascii="HelveticaNeueLT Std" w:hAnsi="HelveticaNeueLT Std"/>
            <w:u w:val="single"/>
          </w:rPr>
          <w:t>http://ifrem.edomex.gob.mx/organigrama</w:t>
        </w:r>
      </w:hyperlink>
      <w:r w:rsidRPr="004F039C">
        <w:rPr>
          <w:rFonts w:ascii="HelveticaNeueLT Std" w:hAnsi="HelveticaNeueLT Std"/>
        </w:rPr>
        <w:t>.</w:t>
      </w:r>
    </w:p>
    <w:p w14:paraId="0176C9A4" w14:textId="77777777" w:rsidR="004F660A" w:rsidRPr="004F039C" w:rsidRDefault="00EB41CD">
      <w:pPr>
        <w:spacing w:line="276" w:lineRule="auto"/>
        <w:jc w:val="both"/>
        <w:rPr>
          <w:rFonts w:ascii="HelveticaNeueLT Std" w:hAnsi="HelveticaNeueLT Std"/>
        </w:rPr>
      </w:pPr>
      <w:r w:rsidRPr="004F039C">
        <w:rPr>
          <w:rFonts w:ascii="HelveticaNeueLT Std" w:hAnsi="HelveticaNeueLT Std"/>
        </w:rPr>
        <w:t xml:space="preserve"> El Instituto, para el cumplimiento de </w:t>
      </w:r>
      <w:r w:rsidRPr="004F039C">
        <w:rPr>
          <w:rFonts w:ascii="HelveticaNeueLT Std" w:hAnsi="HelveticaNeueLT Std"/>
        </w:rPr>
        <w:t>su objeto, tendrá las atribuciones que se mencionan en su Decreto de creación publicado en el periódico oficial Gaceta del Gobierno.</w:t>
      </w:r>
    </w:p>
    <w:p w14:paraId="452244C9" w14:textId="77777777" w:rsidR="004F660A" w:rsidRPr="004F039C" w:rsidRDefault="00EB41CD">
      <w:pPr>
        <w:spacing w:line="259" w:lineRule="auto"/>
        <w:jc w:val="both"/>
        <w:rPr>
          <w:rFonts w:ascii="HelveticaNeueLT Std" w:hAnsi="HelveticaNeueLT Std"/>
        </w:rPr>
      </w:pPr>
      <w:r w:rsidRPr="004F039C">
        <w:rPr>
          <w:rFonts w:ascii="HelveticaNeueLT Std" w:hAnsi="HelveticaNeueLT Std"/>
        </w:rPr>
        <w:t>El Instituto como patrón sustituto del personal que laboró hasta el 31 de diciembre de 2007, en la Dirección de Registro Pú</w:t>
      </w:r>
      <w:r w:rsidRPr="004F039C">
        <w:rPr>
          <w:rFonts w:ascii="HelveticaNeueLT Std" w:hAnsi="HelveticaNeueLT Std"/>
        </w:rPr>
        <w:t>blico de la Propiedad y del Comercio asumió los derechos laborales devengados de los trabajadores contratados y del personal, el Manual Único de Contabilidad Gubernamental para las Dependencias y Entidades Públicas del Gobierno y Municipios del Estado de M</w:t>
      </w:r>
      <w:r w:rsidRPr="004F039C">
        <w:rPr>
          <w:rFonts w:ascii="HelveticaNeueLT Std" w:hAnsi="HelveticaNeueLT Std"/>
        </w:rPr>
        <w:t>éxico, no considera provisiones para contingencias por las eventuales indemnizaciones y compensaciones que tenga que pagar a su personal incluso a favor de terceros, la administración del Instituto estima que de presentarse esta obligación, se solicitara e</w:t>
      </w:r>
      <w:r w:rsidRPr="004F039C">
        <w:rPr>
          <w:rFonts w:ascii="HelveticaNeueLT Std" w:hAnsi="HelveticaNeueLT Std"/>
        </w:rPr>
        <w:t>l monto correspondiente al área jurídica. Por lo tanto, cuando se tenga la documentación soporte de cualquier resolución judicial o cualquier otra derivada de las relaciones laborales, se dará la suficiencia presupuestal y se creará el pasivo correspondien</w:t>
      </w:r>
      <w:r w:rsidRPr="004F039C">
        <w:rPr>
          <w:rFonts w:ascii="HelveticaNeueLT Std" w:hAnsi="HelveticaNeueLT Std"/>
        </w:rPr>
        <w:t>te, mismo que se deberá cancelar con el pago en el mismo ejercicio fiscal.</w:t>
      </w:r>
    </w:p>
    <w:p w14:paraId="4EB5B34E" w14:textId="77777777" w:rsidR="004F660A" w:rsidRPr="004F039C" w:rsidRDefault="00EB41CD">
      <w:pPr>
        <w:numPr>
          <w:ilvl w:val="0"/>
          <w:numId w:val="7"/>
        </w:numPr>
        <w:spacing w:after="0" w:line="276" w:lineRule="auto"/>
        <w:ind w:left="851"/>
        <w:jc w:val="both"/>
        <w:rPr>
          <w:rFonts w:ascii="HelveticaNeueLT Std" w:hAnsi="HelveticaNeueLT Std"/>
        </w:rPr>
      </w:pPr>
      <w:r w:rsidRPr="004F039C">
        <w:rPr>
          <w:rFonts w:ascii="HelveticaNeueLT Std" w:hAnsi="HelveticaNeueLT Std"/>
          <w:b/>
        </w:rPr>
        <w:t>Bases preparación de los Estados Financieros</w:t>
      </w:r>
    </w:p>
    <w:p w14:paraId="2BAC85F0" w14:textId="77777777" w:rsidR="004F660A" w:rsidRPr="004F039C" w:rsidRDefault="004F660A">
      <w:pPr>
        <w:spacing w:after="0" w:line="276" w:lineRule="auto"/>
        <w:jc w:val="both"/>
        <w:rPr>
          <w:rFonts w:ascii="HelveticaNeueLT Std" w:hAnsi="HelveticaNeueLT Std"/>
        </w:rPr>
      </w:pPr>
    </w:p>
    <w:p w14:paraId="149B106C" w14:textId="77777777" w:rsidR="004F660A" w:rsidRPr="004F039C" w:rsidRDefault="00EB41CD">
      <w:pPr>
        <w:spacing w:after="101" w:line="276" w:lineRule="auto"/>
        <w:jc w:val="both"/>
        <w:rPr>
          <w:rFonts w:ascii="HelveticaNeueLT Std" w:hAnsi="HelveticaNeueLT Std"/>
        </w:rPr>
      </w:pPr>
      <w:r w:rsidRPr="004F039C">
        <w:rPr>
          <w:rFonts w:ascii="HelveticaNeueLT Std" w:hAnsi="HelveticaNeueLT Std"/>
        </w:rPr>
        <w:t>Los Estados Financieros que se acompañan, fueron preparados observando la normatividad emitida por el CONAC y las disposiciones legales</w:t>
      </w:r>
      <w:r w:rsidRPr="004F039C">
        <w:rPr>
          <w:rFonts w:ascii="HelveticaNeueLT Std" w:hAnsi="HelveticaNeueLT Std"/>
        </w:rPr>
        <w:t xml:space="preserve"> aplicables, con base en el Manual Único de Contabilidad Gubernamental para las </w:t>
      </w:r>
      <w:r w:rsidRPr="004F039C">
        <w:rPr>
          <w:rFonts w:ascii="HelveticaNeueLT Std" w:hAnsi="HelveticaNeueLT Std"/>
        </w:rPr>
        <w:lastRenderedPageBreak/>
        <w:t>Dependencias y Entidades del Gobierno y Municipios del Estado de México, vigente para el presente ejercicio fiscal, publicado en la “Gaceta del Gobierno”, aplicable a los Organ</w:t>
      </w:r>
      <w:r w:rsidRPr="004F039C">
        <w:rPr>
          <w:rFonts w:ascii="HelveticaNeueLT Std" w:hAnsi="HelveticaNeueLT Std"/>
        </w:rPr>
        <w:t>ismos Auxiliares del Gobierno del Estado de México, para efectos de la Ley para la Coordinación y Control de Organismos Auxiliares.</w:t>
      </w:r>
    </w:p>
    <w:p w14:paraId="1BD1B69C" w14:textId="77777777" w:rsidR="004F660A" w:rsidRPr="004F039C" w:rsidRDefault="00EB41CD">
      <w:pPr>
        <w:spacing w:line="276" w:lineRule="auto"/>
        <w:jc w:val="both"/>
        <w:rPr>
          <w:rFonts w:ascii="HelveticaNeueLT Std" w:hAnsi="HelveticaNeueLT Std"/>
        </w:rPr>
      </w:pPr>
      <w:r w:rsidRPr="004F039C">
        <w:rPr>
          <w:rFonts w:ascii="HelveticaNeueLT Std" w:hAnsi="HelveticaNeueLT Std"/>
        </w:rPr>
        <w:t>Con base en dicho manual en este ejercicio se han realizado las adecuaciones de presentación necesarias para estas notas. As</w:t>
      </w:r>
      <w:r w:rsidRPr="004F039C">
        <w:rPr>
          <w:rFonts w:ascii="HelveticaNeueLT Std" w:hAnsi="HelveticaNeueLT Std"/>
        </w:rPr>
        <w:t>í mismo la información se elaboró conforme a las normas, criterios y principios técnicos y las disposiciones legales aplicables, obedeciendo a las mejores prácticas contables, se incluye lo correspondiente a las normas y lineamientos emitidos por el Consej</w:t>
      </w:r>
      <w:r w:rsidRPr="004F039C">
        <w:rPr>
          <w:rFonts w:ascii="HelveticaNeueLT Std" w:hAnsi="HelveticaNeueLT Std"/>
        </w:rPr>
        <w:t>o Nacional de Armonización Contable (CONAC); publicados el 13 de octubre de 2014, en el periódico oficial del Gobierno del Estado de México, denominado “Gaceta del Gobierno”.</w:t>
      </w:r>
    </w:p>
    <w:p w14:paraId="57573B10" w14:textId="77777777" w:rsidR="004F660A" w:rsidRPr="004F039C" w:rsidRDefault="00EB41CD">
      <w:pPr>
        <w:spacing w:line="276" w:lineRule="auto"/>
        <w:jc w:val="both"/>
        <w:rPr>
          <w:rFonts w:ascii="HelveticaNeueLT Std" w:hAnsi="HelveticaNeueLT Std"/>
        </w:rPr>
      </w:pPr>
      <w:r w:rsidRPr="004F039C">
        <w:rPr>
          <w:rFonts w:ascii="HelveticaNeueLT Std" w:hAnsi="HelveticaNeueLT Std"/>
        </w:rPr>
        <w:t>El 24 de abril de 2016 se publicó en el Diario Oficial de la Federación la Ley de</w:t>
      </w:r>
      <w:r w:rsidRPr="004F039C">
        <w:rPr>
          <w:rFonts w:ascii="HelveticaNeueLT Std" w:hAnsi="HelveticaNeueLT Std"/>
        </w:rPr>
        <w:t xml:space="preserve"> Disciplina Financiera de las Entidades Federativas y los Municipios, cuyo objeto es establecer los criterios generales de responsabilidad hacendaria y financiera que regirán a las Entidades Federativas y los Municipios, así como a sus respectivos Entes Pú</w:t>
      </w:r>
      <w:r w:rsidRPr="004F039C">
        <w:rPr>
          <w:rFonts w:ascii="HelveticaNeueLT Std" w:hAnsi="HelveticaNeueLT Std"/>
        </w:rPr>
        <w:t>blicos, para un manejo sostenible de sus finanzas públicas, en donde el IFREM se sujetará a lo que dispone y administrará sus recursos con base en los principios de legalidad, honestidad, eficacia, eficiencia, economía, racionalidad, austeridad, transparen</w:t>
      </w:r>
      <w:r w:rsidRPr="004F039C">
        <w:rPr>
          <w:rFonts w:ascii="HelveticaNeueLT Std" w:hAnsi="HelveticaNeueLT Std"/>
        </w:rPr>
        <w:t>cia, control y rendición de cuentas.</w:t>
      </w:r>
    </w:p>
    <w:p w14:paraId="4881BE16" w14:textId="77777777" w:rsidR="004F660A" w:rsidRPr="004F039C" w:rsidRDefault="00EB41CD">
      <w:pPr>
        <w:spacing w:line="276" w:lineRule="auto"/>
        <w:jc w:val="both"/>
        <w:rPr>
          <w:rFonts w:ascii="HelveticaNeueLT Std" w:hAnsi="HelveticaNeueLT Std"/>
          <w:b/>
        </w:rPr>
      </w:pPr>
      <w:r w:rsidRPr="004F039C">
        <w:rPr>
          <w:rFonts w:ascii="HelveticaNeueLT Std" w:hAnsi="HelveticaNeueLT Std"/>
        </w:rPr>
        <w:t>El 26 de octubre de 2018, el Consejo Nacional de Armonización Contable con fundamento en los artículos 6, 7, 9 y 14 de la Ley General de Contabilidad Gubernamental, aprobó los siguientes: “</w:t>
      </w:r>
      <w:r w:rsidRPr="004F039C">
        <w:rPr>
          <w:rFonts w:ascii="HelveticaNeueLT Std" w:hAnsi="HelveticaNeueLT Std"/>
          <w:b/>
        </w:rPr>
        <w:t>Acuerdo por el que se reforman</w:t>
      </w:r>
      <w:r w:rsidRPr="004F039C">
        <w:rPr>
          <w:rFonts w:ascii="HelveticaNeueLT Std" w:hAnsi="HelveticaNeueLT Std"/>
          <w:b/>
        </w:rPr>
        <w:t xml:space="preserve"> y adicionan las Normas y Metodología para la Determinación de los Momentos Contables de los Ingresos”, </w:t>
      </w:r>
      <w:r w:rsidRPr="004F039C">
        <w:rPr>
          <w:rFonts w:ascii="HelveticaNeueLT Std" w:hAnsi="HelveticaNeueLT Std"/>
        </w:rPr>
        <w:t>así como</w:t>
      </w:r>
      <w:r w:rsidRPr="004F039C">
        <w:rPr>
          <w:rFonts w:ascii="HelveticaNeueLT Std" w:hAnsi="HelveticaNeueLT Std"/>
          <w:b/>
        </w:rPr>
        <w:t xml:space="preserve">; el Acuerdo por el que se reforma y adiciona el Manual de Contabilidad Gubernamental. </w:t>
      </w:r>
      <w:r w:rsidRPr="004F039C">
        <w:rPr>
          <w:rFonts w:ascii="HelveticaNeueLT Std" w:hAnsi="HelveticaNeueLT Std"/>
          <w:b/>
          <w:i/>
        </w:rPr>
        <w:t>“</w:t>
      </w:r>
      <w:r w:rsidRPr="004F039C">
        <w:rPr>
          <w:rFonts w:ascii="HelveticaNeueLT Std" w:hAnsi="HelveticaNeueLT Std"/>
          <w:i/>
        </w:rPr>
        <w:t>En el Manual de Contabilidad Gubernamental se modifica t</w:t>
      </w:r>
      <w:r w:rsidRPr="004F039C">
        <w:rPr>
          <w:rFonts w:ascii="HelveticaNeueLT Std" w:hAnsi="HelveticaNeueLT Std"/>
          <w:i/>
        </w:rPr>
        <w:t>odo lo relacionado al Ingreso, en el Capítulo III Plan de Cuentas, reformas y adiciones en los apartados “Estructura del Plan de Cuentas”, “Contenido del Plan de Cuentas” y “Definiciones del Plan de Cuentas” relacionadas con el Genero 4000 Ingresos y Otros</w:t>
      </w:r>
      <w:r w:rsidRPr="004F039C">
        <w:rPr>
          <w:rFonts w:ascii="HelveticaNeueLT Std" w:hAnsi="HelveticaNeueLT Std"/>
          <w:i/>
        </w:rPr>
        <w:t xml:space="preserve"> Beneficios; en el Capítulo V Modelo de Asientos para el Registro Contable, reformas y adiciones en modelos de asientos y registros relacionadas con el Ingreso; en el Capítulo VI Guías Contabilizadoras, reformas y adiciones en guías contabilizadoras y regi</w:t>
      </w:r>
      <w:r w:rsidRPr="004F039C">
        <w:rPr>
          <w:rFonts w:ascii="HelveticaNeueLT Std" w:hAnsi="HelveticaNeueLT Std"/>
          <w:i/>
        </w:rPr>
        <w:t xml:space="preserve">stros contables y presupuestarios relacionadas con el Ingreso; en el Capítulo VII De los Estados e Informes Contables, Presupuestarios, Programáticos y de los Indicadores de Postura Fiscal, reformas y adiciones en el “Estado de Actividades”, en el “Estado </w:t>
      </w:r>
      <w:r w:rsidRPr="004F039C">
        <w:rPr>
          <w:rFonts w:ascii="HelveticaNeueLT Std" w:hAnsi="HelveticaNeueLT Std"/>
          <w:i/>
        </w:rPr>
        <w:t xml:space="preserve">de Flujos de Efectivo”, en “Notas a los Estados Financieros” y en el “Estado Analítico de Ingresos” relacionadas con el Ingreso; en el Anexo I Matrices de Conversión, reformas y adiciones en tipos y cuentas relacionadas con el Ingreso en las matrices “B.1 </w:t>
      </w:r>
      <w:r w:rsidRPr="004F039C">
        <w:rPr>
          <w:rFonts w:ascii="HelveticaNeueLT Std" w:hAnsi="HelveticaNeueLT Std"/>
          <w:i/>
        </w:rPr>
        <w:t xml:space="preserve">Matriz Ingresos Devengados” y “B.2 Matriz Ingresos Recaudados”, así como reforma de la matriz “B.2.2 Matriz de recaudado de ingresos sin devengado previo de ingresos” por la matriz “B.3 Matriz de Ingresos Devengados y Recaudados Simultáneos”; y adición de </w:t>
      </w:r>
      <w:r w:rsidRPr="004F039C">
        <w:rPr>
          <w:rFonts w:ascii="HelveticaNeueLT Std" w:hAnsi="HelveticaNeueLT Std"/>
          <w:i/>
        </w:rPr>
        <w:t>consideración en el punto 4 en “Notas a los Estados Financieros” en apartado b) NOTAS DE MEMORIA (CUENTAS DE ORDEN) y reforma segundo párrafo de la Finalidad del “Estado Analítico de Ingresos”, respecto al avance que se registra en las cuentas de orden pre</w:t>
      </w:r>
      <w:r w:rsidRPr="004F039C">
        <w:rPr>
          <w:rFonts w:ascii="HelveticaNeueLT Std" w:hAnsi="HelveticaNeueLT Std"/>
          <w:i/>
        </w:rPr>
        <w:t>supuestarias previo al cierre presupuestario de cada periodo que se reporte”:</w:t>
      </w:r>
    </w:p>
    <w:p w14:paraId="346633B3" w14:textId="77777777" w:rsidR="004F660A" w:rsidRPr="004F039C" w:rsidRDefault="00EB41CD">
      <w:pPr>
        <w:spacing w:line="276" w:lineRule="auto"/>
        <w:jc w:val="both"/>
        <w:rPr>
          <w:rFonts w:ascii="HelveticaNeueLT Std" w:hAnsi="HelveticaNeueLT Std"/>
          <w:i/>
        </w:rPr>
      </w:pPr>
      <w:r w:rsidRPr="004F039C">
        <w:rPr>
          <w:rFonts w:ascii="HelveticaNeueLT Std" w:hAnsi="HelveticaNeueLT Std"/>
          <w:b/>
        </w:rPr>
        <w:t>Acuerdo por el que se reforman los Criterios para la elaboración y presentación homogénea de la información financiera y de los formatos a que hace referencia la Ley de Disciplin</w:t>
      </w:r>
      <w:r w:rsidRPr="004F039C">
        <w:rPr>
          <w:rFonts w:ascii="HelveticaNeueLT Std" w:hAnsi="HelveticaNeueLT Std"/>
          <w:b/>
        </w:rPr>
        <w:t>a Financiera de las Entidades Federativas y los Municipios Políticas de Contabilidad Significativas”.</w:t>
      </w:r>
      <w:r w:rsidRPr="004F039C">
        <w:rPr>
          <w:rFonts w:ascii="HelveticaNeueLT Std" w:hAnsi="HelveticaNeueLT Std"/>
        </w:rPr>
        <w:t xml:space="preserve"> </w:t>
      </w:r>
      <w:r w:rsidRPr="004F039C">
        <w:rPr>
          <w:rFonts w:ascii="HelveticaNeueLT Std" w:hAnsi="HelveticaNeueLT Std"/>
          <w:i/>
        </w:rPr>
        <w:t>Se reforman en los formatos 5 Estado Analítico de Ingresos Detallado – LDF, 7 a) Proyecciones de Ingresos – LDF y 7 c) Resultados de Ingresos – LDF, los i</w:t>
      </w:r>
      <w:r w:rsidRPr="004F039C">
        <w:rPr>
          <w:rFonts w:ascii="HelveticaNeueLT Std" w:hAnsi="HelveticaNeueLT Std"/>
          <w:i/>
        </w:rPr>
        <w:t>ncisos G y J de “Ingresos de Libre Disposición” y el inciso D de las “Transferencias Federales Etiquetadas”.</w:t>
      </w:r>
    </w:p>
    <w:p w14:paraId="4FDA2E79" w14:textId="77777777" w:rsidR="004F660A" w:rsidRPr="004F039C" w:rsidRDefault="00EB41CD">
      <w:pPr>
        <w:spacing w:after="0" w:line="276" w:lineRule="auto"/>
        <w:jc w:val="both"/>
        <w:rPr>
          <w:rFonts w:ascii="HelveticaNeueLT Std" w:hAnsi="HelveticaNeueLT Std"/>
          <w:i/>
        </w:rPr>
      </w:pPr>
      <w:r w:rsidRPr="004F039C">
        <w:rPr>
          <w:rFonts w:ascii="HelveticaNeueLT Std" w:hAnsi="HelveticaNeueLT Std"/>
          <w:b/>
        </w:rPr>
        <w:lastRenderedPageBreak/>
        <w:t>“Acuerdo por el que se reforma y adiciona el Formato de Conciliación entre los Ingresos Presupuestarios y Contables, así como entre los Egresos Pre</w:t>
      </w:r>
      <w:r w:rsidRPr="004F039C">
        <w:rPr>
          <w:rFonts w:ascii="HelveticaNeueLT Std" w:hAnsi="HelveticaNeueLT Std"/>
          <w:b/>
        </w:rPr>
        <w:t xml:space="preserve">supuestarios y los Gastos Contables”. </w:t>
      </w:r>
      <w:r w:rsidRPr="004F039C">
        <w:rPr>
          <w:rFonts w:ascii="HelveticaNeueLT Std" w:hAnsi="HelveticaNeueLT Std"/>
          <w:i/>
        </w:rPr>
        <w:t>“Se reforma el párrafo de Ámbito de Aplicación; en los puntos de Precisiones a los formatos de Conciliación de Ingresos y de Conciliación de Egresos – Gastos se adiciona inciso e), numeración en todos los conceptos, fó</w:t>
      </w:r>
      <w:r w:rsidRPr="004F039C">
        <w:rPr>
          <w:rFonts w:ascii="HelveticaNeueLT Std" w:hAnsi="HelveticaNeueLT Std"/>
          <w:i/>
        </w:rPr>
        <w:t>rmulas en los principales numerales y notas al pie; en la Conciliación entre los Ingresos Presupuestarios y Contables, se reforma el punto 1 Ingresos Presupuestarios por 1. Total de Ingresos Presupuestarios, en el punto 2. Más Ingresos Contables No Presupu</w:t>
      </w:r>
      <w:r w:rsidRPr="004F039C">
        <w:rPr>
          <w:rFonts w:ascii="HelveticaNeueLT Std" w:hAnsi="HelveticaNeueLT Std"/>
          <w:i/>
        </w:rPr>
        <w:t>estarios, se adiciona el concepto de “Ingresos Financieros”, en el punto 3. Menos Ingresos Presupuestarios No Contables, se reforma el concepto “Aprovechamientos de Capital” por “Aprovechamientos Patrimoniales”; en la Conciliación entre los Egresos Presupu</w:t>
      </w:r>
      <w:r w:rsidRPr="004F039C">
        <w:rPr>
          <w:rFonts w:ascii="HelveticaNeueLT Std" w:hAnsi="HelveticaNeueLT Std"/>
          <w:i/>
        </w:rPr>
        <w:t>estarios y los Gastos Contables, en los puntos 2. Menos Egresos Presupuestarios No Contables y 3. Más Gastos Contables No Presupuestarios, se reforma el concepto “presupuestales” por “presupuestarios”, en el punto 2. Menos Egresos Presupuestarios No Contab</w:t>
      </w:r>
      <w:r w:rsidRPr="004F039C">
        <w:rPr>
          <w:rFonts w:ascii="HelveticaNeueLT Std" w:hAnsi="HelveticaNeueLT Std"/>
          <w:i/>
        </w:rPr>
        <w:t>les, se adicionan los conceptos de “Materias Primas y Materiales de Producción y Comercialización”, “Materiales y Suministros”, “Obra Pública en Bienes de Dominio Público” y “Concesión de Préstamos”; y adicionalmente se agrega un instructivo de llenado que</w:t>
      </w:r>
      <w:r w:rsidRPr="004F039C">
        <w:rPr>
          <w:rFonts w:ascii="HelveticaNeueLT Std" w:hAnsi="HelveticaNeueLT Std"/>
          <w:i/>
        </w:rPr>
        <w:t xml:space="preserve"> contiene las referencias para identificar los conceptos que se vinculan a los estados financieros de donde se obtienen cifras”.</w:t>
      </w:r>
    </w:p>
    <w:p w14:paraId="0035A6A3" w14:textId="77777777" w:rsidR="004F660A" w:rsidRPr="004F039C" w:rsidRDefault="004F660A">
      <w:pPr>
        <w:spacing w:after="0" w:line="276" w:lineRule="auto"/>
        <w:jc w:val="both"/>
        <w:rPr>
          <w:rFonts w:ascii="HelveticaNeueLT Std" w:hAnsi="HelveticaNeueLT Std"/>
          <w:i/>
        </w:rPr>
      </w:pPr>
    </w:p>
    <w:p w14:paraId="2546640D" w14:textId="77777777" w:rsidR="004F660A" w:rsidRPr="004F039C" w:rsidRDefault="00EB41CD">
      <w:pPr>
        <w:spacing w:line="259" w:lineRule="auto"/>
        <w:rPr>
          <w:rFonts w:ascii="HelveticaNeueLT Std" w:hAnsi="HelveticaNeueLT Std"/>
          <w:i/>
        </w:rPr>
      </w:pPr>
      <w:r w:rsidRPr="004F039C">
        <w:rPr>
          <w:rFonts w:ascii="HelveticaNeueLT Std" w:hAnsi="HelveticaNeueLT Std"/>
          <w:b/>
        </w:rPr>
        <w:t>“Acuerdo por el que se reforma el Clasificador por Rubros de Ingresos”. “</w:t>
      </w:r>
      <w:r w:rsidRPr="004F039C">
        <w:rPr>
          <w:rFonts w:ascii="HelveticaNeueLT Std" w:hAnsi="HelveticaNeueLT Std"/>
          <w:i/>
        </w:rPr>
        <w:t>Se reforman el párrafo sexto de antecedentes y el pár</w:t>
      </w:r>
      <w:r w:rsidRPr="004F039C">
        <w:rPr>
          <w:rFonts w:ascii="HelveticaNeueLT Std" w:hAnsi="HelveticaNeueLT Std"/>
          <w:i/>
        </w:rPr>
        <w:t>rafo catorce del punto A. ASPECTOS GENERALES”.</w:t>
      </w:r>
    </w:p>
    <w:p w14:paraId="18792057" w14:textId="77777777" w:rsidR="004F660A" w:rsidRPr="004F039C" w:rsidRDefault="00EB41CD">
      <w:pPr>
        <w:spacing w:after="0" w:line="276" w:lineRule="auto"/>
        <w:jc w:val="both"/>
        <w:rPr>
          <w:rFonts w:ascii="HelveticaNeueLT Std" w:hAnsi="HelveticaNeueLT Std"/>
        </w:rPr>
      </w:pPr>
      <w:r w:rsidRPr="004F039C">
        <w:rPr>
          <w:rFonts w:ascii="HelveticaNeueLT Std" w:hAnsi="HelveticaNeueLT Std"/>
        </w:rPr>
        <w:t>Cabe mencionar que, en cumplimiento a los acuerdos referidos anteriormente, a partir de marzo de 2019, se envía la información en pesos, en los formatos del CONAC, con la finalidad de facilitar la fiscalizació</w:t>
      </w:r>
      <w:r w:rsidRPr="004F039C">
        <w:rPr>
          <w:rFonts w:ascii="HelveticaNeueLT Std" w:hAnsi="HelveticaNeueLT Std"/>
        </w:rPr>
        <w:t>n de los activos, pasivos, ingresos, egresos y, en general, que posibilite medir la eficacia del gasto público y contener las medidas de control interno que permitan verificar el registro de la totalidad de las operaciones financieras.</w:t>
      </w:r>
    </w:p>
    <w:p w14:paraId="79DA74C1" w14:textId="77777777" w:rsidR="004F660A" w:rsidRPr="004F039C" w:rsidRDefault="004F660A">
      <w:pPr>
        <w:spacing w:after="0" w:line="276" w:lineRule="auto"/>
        <w:jc w:val="both"/>
        <w:rPr>
          <w:rFonts w:ascii="HelveticaNeueLT Std" w:hAnsi="HelveticaNeueLT Std"/>
        </w:rPr>
      </w:pPr>
    </w:p>
    <w:p w14:paraId="4CBE176F" w14:textId="77777777" w:rsidR="004F660A" w:rsidRPr="004F039C" w:rsidRDefault="00EB41CD">
      <w:pPr>
        <w:numPr>
          <w:ilvl w:val="0"/>
          <w:numId w:val="7"/>
        </w:numPr>
        <w:spacing w:after="0" w:line="276" w:lineRule="auto"/>
        <w:ind w:left="851"/>
        <w:jc w:val="both"/>
        <w:rPr>
          <w:rFonts w:ascii="HelveticaNeueLT Std" w:hAnsi="HelveticaNeueLT Std"/>
        </w:rPr>
      </w:pPr>
      <w:r w:rsidRPr="004F039C">
        <w:rPr>
          <w:rFonts w:ascii="HelveticaNeueLT Std" w:hAnsi="HelveticaNeueLT Std"/>
          <w:b/>
        </w:rPr>
        <w:t>Políticas de Contab</w:t>
      </w:r>
      <w:r w:rsidRPr="004F039C">
        <w:rPr>
          <w:rFonts w:ascii="HelveticaNeueLT Std" w:hAnsi="HelveticaNeueLT Std"/>
          <w:b/>
        </w:rPr>
        <w:t>ilidad Significativas</w:t>
      </w:r>
    </w:p>
    <w:p w14:paraId="3395D8F6" w14:textId="77777777" w:rsidR="004F660A" w:rsidRPr="004F039C" w:rsidRDefault="004F660A">
      <w:pPr>
        <w:spacing w:after="0" w:line="276" w:lineRule="auto"/>
        <w:ind w:left="284"/>
        <w:jc w:val="both"/>
        <w:rPr>
          <w:rFonts w:ascii="HelveticaNeueLT Std" w:hAnsi="HelveticaNeueLT Std"/>
        </w:rPr>
      </w:pPr>
    </w:p>
    <w:p w14:paraId="16B134D4" w14:textId="77777777" w:rsidR="004F660A" w:rsidRPr="004F039C" w:rsidRDefault="00EB41CD">
      <w:pPr>
        <w:numPr>
          <w:ilvl w:val="0"/>
          <w:numId w:val="1"/>
        </w:numPr>
        <w:spacing w:line="276" w:lineRule="auto"/>
        <w:ind w:hanging="360"/>
        <w:jc w:val="both"/>
        <w:rPr>
          <w:rFonts w:ascii="HelveticaNeueLT Std" w:hAnsi="HelveticaNeueLT Std"/>
        </w:rPr>
      </w:pPr>
      <w:r w:rsidRPr="004F039C">
        <w:rPr>
          <w:rFonts w:ascii="HelveticaNeueLT Std" w:hAnsi="HelveticaNeueLT Std"/>
        </w:rPr>
        <w:t>Los Estados Financieros se preparan tomando como base los Postulados Básicos de Contabilidad Gubernamental.</w:t>
      </w:r>
    </w:p>
    <w:p w14:paraId="27446C3A" w14:textId="77777777" w:rsidR="004F660A" w:rsidRPr="004F039C" w:rsidRDefault="00EB41CD">
      <w:pPr>
        <w:numPr>
          <w:ilvl w:val="0"/>
          <w:numId w:val="1"/>
        </w:numPr>
        <w:ind w:hanging="360"/>
        <w:jc w:val="both"/>
        <w:rPr>
          <w:rFonts w:ascii="HelveticaNeueLT Std" w:hAnsi="HelveticaNeueLT Std"/>
        </w:rPr>
      </w:pPr>
      <w:r w:rsidRPr="004F039C">
        <w:rPr>
          <w:rFonts w:ascii="HelveticaNeueLT Std" w:hAnsi="HelveticaNeueLT Std"/>
        </w:rPr>
        <w:t>La información contable básica está conformada por el Estado de Situación Financiera, el Estado de Actividades para Entidades</w:t>
      </w:r>
      <w:r w:rsidRPr="004F039C">
        <w:rPr>
          <w:rFonts w:ascii="HelveticaNeueLT Std" w:hAnsi="HelveticaNeueLT Std"/>
        </w:rPr>
        <w:t xml:space="preserve"> con fines no lucrativos, el Estado de Flujos de Efectivo, Estado de Variaciones en la Hacienda Pública/Patrimonio, Estado Analítico del Activo, así como sus notas que son parte integrante de los mismos; también se integra por los estados complementarios, </w:t>
      </w:r>
      <w:r w:rsidRPr="004F039C">
        <w:rPr>
          <w:rFonts w:ascii="HelveticaNeueLT Std" w:hAnsi="HelveticaNeueLT Std"/>
        </w:rPr>
        <w:t>como la Disponibilidad del Flujo de Efectivo, la Evolución e Integración de la Deuda y el Estado de Cambios en el Capital de Trabajo.</w:t>
      </w:r>
    </w:p>
    <w:p w14:paraId="06F8C44A" w14:textId="77777777" w:rsidR="004F660A" w:rsidRPr="004F039C" w:rsidRDefault="00EB41CD">
      <w:pPr>
        <w:numPr>
          <w:ilvl w:val="0"/>
          <w:numId w:val="1"/>
        </w:numPr>
        <w:spacing w:line="276" w:lineRule="auto"/>
        <w:ind w:hanging="360"/>
        <w:jc w:val="both"/>
        <w:rPr>
          <w:rFonts w:ascii="HelveticaNeueLT Std" w:hAnsi="HelveticaNeueLT Std"/>
        </w:rPr>
      </w:pPr>
      <w:r w:rsidRPr="004F039C">
        <w:rPr>
          <w:rFonts w:ascii="HelveticaNeueLT Std" w:hAnsi="HelveticaNeueLT Std"/>
        </w:rPr>
        <w:t>La información presupuestal se integra por el Estado de Ingresos y Egresos, el Estado Comparativo de Ingresos, el Estado C</w:t>
      </w:r>
      <w:r w:rsidRPr="004F039C">
        <w:rPr>
          <w:rFonts w:ascii="HelveticaNeueLT Std" w:hAnsi="HelveticaNeueLT Std"/>
        </w:rPr>
        <w:t>omparativo de Egresos, el Estado de Avance Presupuestal de Ingresos y el Estado de Avance Presupuestal de Egresos, así como los complementarios que detallan los ingresos y egresos por cada concepto.</w:t>
      </w:r>
    </w:p>
    <w:p w14:paraId="108F0ED9" w14:textId="77777777" w:rsidR="004F660A" w:rsidRPr="004F039C" w:rsidRDefault="00EB41CD">
      <w:pPr>
        <w:numPr>
          <w:ilvl w:val="0"/>
          <w:numId w:val="1"/>
        </w:numPr>
        <w:spacing w:line="276" w:lineRule="auto"/>
        <w:ind w:hanging="360"/>
        <w:jc w:val="both"/>
        <w:rPr>
          <w:rFonts w:ascii="HelveticaNeueLT Std" w:hAnsi="HelveticaNeueLT Std"/>
        </w:rPr>
      </w:pPr>
      <w:r w:rsidRPr="004F039C">
        <w:rPr>
          <w:rFonts w:ascii="HelveticaNeueLT Std" w:hAnsi="HelveticaNeueLT Std"/>
        </w:rPr>
        <w:t>La información de obra pública se clasifica en Obras en P</w:t>
      </w:r>
      <w:r w:rsidRPr="004F039C">
        <w:rPr>
          <w:rFonts w:ascii="HelveticaNeueLT Std" w:hAnsi="HelveticaNeueLT Std"/>
        </w:rPr>
        <w:t>roceso y Gasto Ejercido; y Obras Concluidas y su Costo. Así como la información de la nómina: Plantilla de personal.</w:t>
      </w:r>
    </w:p>
    <w:p w14:paraId="5B3944A4" w14:textId="77777777" w:rsidR="004F660A" w:rsidRPr="004F039C" w:rsidRDefault="00EB41CD">
      <w:pPr>
        <w:numPr>
          <w:ilvl w:val="0"/>
          <w:numId w:val="1"/>
        </w:numPr>
        <w:spacing w:line="276" w:lineRule="auto"/>
        <w:ind w:hanging="360"/>
        <w:jc w:val="both"/>
        <w:rPr>
          <w:rFonts w:ascii="HelveticaNeueLT Std" w:hAnsi="HelveticaNeueLT Std"/>
        </w:rPr>
      </w:pPr>
      <w:r w:rsidRPr="004F039C">
        <w:rPr>
          <w:rFonts w:ascii="HelveticaNeueLT Std" w:hAnsi="HelveticaNeueLT Std"/>
        </w:rPr>
        <w:lastRenderedPageBreak/>
        <w:t>Respecto a la clasificación del pasivo, se considerará a corto plazo el que vence dentro del ejercicio fiscal correspondiente y, a largo pl</w:t>
      </w:r>
      <w:r w:rsidRPr="004F039C">
        <w:rPr>
          <w:rFonts w:ascii="HelveticaNeueLT Std" w:hAnsi="HelveticaNeueLT Std"/>
        </w:rPr>
        <w:t>azo el que venza en ejercicios fiscales posteriores al que corresponda la información.</w:t>
      </w:r>
    </w:p>
    <w:p w14:paraId="3F0B2F0E" w14:textId="77777777" w:rsidR="004F660A" w:rsidRPr="004F039C" w:rsidRDefault="00EB41CD">
      <w:pPr>
        <w:numPr>
          <w:ilvl w:val="0"/>
          <w:numId w:val="1"/>
        </w:numPr>
        <w:spacing w:line="276" w:lineRule="auto"/>
        <w:ind w:hanging="360"/>
        <w:jc w:val="both"/>
        <w:rPr>
          <w:rFonts w:ascii="HelveticaNeueLT Std" w:hAnsi="HelveticaNeueLT Std"/>
        </w:rPr>
      </w:pPr>
      <w:r w:rsidRPr="004F039C">
        <w:rPr>
          <w:rFonts w:ascii="HelveticaNeueLT Std" w:hAnsi="HelveticaNeueLT Std"/>
        </w:rPr>
        <w:t>Las inversiones en valores negociables, se encuentran representados por depósitos bancarios e inversiones de renta fija a corto plazo, se registran a su valor de mercado</w:t>
      </w:r>
      <w:r w:rsidRPr="004F039C">
        <w:rPr>
          <w:rFonts w:ascii="HelveticaNeueLT Std" w:hAnsi="HelveticaNeueLT Std"/>
        </w:rPr>
        <w:t xml:space="preserve"> (valor de la inversión, más el rendimiento acumulado). Los rendimientos generados se reconocen en resultados conforme se realizan, en los que siempre se deberá considerar el valor invertido más los rendimientos generados.</w:t>
      </w:r>
    </w:p>
    <w:p w14:paraId="2B190002" w14:textId="77777777" w:rsidR="004F660A" w:rsidRPr="004F039C" w:rsidRDefault="00EB41CD">
      <w:pPr>
        <w:numPr>
          <w:ilvl w:val="0"/>
          <w:numId w:val="1"/>
        </w:numPr>
        <w:spacing w:line="276" w:lineRule="auto"/>
        <w:ind w:hanging="360"/>
        <w:jc w:val="both"/>
        <w:rPr>
          <w:rFonts w:ascii="HelveticaNeueLT Std" w:hAnsi="HelveticaNeueLT Std"/>
        </w:rPr>
      </w:pPr>
      <w:r w:rsidRPr="004F039C">
        <w:rPr>
          <w:rFonts w:ascii="HelveticaNeueLT Std" w:hAnsi="HelveticaNeueLT Std"/>
        </w:rPr>
        <w:t>Los bienes muebles se registran a</w:t>
      </w:r>
      <w:r w:rsidRPr="004F039C">
        <w:rPr>
          <w:rFonts w:ascii="HelveticaNeueLT Std" w:hAnsi="HelveticaNeueLT Std"/>
        </w:rPr>
        <w:t xml:space="preserve"> su costo de adquisición, incluyendo el Impuesto al Valor Agregado (IVA). La depreciación se calcula a partir del mes siguiente al de su adquisición, aplicando las tasas establecidas en el Manual Único de Contabilidad Gubernamental para las Dependencias y </w:t>
      </w:r>
      <w:r w:rsidRPr="004F039C">
        <w:rPr>
          <w:rFonts w:ascii="HelveticaNeueLT Std" w:hAnsi="HelveticaNeueLT Std"/>
        </w:rPr>
        <w:t>Entidades del Gobierno y Municipios del Estado de México.</w:t>
      </w:r>
    </w:p>
    <w:p w14:paraId="792210FC" w14:textId="77777777" w:rsidR="004F660A" w:rsidRPr="004F039C" w:rsidRDefault="00EB41CD">
      <w:pPr>
        <w:numPr>
          <w:ilvl w:val="0"/>
          <w:numId w:val="1"/>
        </w:numPr>
        <w:spacing w:line="276" w:lineRule="auto"/>
        <w:ind w:hanging="360"/>
        <w:jc w:val="both"/>
        <w:rPr>
          <w:rFonts w:ascii="HelveticaNeueLT Std" w:hAnsi="HelveticaNeueLT Std"/>
        </w:rPr>
      </w:pPr>
      <w:r w:rsidRPr="004F039C">
        <w:rPr>
          <w:rFonts w:ascii="HelveticaNeueLT Std" w:hAnsi="HelveticaNeueLT Std"/>
        </w:rPr>
        <w:t xml:space="preserve">Las cuentas por cobrar representan la comprobación de los anticipos para gastos otorgados a los servidores públicos del Instituto o a terceros para cumplir con actividades de programas específicos, </w:t>
      </w:r>
      <w:r w:rsidRPr="004F039C">
        <w:rPr>
          <w:rFonts w:ascii="HelveticaNeueLT Std" w:hAnsi="HelveticaNeueLT Std"/>
        </w:rPr>
        <w:t>así como saldos que deberán ser comprobados o reintegrados conforme a la normatividad establecida.</w:t>
      </w:r>
    </w:p>
    <w:p w14:paraId="2AF27F98" w14:textId="77777777" w:rsidR="004F660A" w:rsidRPr="004F039C" w:rsidRDefault="00EB41CD">
      <w:pPr>
        <w:numPr>
          <w:ilvl w:val="0"/>
          <w:numId w:val="1"/>
        </w:numPr>
        <w:spacing w:line="276" w:lineRule="auto"/>
        <w:ind w:hanging="360"/>
        <w:jc w:val="both"/>
        <w:rPr>
          <w:rFonts w:ascii="HelveticaNeueLT Std" w:hAnsi="HelveticaNeueLT Std"/>
        </w:rPr>
      </w:pPr>
      <w:r w:rsidRPr="004F039C">
        <w:rPr>
          <w:rFonts w:ascii="HelveticaNeueLT Std" w:hAnsi="HelveticaNeueLT Std"/>
        </w:rPr>
        <w:t xml:space="preserve">Los anticipos a proveedores y contratistas, son las cantidades de dinero entregadas a los proveedores de bienes o servicios y contratistas de obra pública y </w:t>
      </w:r>
      <w:r w:rsidRPr="004F039C">
        <w:rPr>
          <w:rFonts w:ascii="HelveticaNeueLT Std" w:hAnsi="HelveticaNeueLT Std"/>
        </w:rPr>
        <w:t>servicios relacionados con la misma con el fin de obtener una contraprestación pactada mediante contrato o convenio, las cuales deberán ser comprobadas o reintegradas conforme a la normatividad establecida. Si el tercero no diera cumplimiento a lo dispuest</w:t>
      </w:r>
      <w:r w:rsidRPr="004F039C">
        <w:rPr>
          <w:rFonts w:ascii="HelveticaNeueLT Std" w:hAnsi="HelveticaNeueLT Std"/>
        </w:rPr>
        <w:t>o en el contrato o convenio, el asunto se deberá turnar a las áreas jurídicas para su recuperación a través de las fianzas correspondientes.</w:t>
      </w:r>
    </w:p>
    <w:p w14:paraId="3415C15D" w14:textId="77777777" w:rsidR="004F660A" w:rsidRPr="004F039C" w:rsidRDefault="00EB41CD">
      <w:pPr>
        <w:numPr>
          <w:ilvl w:val="0"/>
          <w:numId w:val="1"/>
        </w:numPr>
        <w:spacing w:line="259" w:lineRule="auto"/>
        <w:ind w:hanging="360"/>
        <w:jc w:val="both"/>
        <w:rPr>
          <w:rFonts w:ascii="HelveticaNeueLT Std" w:hAnsi="HelveticaNeueLT Std"/>
        </w:rPr>
      </w:pPr>
      <w:r w:rsidRPr="004F039C">
        <w:rPr>
          <w:rFonts w:ascii="HelveticaNeueLT Std" w:hAnsi="HelveticaNeueLT Std"/>
        </w:rPr>
        <w:t>Las existencias del almacén se valúan a costo promedio y se afectará tanto el resultado del ejercicio como el presu</w:t>
      </w:r>
      <w:r w:rsidRPr="004F039C">
        <w:rPr>
          <w:rFonts w:ascii="HelveticaNeueLT Std" w:hAnsi="HelveticaNeueLT Std"/>
        </w:rPr>
        <w:t>puesto de egresos en el momento en que el gasto se considere devengado, en términos de lo dispuesto por el Postulado Básico de Contabilidad Gubernamental, por otro lado, las existencias se controlarán en cuentas de orden.</w:t>
      </w:r>
    </w:p>
    <w:p w14:paraId="41A7C9C7" w14:textId="77777777" w:rsidR="004F660A" w:rsidRPr="004F039C" w:rsidRDefault="00EB41CD">
      <w:pPr>
        <w:numPr>
          <w:ilvl w:val="0"/>
          <w:numId w:val="7"/>
        </w:numPr>
        <w:spacing w:after="0" w:line="276" w:lineRule="auto"/>
        <w:ind w:left="851"/>
        <w:jc w:val="both"/>
        <w:rPr>
          <w:rFonts w:ascii="HelveticaNeueLT Std" w:hAnsi="HelveticaNeueLT Std"/>
          <w:b/>
        </w:rPr>
      </w:pPr>
      <w:r w:rsidRPr="004F039C">
        <w:rPr>
          <w:rFonts w:ascii="HelveticaNeueLT Std" w:hAnsi="HelveticaNeueLT Std"/>
          <w:b/>
        </w:rPr>
        <w:t>Posición en Moneda Extranjera y Pr</w:t>
      </w:r>
      <w:r w:rsidRPr="004F039C">
        <w:rPr>
          <w:rFonts w:ascii="HelveticaNeueLT Std" w:hAnsi="HelveticaNeueLT Std"/>
          <w:b/>
        </w:rPr>
        <w:t>otección por Riesgo Cambiario</w:t>
      </w:r>
    </w:p>
    <w:p w14:paraId="6ABD1EA8" w14:textId="2CA4AECD" w:rsidR="004F660A" w:rsidRPr="004F039C" w:rsidRDefault="00EB41CD">
      <w:pPr>
        <w:spacing w:after="101" w:line="276" w:lineRule="auto"/>
        <w:jc w:val="both"/>
        <w:rPr>
          <w:rFonts w:ascii="HelveticaNeueLT Std" w:hAnsi="HelveticaNeueLT Std"/>
        </w:rPr>
      </w:pPr>
      <w:r w:rsidRPr="004F039C">
        <w:rPr>
          <w:rFonts w:ascii="HelveticaNeueLT Std" w:hAnsi="HelveticaNeueLT Std"/>
        </w:rPr>
        <w:t>Los estados financieros antes mencionados se presentan en moneda de informe peso mexicano, que es igual a la moneda de registro y a su moneda funcional, por lo tanto, este punto no es aplicable para la entidad.</w:t>
      </w:r>
    </w:p>
    <w:p w14:paraId="744E1242" w14:textId="77777777" w:rsidR="004F660A" w:rsidRPr="004F039C" w:rsidRDefault="00EB41CD">
      <w:pPr>
        <w:numPr>
          <w:ilvl w:val="0"/>
          <w:numId w:val="7"/>
        </w:numPr>
        <w:spacing w:after="0" w:line="276" w:lineRule="auto"/>
        <w:ind w:left="851"/>
        <w:jc w:val="both"/>
        <w:rPr>
          <w:rFonts w:ascii="HelveticaNeueLT Std" w:hAnsi="HelveticaNeueLT Std"/>
          <w:b/>
        </w:rPr>
      </w:pPr>
      <w:r w:rsidRPr="004F039C">
        <w:rPr>
          <w:rFonts w:ascii="HelveticaNeueLT Std" w:hAnsi="HelveticaNeueLT Std"/>
          <w:b/>
        </w:rPr>
        <w:t>Reporte Analíti</w:t>
      </w:r>
      <w:r w:rsidRPr="004F039C">
        <w:rPr>
          <w:rFonts w:ascii="HelveticaNeueLT Std" w:hAnsi="HelveticaNeueLT Std"/>
          <w:b/>
        </w:rPr>
        <w:t>co del Activo</w:t>
      </w:r>
    </w:p>
    <w:p w14:paraId="721F5826" w14:textId="77777777" w:rsidR="004F660A" w:rsidRPr="004F039C" w:rsidRDefault="004F660A">
      <w:pPr>
        <w:spacing w:after="0" w:line="276" w:lineRule="auto"/>
        <w:jc w:val="both"/>
        <w:rPr>
          <w:rFonts w:ascii="HelveticaNeueLT Std" w:hAnsi="HelveticaNeueLT Std"/>
          <w:b/>
        </w:rPr>
      </w:pPr>
    </w:p>
    <w:p w14:paraId="3785927B" w14:textId="77777777" w:rsidR="004F660A" w:rsidRPr="004F039C" w:rsidRDefault="00EB41CD">
      <w:pPr>
        <w:spacing w:after="0" w:line="240" w:lineRule="auto"/>
        <w:jc w:val="both"/>
        <w:rPr>
          <w:rFonts w:ascii="HelveticaNeueLT Std" w:hAnsi="HelveticaNeueLT Std"/>
        </w:rPr>
      </w:pPr>
      <w:r w:rsidRPr="004F039C">
        <w:rPr>
          <w:rFonts w:ascii="HelveticaNeueLT Std" w:hAnsi="HelveticaNeueLT Std"/>
        </w:rPr>
        <w:t>En el “</w:t>
      </w:r>
      <w:r w:rsidRPr="004F039C">
        <w:rPr>
          <w:rFonts w:ascii="HelveticaNeueLT Std" w:hAnsi="HelveticaNeueLT Std"/>
          <w:b/>
        </w:rPr>
        <w:t xml:space="preserve">Estado Analítico del Activo”, </w:t>
      </w:r>
      <w:r w:rsidRPr="004F039C">
        <w:rPr>
          <w:rFonts w:ascii="HelveticaNeueLT Std" w:hAnsi="HelveticaNeueLT Std"/>
        </w:rPr>
        <w:t>se observa el comportamiento de los fondos, valores y bienes identificados y cuantificados en términos monetarios, que dispone el Instituto para realizar sus actividades, los cuales fueron comentados en p</w:t>
      </w:r>
      <w:r w:rsidRPr="004F039C">
        <w:rPr>
          <w:rFonts w:ascii="HelveticaNeueLT Std" w:hAnsi="HelveticaNeueLT Std"/>
        </w:rPr>
        <w:t>árrafos anteriores y los</w:t>
      </w:r>
      <w:r w:rsidRPr="004F039C">
        <w:rPr>
          <w:rFonts w:ascii="HelveticaNeueLT Std" w:hAnsi="HelveticaNeueLT Std"/>
          <w:b/>
        </w:rPr>
        <w:t xml:space="preserve"> bienes muebles e inmuebles, </w:t>
      </w:r>
      <w:r w:rsidRPr="004F039C">
        <w:rPr>
          <w:rFonts w:ascii="HelveticaNeueLT Std" w:hAnsi="HelveticaNeueLT Std"/>
        </w:rPr>
        <w:t>como</w:t>
      </w:r>
      <w:r w:rsidRPr="004F039C">
        <w:rPr>
          <w:rFonts w:ascii="HelveticaNeueLT Std" w:hAnsi="HelveticaNeueLT Std"/>
          <w:b/>
        </w:rPr>
        <w:t xml:space="preserve"> </w:t>
      </w:r>
      <w:r w:rsidRPr="004F039C">
        <w:rPr>
          <w:rFonts w:ascii="HelveticaNeueLT Std" w:hAnsi="HelveticaNeueLT Std"/>
        </w:rPr>
        <w:t>se detallan a continuación:</w:t>
      </w:r>
      <w:r w:rsidRPr="004F039C">
        <w:rPr>
          <w:rFonts w:ascii="HelveticaNeueLT Std" w:hAnsi="HelveticaNeueLT Std"/>
          <w:noProof/>
        </w:rPr>
        <mc:AlternateContent>
          <mc:Choice Requires="wpg">
            <w:drawing>
              <wp:anchor distT="0" distB="0" distL="114300" distR="114300" simplePos="0" relativeHeight="251660288" behindDoc="0" locked="0" layoutInCell="1" hidden="0" allowOverlap="1" wp14:anchorId="0DEEA361" wp14:editId="16FE7E35">
                <wp:simplePos x="0" y="0"/>
                <wp:positionH relativeFrom="column">
                  <wp:posOffset>-685799</wp:posOffset>
                </wp:positionH>
                <wp:positionV relativeFrom="paragraph">
                  <wp:posOffset>-7429499</wp:posOffset>
                </wp:positionV>
                <wp:extent cx="6467475" cy="1924685"/>
                <wp:effectExtent l="0" t="0" r="0" b="0"/>
                <wp:wrapNone/>
                <wp:docPr id="522" name="Grupo 522"/>
                <wp:cNvGraphicFramePr/>
                <a:graphic xmlns:a="http://schemas.openxmlformats.org/drawingml/2006/main">
                  <a:graphicData uri="http://schemas.microsoft.com/office/word/2010/wordprocessingGroup">
                    <wpg:wgp>
                      <wpg:cNvGrpSpPr/>
                      <wpg:grpSpPr>
                        <a:xfrm>
                          <a:off x="0" y="0"/>
                          <a:ext cx="6467475" cy="1924685"/>
                          <a:chOff x="2112250" y="2683350"/>
                          <a:chExt cx="6467500" cy="2193300"/>
                        </a:xfrm>
                      </wpg:grpSpPr>
                      <wpg:grpSp>
                        <wpg:cNvPr id="1" name="Grupo 1"/>
                        <wpg:cNvGrpSpPr/>
                        <wpg:grpSpPr>
                          <a:xfrm>
                            <a:off x="2112263" y="2683355"/>
                            <a:ext cx="6467475" cy="2193290"/>
                            <a:chOff x="0" y="0"/>
                            <a:chExt cx="6467475" cy="2193290"/>
                          </a:xfrm>
                        </wpg:grpSpPr>
                        <wps:wsp>
                          <wps:cNvPr id="2" name="Rectángulo 2"/>
                          <wps:cNvSpPr/>
                          <wps:spPr>
                            <a:xfrm>
                              <a:off x="0" y="0"/>
                              <a:ext cx="6467475" cy="2193275"/>
                            </a:xfrm>
                            <a:prstGeom prst="rect">
                              <a:avLst/>
                            </a:prstGeom>
                            <a:noFill/>
                            <a:ln>
                              <a:noFill/>
                            </a:ln>
                          </wps:spPr>
                          <wps:txbx>
                            <w:txbxContent>
                              <w:p w14:paraId="58826D48" w14:textId="77777777" w:rsidR="004F660A" w:rsidRDefault="004F660A">
                                <w:pPr>
                                  <w:spacing w:after="0" w:line="240" w:lineRule="auto"/>
                                  <w:textDirection w:val="btLr"/>
                                </w:pPr>
                              </w:p>
                            </w:txbxContent>
                          </wps:txbx>
                          <wps:bodyPr spcFirstLastPara="1" wrap="square" lIns="91425" tIns="91425" rIns="91425" bIns="91425" anchor="ctr" anchorCtr="0">
                            <a:noAutofit/>
                          </wps:bodyPr>
                        </wps:wsp>
                        <wps:wsp>
                          <wps:cNvPr id="3" name="Rectángulo 3"/>
                          <wps:cNvSpPr/>
                          <wps:spPr>
                            <a:xfrm>
                              <a:off x="0" y="0"/>
                              <a:ext cx="6467475" cy="1924685"/>
                            </a:xfrm>
                            <a:prstGeom prst="rect">
                              <a:avLst/>
                            </a:prstGeom>
                            <a:noFill/>
                            <a:ln>
                              <a:noFill/>
                            </a:ln>
                          </wps:spPr>
                          <wps:txbx>
                            <w:txbxContent>
                              <w:p w14:paraId="13CA128F" w14:textId="77777777" w:rsidR="004F660A" w:rsidRDefault="004F660A">
                                <w:pPr>
                                  <w:spacing w:after="0" w:line="240" w:lineRule="auto"/>
                                  <w:textDirection w:val="btLr"/>
                                </w:pPr>
                              </w:p>
                            </w:txbxContent>
                          </wps:txbx>
                          <wps:bodyPr spcFirstLastPara="1" wrap="square" lIns="91425" tIns="91425" rIns="91425" bIns="91425" anchor="ctr" anchorCtr="0">
                            <a:noAutofit/>
                          </wps:bodyPr>
                        </wps:wsp>
                        <wps:wsp>
                          <wps:cNvPr id="4" name="Rectángulo 4"/>
                          <wps:cNvSpPr/>
                          <wps:spPr>
                            <a:xfrm>
                              <a:off x="6244590" y="464820"/>
                              <a:ext cx="6350" cy="6350"/>
                            </a:xfrm>
                            <a:prstGeom prst="rect">
                              <a:avLst/>
                            </a:prstGeom>
                            <a:solidFill>
                              <a:srgbClr val="D4D4D4"/>
                            </a:solidFill>
                            <a:ln>
                              <a:noFill/>
                            </a:ln>
                          </wps:spPr>
                          <wps:txbx>
                            <w:txbxContent>
                              <w:p w14:paraId="2E136981" w14:textId="77777777" w:rsidR="004F660A" w:rsidRDefault="004F660A">
                                <w:pPr>
                                  <w:spacing w:after="0" w:line="240" w:lineRule="auto"/>
                                  <w:textDirection w:val="btLr"/>
                                </w:pPr>
                              </w:p>
                            </w:txbxContent>
                          </wps:txbx>
                          <wps:bodyPr spcFirstLastPara="1" wrap="square" lIns="91425" tIns="91425" rIns="91425" bIns="91425" anchor="ctr" anchorCtr="0">
                            <a:noAutofit/>
                          </wps:bodyPr>
                        </wps:wsp>
                        <wps:wsp>
                          <wps:cNvPr id="5" name="Conector recto de flecha 5"/>
                          <wps:cNvCnPr/>
                          <wps:spPr>
                            <a:xfrm>
                              <a:off x="6244590" y="615315"/>
                              <a:ext cx="635" cy="635"/>
                            </a:xfrm>
                            <a:prstGeom prst="straightConnector1">
                              <a:avLst/>
                            </a:prstGeom>
                            <a:noFill/>
                            <a:ln w="9525" cap="flat" cmpd="sng">
                              <a:solidFill>
                                <a:srgbClr val="D4D4D4"/>
                              </a:solidFill>
                              <a:prstDash val="solid"/>
                              <a:round/>
                              <a:headEnd type="none" w="med" len="med"/>
                              <a:tailEnd type="none" w="med" len="med"/>
                            </a:ln>
                          </wps:spPr>
                          <wps:bodyPr/>
                        </wps:wsp>
                        <wps:wsp>
                          <wps:cNvPr id="6" name="Rectángulo 6"/>
                          <wps:cNvSpPr/>
                          <wps:spPr>
                            <a:xfrm>
                              <a:off x="6244590" y="615315"/>
                              <a:ext cx="6350" cy="6350"/>
                            </a:xfrm>
                            <a:prstGeom prst="rect">
                              <a:avLst/>
                            </a:prstGeom>
                            <a:solidFill>
                              <a:srgbClr val="D4D4D4"/>
                            </a:solidFill>
                            <a:ln>
                              <a:noFill/>
                            </a:ln>
                          </wps:spPr>
                          <wps:txbx>
                            <w:txbxContent>
                              <w:p w14:paraId="138EE7AA" w14:textId="77777777" w:rsidR="004F660A" w:rsidRDefault="004F660A">
                                <w:pPr>
                                  <w:spacing w:after="0" w:line="240" w:lineRule="auto"/>
                                  <w:textDirection w:val="btLr"/>
                                </w:pPr>
                              </w:p>
                            </w:txbxContent>
                          </wps:txbx>
                          <wps:bodyPr spcFirstLastPara="1" wrap="square" lIns="91425" tIns="91425" rIns="91425" bIns="91425" anchor="ctr" anchorCtr="0">
                            <a:noAutofit/>
                          </wps:bodyPr>
                        </wps:wsp>
                        <wps:wsp>
                          <wps:cNvPr id="7" name="Conector recto de flecha 7"/>
                          <wps:cNvCnPr/>
                          <wps:spPr>
                            <a:xfrm>
                              <a:off x="6244590" y="772160"/>
                              <a:ext cx="635" cy="635"/>
                            </a:xfrm>
                            <a:prstGeom prst="straightConnector1">
                              <a:avLst/>
                            </a:prstGeom>
                            <a:noFill/>
                            <a:ln w="9525" cap="flat" cmpd="sng">
                              <a:solidFill>
                                <a:srgbClr val="D4D4D4"/>
                              </a:solidFill>
                              <a:prstDash val="solid"/>
                              <a:round/>
                              <a:headEnd type="none" w="med" len="med"/>
                              <a:tailEnd type="none" w="med" len="med"/>
                            </a:ln>
                          </wps:spPr>
                          <wps:bodyPr/>
                        </wps:wsp>
                        <wps:wsp>
                          <wps:cNvPr id="8" name="Rectángulo 8"/>
                          <wps:cNvSpPr/>
                          <wps:spPr>
                            <a:xfrm>
                              <a:off x="6244590" y="772160"/>
                              <a:ext cx="6350" cy="6985"/>
                            </a:xfrm>
                            <a:prstGeom prst="rect">
                              <a:avLst/>
                            </a:prstGeom>
                            <a:solidFill>
                              <a:srgbClr val="D4D4D4"/>
                            </a:solidFill>
                            <a:ln>
                              <a:noFill/>
                            </a:ln>
                          </wps:spPr>
                          <wps:txbx>
                            <w:txbxContent>
                              <w:p w14:paraId="56F62C41" w14:textId="77777777" w:rsidR="004F660A" w:rsidRDefault="004F660A">
                                <w:pPr>
                                  <w:spacing w:after="0" w:line="240" w:lineRule="auto"/>
                                  <w:textDirection w:val="btLr"/>
                                </w:pPr>
                              </w:p>
                            </w:txbxContent>
                          </wps:txbx>
                          <wps:bodyPr spcFirstLastPara="1" wrap="square" lIns="91425" tIns="91425" rIns="91425" bIns="91425" anchor="ctr" anchorCtr="0">
                            <a:noAutofit/>
                          </wps:bodyPr>
                        </wps:wsp>
                        <wps:wsp>
                          <wps:cNvPr id="9" name="Conector recto de flecha 9"/>
                          <wps:cNvCnPr/>
                          <wps:spPr>
                            <a:xfrm>
                              <a:off x="6244590" y="896620"/>
                              <a:ext cx="635" cy="635"/>
                            </a:xfrm>
                            <a:prstGeom prst="straightConnector1">
                              <a:avLst/>
                            </a:prstGeom>
                            <a:noFill/>
                            <a:ln w="9525" cap="flat" cmpd="sng">
                              <a:solidFill>
                                <a:srgbClr val="D4D4D4"/>
                              </a:solidFill>
                              <a:prstDash val="solid"/>
                              <a:round/>
                              <a:headEnd type="none" w="med" len="med"/>
                              <a:tailEnd type="none" w="med" len="med"/>
                            </a:ln>
                          </wps:spPr>
                          <wps:bodyPr/>
                        </wps:wsp>
                        <wps:wsp>
                          <wps:cNvPr id="10" name="Rectángulo 10"/>
                          <wps:cNvSpPr/>
                          <wps:spPr>
                            <a:xfrm>
                              <a:off x="6244590" y="896620"/>
                              <a:ext cx="6350" cy="6985"/>
                            </a:xfrm>
                            <a:prstGeom prst="rect">
                              <a:avLst/>
                            </a:prstGeom>
                            <a:solidFill>
                              <a:srgbClr val="D4D4D4"/>
                            </a:solidFill>
                            <a:ln>
                              <a:noFill/>
                            </a:ln>
                          </wps:spPr>
                          <wps:txbx>
                            <w:txbxContent>
                              <w:p w14:paraId="264DDD24" w14:textId="77777777" w:rsidR="004F660A" w:rsidRDefault="004F660A">
                                <w:pPr>
                                  <w:spacing w:after="0" w:line="240" w:lineRule="auto"/>
                                  <w:textDirection w:val="btLr"/>
                                </w:pPr>
                              </w:p>
                            </w:txbxContent>
                          </wps:txbx>
                          <wps:bodyPr spcFirstLastPara="1" wrap="square" lIns="91425" tIns="91425" rIns="91425" bIns="91425" anchor="ctr" anchorCtr="0">
                            <a:noAutofit/>
                          </wps:bodyPr>
                        </wps:wsp>
                        <wps:wsp>
                          <wps:cNvPr id="11" name="Conector recto de flecha 11"/>
                          <wps:cNvCnPr/>
                          <wps:spPr>
                            <a:xfrm>
                              <a:off x="6244590" y="1008380"/>
                              <a:ext cx="635" cy="635"/>
                            </a:xfrm>
                            <a:prstGeom prst="straightConnector1">
                              <a:avLst/>
                            </a:prstGeom>
                            <a:noFill/>
                            <a:ln w="9525" cap="flat" cmpd="sng">
                              <a:solidFill>
                                <a:srgbClr val="D4D4D4"/>
                              </a:solidFill>
                              <a:prstDash val="solid"/>
                              <a:round/>
                              <a:headEnd type="none" w="med" len="med"/>
                              <a:tailEnd type="none" w="med" len="med"/>
                            </a:ln>
                          </wps:spPr>
                          <wps:bodyPr/>
                        </wps:wsp>
                        <wps:wsp>
                          <wps:cNvPr id="12" name="Rectángulo 12"/>
                          <wps:cNvSpPr/>
                          <wps:spPr>
                            <a:xfrm>
                              <a:off x="6244590" y="1008380"/>
                              <a:ext cx="6350" cy="6350"/>
                            </a:xfrm>
                            <a:prstGeom prst="rect">
                              <a:avLst/>
                            </a:prstGeom>
                            <a:solidFill>
                              <a:srgbClr val="D4D4D4"/>
                            </a:solidFill>
                            <a:ln>
                              <a:noFill/>
                            </a:ln>
                          </wps:spPr>
                          <wps:txbx>
                            <w:txbxContent>
                              <w:p w14:paraId="17DD1938" w14:textId="77777777" w:rsidR="004F660A" w:rsidRDefault="004F660A">
                                <w:pPr>
                                  <w:spacing w:after="0" w:line="240" w:lineRule="auto"/>
                                  <w:textDirection w:val="btLr"/>
                                </w:pPr>
                              </w:p>
                            </w:txbxContent>
                          </wps:txbx>
                          <wps:bodyPr spcFirstLastPara="1" wrap="square" lIns="91425" tIns="91425" rIns="91425" bIns="91425" anchor="ctr" anchorCtr="0">
                            <a:noAutofit/>
                          </wps:bodyPr>
                        </wps:wsp>
                        <wps:wsp>
                          <wps:cNvPr id="13" name="Conector recto de flecha 13"/>
                          <wps:cNvCnPr/>
                          <wps:spPr>
                            <a:xfrm>
                              <a:off x="6244590" y="1119505"/>
                              <a:ext cx="635" cy="635"/>
                            </a:xfrm>
                            <a:prstGeom prst="straightConnector1">
                              <a:avLst/>
                            </a:prstGeom>
                            <a:noFill/>
                            <a:ln w="9525" cap="flat" cmpd="sng">
                              <a:solidFill>
                                <a:srgbClr val="D4D4D4"/>
                              </a:solidFill>
                              <a:prstDash val="solid"/>
                              <a:round/>
                              <a:headEnd type="none" w="med" len="med"/>
                              <a:tailEnd type="none" w="med" len="med"/>
                            </a:ln>
                          </wps:spPr>
                          <wps:bodyPr/>
                        </wps:wsp>
                        <wps:wsp>
                          <wps:cNvPr id="14" name="Rectángulo 14"/>
                          <wps:cNvSpPr/>
                          <wps:spPr>
                            <a:xfrm>
                              <a:off x="6244590" y="1119505"/>
                              <a:ext cx="6350" cy="6350"/>
                            </a:xfrm>
                            <a:prstGeom prst="rect">
                              <a:avLst/>
                            </a:prstGeom>
                            <a:solidFill>
                              <a:srgbClr val="D4D4D4"/>
                            </a:solidFill>
                            <a:ln>
                              <a:noFill/>
                            </a:ln>
                          </wps:spPr>
                          <wps:txbx>
                            <w:txbxContent>
                              <w:p w14:paraId="33F0F315" w14:textId="77777777" w:rsidR="004F660A" w:rsidRDefault="004F660A">
                                <w:pPr>
                                  <w:spacing w:after="0" w:line="240" w:lineRule="auto"/>
                                  <w:textDirection w:val="btLr"/>
                                </w:pPr>
                              </w:p>
                            </w:txbxContent>
                          </wps:txbx>
                          <wps:bodyPr spcFirstLastPara="1" wrap="square" lIns="91425" tIns="91425" rIns="91425" bIns="91425" anchor="ctr" anchorCtr="0">
                            <a:noAutofit/>
                          </wps:bodyPr>
                        </wps:wsp>
                        <wps:wsp>
                          <wps:cNvPr id="15" name="Conector recto de flecha 15"/>
                          <wps:cNvCnPr/>
                          <wps:spPr>
                            <a:xfrm>
                              <a:off x="6244590" y="1230630"/>
                              <a:ext cx="635" cy="635"/>
                            </a:xfrm>
                            <a:prstGeom prst="straightConnector1">
                              <a:avLst/>
                            </a:prstGeom>
                            <a:noFill/>
                            <a:ln w="9525" cap="flat" cmpd="sng">
                              <a:solidFill>
                                <a:srgbClr val="D4D4D4"/>
                              </a:solidFill>
                              <a:prstDash val="solid"/>
                              <a:round/>
                              <a:headEnd type="none" w="med" len="med"/>
                              <a:tailEnd type="none" w="med" len="med"/>
                            </a:ln>
                          </wps:spPr>
                          <wps:bodyPr/>
                        </wps:wsp>
                        <wps:wsp>
                          <wps:cNvPr id="16" name="Rectángulo 16"/>
                          <wps:cNvSpPr/>
                          <wps:spPr>
                            <a:xfrm>
                              <a:off x="6244590" y="1230630"/>
                              <a:ext cx="6350" cy="6985"/>
                            </a:xfrm>
                            <a:prstGeom prst="rect">
                              <a:avLst/>
                            </a:prstGeom>
                            <a:solidFill>
                              <a:srgbClr val="D4D4D4"/>
                            </a:solidFill>
                            <a:ln>
                              <a:noFill/>
                            </a:ln>
                          </wps:spPr>
                          <wps:txbx>
                            <w:txbxContent>
                              <w:p w14:paraId="445EE94E" w14:textId="77777777" w:rsidR="004F660A" w:rsidRDefault="004F660A">
                                <w:pPr>
                                  <w:spacing w:after="0" w:line="240" w:lineRule="auto"/>
                                  <w:textDirection w:val="btLr"/>
                                </w:pPr>
                              </w:p>
                            </w:txbxContent>
                          </wps:txbx>
                          <wps:bodyPr spcFirstLastPara="1" wrap="square" lIns="91425" tIns="91425" rIns="91425" bIns="91425" anchor="ctr" anchorCtr="0">
                            <a:noAutofit/>
                          </wps:bodyPr>
                        </wps:wsp>
                        <wps:wsp>
                          <wps:cNvPr id="17" name="Conector recto de flecha 17"/>
                          <wps:cNvCnPr/>
                          <wps:spPr>
                            <a:xfrm>
                              <a:off x="6244590" y="1342390"/>
                              <a:ext cx="635" cy="635"/>
                            </a:xfrm>
                            <a:prstGeom prst="straightConnector1">
                              <a:avLst/>
                            </a:prstGeom>
                            <a:noFill/>
                            <a:ln w="9525" cap="flat" cmpd="sng">
                              <a:solidFill>
                                <a:srgbClr val="D4D4D4"/>
                              </a:solidFill>
                              <a:prstDash val="solid"/>
                              <a:round/>
                              <a:headEnd type="none" w="med" len="med"/>
                              <a:tailEnd type="none" w="med" len="med"/>
                            </a:ln>
                          </wps:spPr>
                          <wps:bodyPr/>
                        </wps:wsp>
                        <wps:wsp>
                          <wps:cNvPr id="18" name="Rectángulo 18"/>
                          <wps:cNvSpPr/>
                          <wps:spPr>
                            <a:xfrm>
                              <a:off x="6244590" y="1342390"/>
                              <a:ext cx="6350" cy="6350"/>
                            </a:xfrm>
                            <a:prstGeom prst="rect">
                              <a:avLst/>
                            </a:prstGeom>
                            <a:solidFill>
                              <a:srgbClr val="D4D4D4"/>
                            </a:solidFill>
                            <a:ln>
                              <a:noFill/>
                            </a:ln>
                          </wps:spPr>
                          <wps:txbx>
                            <w:txbxContent>
                              <w:p w14:paraId="3056D3C3" w14:textId="77777777" w:rsidR="004F660A" w:rsidRDefault="004F660A">
                                <w:pPr>
                                  <w:spacing w:after="0" w:line="240" w:lineRule="auto"/>
                                  <w:textDirection w:val="btLr"/>
                                </w:pPr>
                              </w:p>
                            </w:txbxContent>
                          </wps:txbx>
                          <wps:bodyPr spcFirstLastPara="1" wrap="square" lIns="91425" tIns="91425" rIns="91425" bIns="91425" anchor="ctr" anchorCtr="0">
                            <a:noAutofit/>
                          </wps:bodyPr>
                        </wps:wsp>
                        <wps:wsp>
                          <wps:cNvPr id="19" name="Conector recto de flecha 19"/>
                          <wps:cNvCnPr/>
                          <wps:spPr>
                            <a:xfrm>
                              <a:off x="6244590" y="1512570"/>
                              <a:ext cx="635" cy="635"/>
                            </a:xfrm>
                            <a:prstGeom prst="straightConnector1">
                              <a:avLst/>
                            </a:prstGeom>
                            <a:noFill/>
                            <a:ln w="9525" cap="flat" cmpd="sng">
                              <a:solidFill>
                                <a:srgbClr val="D4D4D4"/>
                              </a:solidFill>
                              <a:prstDash val="solid"/>
                              <a:round/>
                              <a:headEnd type="none" w="med" len="med"/>
                              <a:tailEnd type="none" w="med" len="med"/>
                            </a:ln>
                          </wps:spPr>
                          <wps:bodyPr/>
                        </wps:wsp>
                        <wps:wsp>
                          <wps:cNvPr id="20" name="Rectángulo 20"/>
                          <wps:cNvSpPr/>
                          <wps:spPr>
                            <a:xfrm>
                              <a:off x="6244590" y="1512570"/>
                              <a:ext cx="6350" cy="6350"/>
                            </a:xfrm>
                            <a:prstGeom prst="rect">
                              <a:avLst/>
                            </a:prstGeom>
                            <a:solidFill>
                              <a:srgbClr val="D4D4D4"/>
                            </a:solidFill>
                            <a:ln>
                              <a:noFill/>
                            </a:ln>
                          </wps:spPr>
                          <wps:txbx>
                            <w:txbxContent>
                              <w:p w14:paraId="2F1A4768" w14:textId="77777777" w:rsidR="004F660A" w:rsidRDefault="004F660A">
                                <w:pPr>
                                  <w:spacing w:after="0" w:line="240" w:lineRule="auto"/>
                                  <w:textDirection w:val="btLr"/>
                                </w:pPr>
                              </w:p>
                            </w:txbxContent>
                          </wps:txbx>
                          <wps:bodyPr spcFirstLastPara="1" wrap="square" lIns="91425" tIns="91425" rIns="91425" bIns="91425" anchor="ctr" anchorCtr="0">
                            <a:noAutofit/>
                          </wps:bodyPr>
                        </wps:wsp>
                        <wps:wsp>
                          <wps:cNvPr id="21" name="Conector recto de flecha 21"/>
                          <wps:cNvCnPr/>
                          <wps:spPr>
                            <a:xfrm>
                              <a:off x="6244590" y="1623695"/>
                              <a:ext cx="635" cy="635"/>
                            </a:xfrm>
                            <a:prstGeom prst="straightConnector1">
                              <a:avLst/>
                            </a:prstGeom>
                            <a:noFill/>
                            <a:ln w="9525" cap="flat" cmpd="sng">
                              <a:solidFill>
                                <a:srgbClr val="D4D4D4"/>
                              </a:solidFill>
                              <a:prstDash val="solid"/>
                              <a:round/>
                              <a:headEnd type="none" w="med" len="med"/>
                              <a:tailEnd type="none" w="med" len="med"/>
                            </a:ln>
                          </wps:spPr>
                          <wps:bodyPr/>
                        </wps:wsp>
                        <wps:wsp>
                          <wps:cNvPr id="22" name="Rectángulo 22"/>
                          <wps:cNvSpPr/>
                          <wps:spPr>
                            <a:xfrm>
                              <a:off x="6244590" y="1623695"/>
                              <a:ext cx="6350" cy="6350"/>
                            </a:xfrm>
                            <a:prstGeom prst="rect">
                              <a:avLst/>
                            </a:prstGeom>
                            <a:solidFill>
                              <a:srgbClr val="D4D4D4"/>
                            </a:solidFill>
                            <a:ln>
                              <a:noFill/>
                            </a:ln>
                          </wps:spPr>
                          <wps:txbx>
                            <w:txbxContent>
                              <w:p w14:paraId="06DA84A1" w14:textId="77777777" w:rsidR="004F660A" w:rsidRDefault="004F660A">
                                <w:pPr>
                                  <w:spacing w:after="0" w:line="240" w:lineRule="auto"/>
                                  <w:textDirection w:val="btLr"/>
                                </w:pPr>
                              </w:p>
                            </w:txbxContent>
                          </wps:txbx>
                          <wps:bodyPr spcFirstLastPara="1" wrap="square" lIns="91425" tIns="91425" rIns="91425" bIns="91425" anchor="ctr" anchorCtr="0">
                            <a:noAutofit/>
                          </wps:bodyPr>
                        </wps:wsp>
                        <wps:wsp>
                          <wps:cNvPr id="23" name="Conector recto de flecha 23"/>
                          <wps:cNvCnPr/>
                          <wps:spPr>
                            <a:xfrm>
                              <a:off x="6244590" y="1734820"/>
                              <a:ext cx="635" cy="635"/>
                            </a:xfrm>
                            <a:prstGeom prst="straightConnector1">
                              <a:avLst/>
                            </a:prstGeom>
                            <a:noFill/>
                            <a:ln w="9525" cap="flat" cmpd="sng">
                              <a:solidFill>
                                <a:srgbClr val="D4D4D4"/>
                              </a:solidFill>
                              <a:prstDash val="solid"/>
                              <a:round/>
                              <a:headEnd type="none" w="med" len="med"/>
                              <a:tailEnd type="none" w="med" len="med"/>
                            </a:ln>
                          </wps:spPr>
                          <wps:bodyPr/>
                        </wps:wsp>
                        <wps:wsp>
                          <wps:cNvPr id="24" name="Rectángulo 24"/>
                          <wps:cNvSpPr/>
                          <wps:spPr>
                            <a:xfrm>
                              <a:off x="6244590" y="1734820"/>
                              <a:ext cx="6350" cy="6985"/>
                            </a:xfrm>
                            <a:prstGeom prst="rect">
                              <a:avLst/>
                            </a:prstGeom>
                            <a:solidFill>
                              <a:srgbClr val="D4D4D4"/>
                            </a:solidFill>
                            <a:ln>
                              <a:noFill/>
                            </a:ln>
                          </wps:spPr>
                          <wps:txbx>
                            <w:txbxContent>
                              <w:p w14:paraId="1F99A407" w14:textId="77777777" w:rsidR="004F660A" w:rsidRDefault="004F660A">
                                <w:pPr>
                                  <w:spacing w:after="0" w:line="240" w:lineRule="auto"/>
                                  <w:textDirection w:val="btLr"/>
                                </w:pPr>
                              </w:p>
                            </w:txbxContent>
                          </wps:txbx>
                          <wps:bodyPr spcFirstLastPara="1" wrap="square" lIns="91425" tIns="91425" rIns="91425" bIns="91425" anchor="ctr" anchorCtr="0">
                            <a:noAutofit/>
                          </wps:bodyPr>
                        </wps:wsp>
                        <wps:wsp>
                          <wps:cNvPr id="25" name="Conector recto de flecha 25"/>
                          <wps:cNvCnPr/>
                          <wps:spPr>
                            <a:xfrm>
                              <a:off x="6244590" y="1846580"/>
                              <a:ext cx="635" cy="635"/>
                            </a:xfrm>
                            <a:prstGeom prst="straightConnector1">
                              <a:avLst/>
                            </a:prstGeom>
                            <a:noFill/>
                            <a:ln w="9525" cap="flat" cmpd="sng">
                              <a:solidFill>
                                <a:srgbClr val="D4D4D4"/>
                              </a:solidFill>
                              <a:prstDash val="solid"/>
                              <a:round/>
                              <a:headEnd type="none" w="med" len="med"/>
                              <a:tailEnd type="none" w="med" len="med"/>
                            </a:ln>
                          </wps:spPr>
                          <wps:bodyPr/>
                        </wps:wsp>
                        <wps:wsp>
                          <wps:cNvPr id="26" name="Rectángulo 26"/>
                          <wps:cNvSpPr/>
                          <wps:spPr>
                            <a:xfrm>
                              <a:off x="6244590" y="1846580"/>
                              <a:ext cx="6350" cy="6350"/>
                            </a:xfrm>
                            <a:prstGeom prst="rect">
                              <a:avLst/>
                            </a:prstGeom>
                            <a:solidFill>
                              <a:srgbClr val="D4D4D4"/>
                            </a:solidFill>
                            <a:ln>
                              <a:noFill/>
                            </a:ln>
                          </wps:spPr>
                          <wps:txbx>
                            <w:txbxContent>
                              <w:p w14:paraId="133C55C0" w14:textId="77777777" w:rsidR="004F660A" w:rsidRDefault="004F660A">
                                <w:pPr>
                                  <w:spacing w:after="0" w:line="240" w:lineRule="auto"/>
                                  <w:textDirection w:val="btLr"/>
                                </w:pPr>
                              </w:p>
                            </w:txbxContent>
                          </wps:txbx>
                          <wps:bodyPr spcFirstLastPara="1" wrap="square" lIns="91425" tIns="91425" rIns="91425" bIns="91425" anchor="ctr" anchorCtr="0">
                            <a:noAutofit/>
                          </wps:bodyPr>
                        </wps:wsp>
                        <wps:wsp>
                          <wps:cNvPr id="27" name="Conector recto de flecha 27"/>
                          <wps:cNvCnPr/>
                          <wps:spPr>
                            <a:xfrm>
                              <a:off x="6244590" y="1957705"/>
                              <a:ext cx="635" cy="635"/>
                            </a:xfrm>
                            <a:prstGeom prst="straightConnector1">
                              <a:avLst/>
                            </a:prstGeom>
                            <a:noFill/>
                            <a:ln w="9525" cap="flat" cmpd="sng">
                              <a:solidFill>
                                <a:srgbClr val="D4D4D4"/>
                              </a:solidFill>
                              <a:prstDash val="solid"/>
                              <a:round/>
                              <a:headEnd type="none" w="med" len="med"/>
                              <a:tailEnd type="none" w="med" len="med"/>
                            </a:ln>
                          </wps:spPr>
                          <wps:bodyPr/>
                        </wps:wsp>
                        <wps:wsp>
                          <wps:cNvPr id="28" name="Rectángulo 28"/>
                          <wps:cNvSpPr/>
                          <wps:spPr>
                            <a:xfrm>
                              <a:off x="6244590" y="1957705"/>
                              <a:ext cx="6350" cy="6350"/>
                            </a:xfrm>
                            <a:prstGeom prst="rect">
                              <a:avLst/>
                            </a:prstGeom>
                            <a:solidFill>
                              <a:srgbClr val="D4D4D4"/>
                            </a:solidFill>
                            <a:ln>
                              <a:noFill/>
                            </a:ln>
                          </wps:spPr>
                          <wps:txbx>
                            <w:txbxContent>
                              <w:p w14:paraId="3267274B" w14:textId="77777777" w:rsidR="004F660A" w:rsidRDefault="004F660A">
                                <w:pPr>
                                  <w:spacing w:after="0" w:line="240" w:lineRule="auto"/>
                                  <w:textDirection w:val="btLr"/>
                                </w:pPr>
                              </w:p>
                            </w:txbxContent>
                          </wps:txbx>
                          <wps:bodyPr spcFirstLastPara="1" wrap="square" lIns="91425" tIns="91425" rIns="91425" bIns="91425" anchor="ctr" anchorCtr="0">
                            <a:noAutofit/>
                          </wps:bodyPr>
                        </wps:wsp>
                        <wps:wsp>
                          <wps:cNvPr id="29" name="Conector recto de flecha 29"/>
                          <wps:cNvCnPr/>
                          <wps:spPr>
                            <a:xfrm>
                              <a:off x="6244590" y="2068830"/>
                              <a:ext cx="635" cy="635"/>
                            </a:xfrm>
                            <a:prstGeom prst="straightConnector1">
                              <a:avLst/>
                            </a:prstGeom>
                            <a:noFill/>
                            <a:ln w="9525" cap="flat" cmpd="sng">
                              <a:solidFill>
                                <a:srgbClr val="D4D4D4"/>
                              </a:solidFill>
                              <a:prstDash val="solid"/>
                              <a:round/>
                              <a:headEnd type="none" w="med" len="med"/>
                              <a:tailEnd type="none" w="med" len="med"/>
                            </a:ln>
                          </wps:spPr>
                          <wps:bodyPr/>
                        </wps:wsp>
                        <wps:wsp>
                          <wps:cNvPr id="30" name="Rectángulo 30"/>
                          <wps:cNvSpPr/>
                          <wps:spPr>
                            <a:xfrm>
                              <a:off x="6244590" y="2068830"/>
                              <a:ext cx="6350" cy="6350"/>
                            </a:xfrm>
                            <a:prstGeom prst="rect">
                              <a:avLst/>
                            </a:prstGeom>
                            <a:solidFill>
                              <a:srgbClr val="D4D4D4"/>
                            </a:solidFill>
                            <a:ln>
                              <a:noFill/>
                            </a:ln>
                          </wps:spPr>
                          <wps:txbx>
                            <w:txbxContent>
                              <w:p w14:paraId="58F4E3D2" w14:textId="77777777" w:rsidR="004F660A" w:rsidRDefault="004F660A">
                                <w:pPr>
                                  <w:spacing w:after="0" w:line="240" w:lineRule="auto"/>
                                  <w:textDirection w:val="btLr"/>
                                </w:pPr>
                              </w:p>
                            </w:txbxContent>
                          </wps:txbx>
                          <wps:bodyPr spcFirstLastPara="1" wrap="square" lIns="91425" tIns="91425" rIns="91425" bIns="91425" anchor="ctr" anchorCtr="0">
                            <a:noAutofit/>
                          </wps:bodyPr>
                        </wps:wsp>
                        <wps:wsp>
                          <wps:cNvPr id="31" name="Conector recto de flecha 31"/>
                          <wps:cNvCnPr/>
                          <wps:spPr>
                            <a:xfrm>
                              <a:off x="6244590" y="2186940"/>
                              <a:ext cx="635" cy="635"/>
                            </a:xfrm>
                            <a:prstGeom prst="straightConnector1">
                              <a:avLst/>
                            </a:prstGeom>
                            <a:noFill/>
                            <a:ln w="9525" cap="flat" cmpd="sng">
                              <a:solidFill>
                                <a:srgbClr val="D4D4D4"/>
                              </a:solidFill>
                              <a:prstDash val="solid"/>
                              <a:round/>
                              <a:headEnd type="none" w="med" len="med"/>
                              <a:tailEnd type="none" w="med" len="med"/>
                            </a:ln>
                          </wps:spPr>
                          <wps:bodyPr/>
                        </wps:wsp>
                        <wps:wsp>
                          <wps:cNvPr id="32" name="Rectángulo 32"/>
                          <wps:cNvSpPr/>
                          <wps:spPr>
                            <a:xfrm>
                              <a:off x="6244590" y="2186940"/>
                              <a:ext cx="6350" cy="6350"/>
                            </a:xfrm>
                            <a:prstGeom prst="rect">
                              <a:avLst/>
                            </a:prstGeom>
                            <a:solidFill>
                              <a:srgbClr val="D4D4D4"/>
                            </a:solidFill>
                            <a:ln>
                              <a:noFill/>
                            </a:ln>
                          </wps:spPr>
                          <wps:txbx>
                            <w:txbxContent>
                              <w:p w14:paraId="0FB342F9" w14:textId="77777777" w:rsidR="004F660A" w:rsidRDefault="004F660A">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DEEA361" id="Grupo 522" o:spid="_x0000_s1026" style="position:absolute;left:0;text-align:left;margin-left:-54pt;margin-top:-585pt;width:509.25pt;height:151.55pt;z-index:251660288" coordorigin="21122,26833" coordsize="64675,21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bs2gUAABRGAAAOAAAAZHJzL2Uyb0RvYy54bWzsnO1uqzYYx79P2j0gvq+JDSEkano0tedU&#10;k462ame7AJeXgASY2U7TXs6uZTe2xwYMbWEpdKoOkXWkHHCfOn75++fHf9JcfnrMM+shYjylxc5G&#10;F0vbioqAhmmx39l//vHlJ9+2uCBFSDJaRDv7KeL2p6sff7g8ltsI04RmYcQsqKTg22O5sxMhyu1i&#10;wYMkygm/oGVUwA9jynIi4JbtFyEjR6g9zxZ4ufQWR8rCktEg4hxKb6of2leq/jiOAvFbHPNIWNnO&#10;hrYJ9crU6718XVxdku2ekTJJg7oZZEIrcpIW8Ka6qhsiiHVg6auq8jRglNNYXAQ0X9A4ToNI9QF6&#10;g5YvenPL6KFUfdlvj/tSDxMM7Ytxmlxt8OvDLSu/lXcMRuJY7mEs1J3sy2PMcvk/tNJ6VEP2pIcs&#10;ehRWAIWe663d9cq2AvgZ2mDX81fVoAYJjLz8PYwQxisYfIjAnu84cK2GPUg+d2pZLSFE1oLRxnHg&#10;BmIWTSMWz5qmb6omQx/umJWG0ADbKkgOMrtlh5JaSNYhg0f0UrXWczqtrfvT22PZVrzR/al7XPVV&#10;l3Z7qceq85uDvYQlwdtZ5++b9W8JKSMlJi7Hox4x3IzY77BU/vm72B8yauFq3FSclgbfclDJJF2o&#10;voJIujNKtiXj4jaiuSUvdjaDBqglRB6+clGFNiHyXQv6Jc0yKCfbrHhWAOMnS0AjTRvllXi8f1TT&#10;z7f3NHyC/vIy+JLCe30lXNwRBusc9HKEtb+z+V8HwiLbyn4pYJg3yMUgadG9Yd2b++4NKYKEAlIC&#10;wWyrurkWCjFVK38+CBqnqkeyXVVj6ubC/EqFfsBEg6KrpdGdaOd/nugOALSoP2Si69Vv5lsvbLdv&#10;vt1R8+1h110B3CS4Xc/1cU00TUJJcoVsr2b69EnnNEtDucDlmuFsf3+dMeuBwK5948p/NTuehb0Z&#10;A0odGmqGBjsb6FbR4BqyskBQZkn8UiuMrDiLgoRYitaSTLBXXBd1etDwtdmWdW7QlYqHVg56uWk6&#10;dYoASvnvbYALRtJ9IqBhVcvQmzcF6wjoXklyB5LpcUYEXOYlJAa82KtqnunnjTKTm9AN4UklR1WD&#10;7ALZQnZWhOoqiUj4uQgt8VRC8lHAmMLGsrPzKIQtJYLEWF6pSEHS7C2R/XtaJV2oSO11H7d5eI1c&#10;upuHJ3tUK+R0lvAGhcwIJnrjNDDZ2etGHYMwWXekMg4m6zVG3ut9R287suLhXcfARGHn+4IJOAKv&#10;M1G/o5BxMBlQSAOTTXUeHdbIqXPHlC1jXGaiszIDE9jAG3UMwmTTkco4mPgbz+tJYg1MZDYzz8wE&#10;wTp/TRMonZqbDGhkRjjRmbvBCTg82hIc5AmEtGIZBxS0XPqOb9KTczrroF5LFEpbkYxLUIZE0iBl&#10;Bt6JPuoZpABStJU6jBR9PhztniCENqulsU/OCim9ZizSeT+IZCRSBkQyI6RoS8AgBZBy2o+tHNVJ&#10;hizCztJzTJZyVkjptWSR3qjHI2VAJA1SZuCjaA/JIAWQctqVhZA2px158HFc7DSfe+g8DzRWyoyt&#10;lF5jFulVNR4pAyJpkDKDg4/2Gg1SACmnvVkImYyUFcKrtclSzilLAbO9x52tLPhJT47RgEhmhJTW&#10;mzZMkR/2bBQyaKZAyGSmeNjxNsZMOSum9Pqz+B3+7IBI5sQUvUQMU4Appw1aCJnMlLXT+1FIc/SZ&#10;79EH9xq0UNqKZKRBOyCShikzcFPaJ16GKcCU0w4thLRyGWmn+K63Ms+Rz+ozs7jXoYXSViQjmTIg&#10;koYpM7BT4NFp3XvDFGDKaYsWQlq5jGTKZrVemwfJ58WUXosWv8OiHRDJnJiiszTDFGDKaY8WQqYy&#10;BS893zdPks+KKTCdPR5tNcmTPNohkcyJKTqVN0zZ2c5pjxZCJjMF+d7GNc99zsmjdXo9WihtRTLu&#10;7IMHRDInpuiT33fOlPa7NtTfmaqvHlF/ZFd/TYr8bpPuvYpqv8zl6l8AAAD//wMAUEsDBBQABgAI&#10;AAAAIQC8tMgc5AAAAA8BAAAPAAAAZHJzL2Rvd25yZXYueG1sTI/BTsMwEETvSPyDtUjcWtughjTE&#10;qaoKOFVIbZEQNzfeJlFjO4rdJP17tie4ze6OZt/kq8m2bMA+NN4pkHMBDF3pTeMqBV+H91kKLETt&#10;jG69QwVXDLAq7u9ynRk/uh0O+1gxCnEh0wrqGLuM81DWaHWY+w4d3U6+tzrS2Ffc9HqkcNvyJyES&#10;bnXj6EOtO9zUWJ73F6vgY9Tj+lm+DdvzaXP9OSw+v7cSlXp8mNavwCJO8c8MN3xCh4KYjv7iTGCt&#10;gpkUKZWJNyVfBEkyLaVYADvSLk2SJfAi5/97FL8AAAD//wMAUEsBAi0AFAAGAAgAAAAhALaDOJL+&#10;AAAA4QEAABMAAAAAAAAAAAAAAAAAAAAAAFtDb250ZW50X1R5cGVzXS54bWxQSwECLQAUAAYACAAA&#10;ACEAOP0h/9YAAACUAQAACwAAAAAAAAAAAAAAAAAvAQAAX3JlbHMvLnJlbHNQSwECLQAUAAYACAAA&#10;ACEAP3+G7NoFAAAURgAADgAAAAAAAAAAAAAAAAAuAgAAZHJzL2Uyb0RvYy54bWxQSwECLQAUAAYA&#10;CAAAACEAvLTIHOQAAAAPAQAADwAAAAAAAAAAAAAAAAA0CAAAZHJzL2Rvd25yZXYueG1sUEsFBgAA&#10;AAAEAAQA8wAAAEUJAAAAAA==&#10;">
                <v:group id="Grupo 1" o:spid="_x0000_s1027" style="position:absolute;left:21122;top:26833;width:64675;height:21933" coordsize="64674,2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28" style="position:absolute;width:64674;height:21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8826D48" w14:textId="77777777" w:rsidR="004F660A" w:rsidRDefault="004F660A">
                          <w:pPr>
                            <w:spacing w:after="0" w:line="240" w:lineRule="auto"/>
                            <w:textDirection w:val="btLr"/>
                          </w:pPr>
                        </w:p>
                      </w:txbxContent>
                    </v:textbox>
                  </v:rect>
                  <v:rect id="Rectángulo 3" o:spid="_x0000_s1029" style="position:absolute;width:64674;height:19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13CA128F" w14:textId="77777777" w:rsidR="004F660A" w:rsidRDefault="004F660A">
                          <w:pPr>
                            <w:spacing w:after="0" w:line="240" w:lineRule="auto"/>
                            <w:textDirection w:val="btLr"/>
                          </w:pPr>
                        </w:p>
                      </w:txbxContent>
                    </v:textbox>
                  </v:rect>
                  <v:rect id="Rectángulo 4" o:spid="_x0000_s1030" style="position:absolute;left:62445;top:4648;width:64;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ZLpxAAAANoAAAAPAAAAZHJzL2Rvd25yZXYueG1sRI9Ba8JA&#10;FITvQv/D8gredGOxYtNsJLQUtAdBUxBvj+xrNjT7NmS3mvz7bkHwOMzMN0y2GWwrLtT7xrGCxTwB&#10;QVw53XCt4Kv8mK1B+ICssXVMCkbysMkfJhmm2l35QJdjqEWEsE9RgQmhS6X0lSGLfu464uh9u95i&#10;iLKvpe7xGuG2lU9JspIWG44LBjt6M1T9HH+tguexLMZz+NzLnSmL0rzw4n08KTV9HIpXEIGGcA/f&#10;2lutYAn/V+INkPkfAAAA//8DAFBLAQItABQABgAIAAAAIQDb4fbL7gAAAIUBAAATAAAAAAAAAAAA&#10;AAAAAAAAAABbQ29udGVudF9UeXBlc10ueG1sUEsBAi0AFAAGAAgAAAAhAFr0LFu/AAAAFQEAAAsA&#10;AAAAAAAAAAAAAAAAHwEAAF9yZWxzLy5yZWxzUEsBAi0AFAAGAAgAAAAhADqRkunEAAAA2gAAAA8A&#10;AAAAAAAAAAAAAAAABwIAAGRycy9kb3ducmV2LnhtbFBLBQYAAAAAAwADALcAAAD4AgAAAAA=&#10;" fillcolor="#d4d4d4" stroked="f">
                    <v:textbox inset="2.53958mm,2.53958mm,2.53958mm,2.53958mm">
                      <w:txbxContent>
                        <w:p w14:paraId="2E136981" w14:textId="77777777" w:rsidR="004F660A" w:rsidRDefault="004F660A">
                          <w:pPr>
                            <w:spacing w:after="0" w:line="240" w:lineRule="auto"/>
                            <w:textDirection w:val="btLr"/>
                          </w:pPr>
                        </w:p>
                      </w:txbxContent>
                    </v:textbox>
                  </v:rect>
                  <v:shapetype id="_x0000_t32" coordsize="21600,21600" o:spt="32" o:oned="t" path="m,l21600,21600e" filled="f">
                    <v:path arrowok="t" fillok="f" o:connecttype="none"/>
                    <o:lock v:ext="edit" shapetype="t"/>
                  </v:shapetype>
                  <v:shape id="Conector recto de flecha 5" o:spid="_x0000_s1031" type="#_x0000_t32" style="position:absolute;left:62445;top:6153;width: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UkwwAAANoAAAAPAAAAZHJzL2Rvd25yZXYueG1sRI/disIw&#10;FITvF3yHcBa8WdZUwR+6RvEHwRsvrD7AsTk2ZZuT0sRafXojLOzlMDPfMPNlZyvRUuNLxwqGgwQE&#10;ce50yYWC82n3PQPhA7LGyjEpeJCH5aL3McdUuzsfqc1CISKEfYoKTAh1KqXPDVn0A1cTR+/qGosh&#10;yqaQusF7hNtKjpJkIi2WHBcM1rQxlP9mN6vg8jWZrrftcW2uj6kpD8/Z5Zl5pfqf3eoHRKAu/If/&#10;2nutYAzvK/EGyMULAAD//wMAUEsBAi0AFAAGAAgAAAAhANvh9svuAAAAhQEAABMAAAAAAAAAAAAA&#10;AAAAAAAAAFtDb250ZW50X1R5cGVzXS54bWxQSwECLQAUAAYACAAAACEAWvQsW78AAAAVAQAACwAA&#10;AAAAAAAAAAAAAAAfAQAAX3JlbHMvLnJlbHNQSwECLQAUAAYACAAAACEAm5/lJMMAAADaAAAADwAA&#10;AAAAAAAAAAAAAAAHAgAAZHJzL2Rvd25yZXYueG1sUEsFBgAAAAADAAMAtwAAAPcCAAAAAA==&#10;" strokecolor="#d4d4d4"/>
                  <v:rect id="Rectángulo 6" o:spid="_x0000_s1032" style="position:absolute;left:62445;top:6153;width:64;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6kFwwAAANoAAAAPAAAAZHJzL2Rvd25yZXYueG1sRI9Ba8JA&#10;FITvgv9heUJvurGg2OgmBEvB9lDQFMTbI/vMBrNvQ3aryb/vFgo9DjPzDbPLB9uKO/W+caxguUhA&#10;EFdON1wr+Crf5hsQPiBrbB2TgpE85Nl0ssNUuwcf6X4KtYgQ9ikqMCF0qZS+MmTRL1xHHL2r6y2G&#10;KPta6h4fEW5b+Zwka2mx4bhgsKO9oep2+rYKVmNZjJfw8SnfTVmU5oWXr+NZqafZUGxBBBrCf/iv&#10;fdAK1vB7Jd4Amf0AAAD//wMAUEsBAi0AFAAGAAgAAAAhANvh9svuAAAAhQEAABMAAAAAAAAAAAAA&#10;AAAAAAAAAFtDb250ZW50X1R5cGVzXS54bWxQSwECLQAUAAYACAAAACEAWvQsW78AAAAVAQAACwAA&#10;AAAAAAAAAAAAAAAfAQAAX3JlbHMvLnJlbHNQSwECLQAUAAYACAAAACEApQ+pBcMAAADaAAAADwAA&#10;AAAAAAAAAAAAAAAHAgAAZHJzL2Rvd25yZXYueG1sUEsFBgAAAAADAAMAtwAAAPcCAAAAAA==&#10;" fillcolor="#d4d4d4" stroked="f">
                    <v:textbox inset="2.53958mm,2.53958mm,2.53958mm,2.53958mm">
                      <w:txbxContent>
                        <w:p w14:paraId="138EE7AA" w14:textId="77777777" w:rsidR="004F660A" w:rsidRDefault="004F660A">
                          <w:pPr>
                            <w:spacing w:after="0" w:line="240" w:lineRule="auto"/>
                            <w:textDirection w:val="btLr"/>
                          </w:pPr>
                        </w:p>
                      </w:txbxContent>
                    </v:textbox>
                  </v:rect>
                  <v:shape id="Conector recto de flecha 7" o:spid="_x0000_s1033" type="#_x0000_t32" style="position:absolute;left:62445;top:7721;width: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d7IwwAAANoAAAAPAAAAZHJzL2Rvd25yZXYueG1sRI9Pi8Iw&#10;FMTvC36H8AQvi6Z6sFKN4h+EvezB6gd4Ns+m2LyUJtbqp98sLOxxmJnfMKtNb2vRUesrxwqmkwQE&#10;ceF0xaWCy/k4XoDwAVlj7ZgUvMjDZj34WGGm3ZNP1OWhFBHCPkMFJoQmk9IXhiz6iWuIo3dzrcUQ&#10;ZVtK3eIzwm0tZ0kylxYrjgsGG9obKu75wyq4fs7T3aE77cztlZrq+724vnOv1GjYb5cgAvXhP/zX&#10;/tIKUvi9Em+AXP8AAAD//wMAUEsBAi0AFAAGAAgAAAAhANvh9svuAAAAhQEAABMAAAAAAAAAAAAA&#10;AAAAAAAAAFtDb250ZW50X1R5cGVzXS54bWxQSwECLQAUAAYACAAAACEAWvQsW78AAAAVAQAACwAA&#10;AAAAAAAAAAAAAAAfAQAAX3JlbHMvLnJlbHNQSwECLQAUAAYACAAAACEABAHeyMMAAADaAAAADwAA&#10;AAAAAAAAAAAAAAAHAgAAZHJzL2Rvd25yZXYueG1sUEsFBgAAAAADAAMAtwAAAPcCAAAAAA==&#10;" strokecolor="#d4d4d4"/>
                  <v:rect id="Rectángulo 8" o:spid="_x0000_s1034" style="position:absolute;left:62445;top:7721;width:64;height: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JjsvwAAANoAAAAPAAAAZHJzL2Rvd25yZXYueG1sRE9Ni8Iw&#10;EL0v+B/CCHtbUwVFq1GKIrh7WNAK4m1oxqbYTEoTtf33m4Owx8f7Xm06W4sntb5yrGA8SkAQF05X&#10;XCo45/uvOQgfkDXWjklBTx4268HHClPtXnyk5ymUIoawT1GBCaFJpfSFIYt+5BriyN1cazFE2JZS&#10;t/iK4baWkySZSYsVxwaDDW0NFffTwyqY9nnWX8PPr/w2eZabBY93/UWpz2GXLUEE6sK/+O0+aAVx&#10;a7wSb4Bc/wEAAP//AwBQSwECLQAUAAYACAAAACEA2+H2y+4AAACFAQAAEwAAAAAAAAAAAAAAAAAA&#10;AAAAW0NvbnRlbnRfVHlwZXNdLnhtbFBLAQItABQABgAIAAAAIQBa9CxbvwAAABUBAAALAAAAAAAA&#10;AAAAAAAAAB8BAABfcmVscy8ucmVsc1BLAQItABQABgAIAAAAIQC73JjsvwAAANoAAAAPAAAAAAAA&#10;AAAAAAAAAAcCAABkcnMvZG93bnJldi54bWxQSwUGAAAAAAMAAwC3AAAA8wIAAAAA&#10;" fillcolor="#d4d4d4" stroked="f">
                    <v:textbox inset="2.53958mm,2.53958mm,2.53958mm,2.53958mm">
                      <w:txbxContent>
                        <w:p w14:paraId="56F62C41" w14:textId="77777777" w:rsidR="004F660A" w:rsidRDefault="004F660A">
                          <w:pPr>
                            <w:spacing w:after="0" w:line="240" w:lineRule="auto"/>
                            <w:textDirection w:val="btLr"/>
                          </w:pPr>
                        </w:p>
                      </w:txbxContent>
                    </v:textbox>
                  </v:rect>
                  <v:shape id="Conector recto de flecha 9" o:spid="_x0000_s1035" type="#_x0000_t32" style="position:absolute;left:62445;top:8966;width: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u8hxAAAANoAAAAPAAAAZHJzL2Rvd25yZXYueG1sRI/NbsIw&#10;EITvlXgHa5G4VODAgZ8Ug/gREhcOpH2AJV7iqPE6ik0IPD1GqtTjaGa+0SzXna1ES40vHSsYjxIQ&#10;xLnTJRcKfr4PwzkIH5A1Vo5JwYM8rFe9jyWm2t35TG0WChEh7FNUYEKoUyl9bsiiH7maOHpX11gM&#10;UTaF1A3eI9xWcpIkU2mx5LhgsKadofw3u1kFl8/pbLtvz1tzfcxMeXrOL8/MKzXod5svEIG68B/+&#10;ax+1ggW8r8QbIFcvAAAA//8DAFBLAQItABQABgAIAAAAIQDb4fbL7gAAAIUBAAATAAAAAAAAAAAA&#10;AAAAAAAAAABbQ29udGVudF9UeXBlc10ueG1sUEsBAi0AFAAGAAgAAAAhAFr0LFu/AAAAFQEAAAsA&#10;AAAAAAAAAAAAAAAAHwEAAF9yZWxzLy5yZWxzUEsBAi0AFAAGAAgAAAAhABrS7yHEAAAA2gAAAA8A&#10;AAAAAAAAAAAAAAAABwIAAGRycy9kb3ducmV2LnhtbFBLBQYAAAAAAwADALcAAAD4AgAAAAA=&#10;" strokecolor="#d4d4d4"/>
                  <v:rect id="Rectángulo 10" o:spid="_x0000_s1036" style="position:absolute;left:62445;top:8966;width:64;height: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PFZxAAAANsAAAAPAAAAZHJzL2Rvd25yZXYueG1sRI9Ba8JA&#10;EIXvBf/DMoXe6saCUlNXCRbB9lCoEcTbkJ1mQ7OzIbtq8u87B6G3Gd6b975ZbQbfqiv1sQlsYDbN&#10;QBFXwTZcGziWu+dXUDEhW2wDk4GRImzWk4cV5jbc+Juuh1QrCeGYowGXUpdrHStHHuM0dMSi/YTe&#10;Y5K1r7Xt8SbhvtUvWbbQHhuWBocdbR1Vv4eLNzAfy2I8p88v/eHKonRLnr2PJ2OeHofiDVSiIf2b&#10;79d7K/hCL7/IAHr9BwAA//8DAFBLAQItABQABgAIAAAAIQDb4fbL7gAAAIUBAAATAAAAAAAAAAAA&#10;AAAAAAAAAABbQ29udGVudF9UeXBlc10ueG1sUEsBAi0AFAAGAAgAAAAhAFr0LFu/AAAAFQEAAAsA&#10;AAAAAAAAAAAAAAAAHwEAAF9yZWxzLy5yZWxzUEsBAi0AFAAGAAgAAAAhAINg8VnEAAAA2wAAAA8A&#10;AAAAAAAAAAAAAAAABwIAAGRycy9kb3ducmV2LnhtbFBLBQYAAAAAAwADALcAAAD4AgAAAAA=&#10;" fillcolor="#d4d4d4" stroked="f">
                    <v:textbox inset="2.53958mm,2.53958mm,2.53958mm,2.53958mm">
                      <w:txbxContent>
                        <w:p w14:paraId="264DDD24" w14:textId="77777777" w:rsidR="004F660A" w:rsidRDefault="004F660A">
                          <w:pPr>
                            <w:spacing w:after="0" w:line="240" w:lineRule="auto"/>
                            <w:textDirection w:val="btLr"/>
                          </w:pPr>
                        </w:p>
                      </w:txbxContent>
                    </v:textbox>
                  </v:rect>
                  <v:shape id="Conector recto de flecha 11" o:spid="_x0000_s1037" type="#_x0000_t32" style="position:absolute;left:62445;top:10083;width: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d6+wwAAANsAAAAPAAAAZHJzL2Rvd25yZXYueG1sRE/NasJA&#10;EL4XfIdlhF5K3dhDIqmrVEvBSw9J+wBjdsyGZmdDdo2JT+8WBG/z8f3OejvaVgzU+8axguUiAUFc&#10;Od1wreD35+t1BcIHZI2tY1IwkYftZva0xly7Cxc0lKEWMYR9jgpMCF0upa8MWfQL1xFH7uR6iyHC&#10;vpa6x0sMt618S5JUWmw4NhjsaG+o+ivPVsHxJc12n0OxM6cpM833dXW8ll6p5/n48Q4i0Bge4rv7&#10;oOP8Jfz/Eg+QmxsAAAD//wMAUEsBAi0AFAAGAAgAAAAhANvh9svuAAAAhQEAABMAAAAAAAAAAAAA&#10;AAAAAAAAAFtDb250ZW50X1R5cGVzXS54bWxQSwECLQAUAAYACAAAACEAWvQsW78AAAAVAQAACwAA&#10;AAAAAAAAAAAAAAAfAQAAX3JlbHMvLnJlbHNQSwECLQAUAAYACAAAACEAGRHevsMAAADbAAAADwAA&#10;AAAAAAAAAAAAAAAHAgAAZHJzL2Rvd25yZXYueG1sUEsFBgAAAAADAAMAtwAAAPcCAAAAAA==&#10;" strokecolor="#d4d4d4"/>
                  <v:rect id="Rectángulo 12" o:spid="_x0000_s1038" style="position:absolute;left:62445;top:10083;width:64;height: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q1wgAAANsAAAAPAAAAZHJzL2Rvd25yZXYueG1sRE9Na8JA&#10;EL0L/Q/LFHrTjULFRjchtBSqB0FTKL0N2TEbmp0N2a0m/94VBG/zeJ+zyQfbijP1vnGsYD5LQBBX&#10;TjdcK/guP6crED4ga2wdk4KRPOTZ02SDqXYXPtD5GGoRQ9inqMCE0KVS+sqQRT9zHXHkTq63GCLs&#10;a6l7vMRw28pFkiylxYZjg8GO3g1Vf8d/q+B1LIvxN+z2cmvKojRvPP8Yf5R6eR6KNYhAQ3iI7+4v&#10;Hecv4PZLPEBmVwAAAP//AwBQSwECLQAUAAYACAAAACEA2+H2y+4AAACFAQAAEwAAAAAAAAAAAAAA&#10;AAAAAAAAW0NvbnRlbnRfVHlwZXNdLnhtbFBLAQItABQABgAIAAAAIQBa9CxbvwAAABUBAAALAAAA&#10;AAAAAAAAAAAAAB8BAABfcmVscy8ucmVsc1BLAQItABQABgAIAAAAIQAc/sq1wgAAANsAAAAPAAAA&#10;AAAAAAAAAAAAAAcCAABkcnMvZG93bnJldi54bWxQSwUGAAAAAAMAAwC3AAAA9gIAAAAA&#10;" fillcolor="#d4d4d4" stroked="f">
                    <v:textbox inset="2.53958mm,2.53958mm,2.53958mm,2.53958mm">
                      <w:txbxContent>
                        <w:p w14:paraId="17DD1938" w14:textId="77777777" w:rsidR="004F660A" w:rsidRDefault="004F660A">
                          <w:pPr>
                            <w:spacing w:after="0" w:line="240" w:lineRule="auto"/>
                            <w:textDirection w:val="btLr"/>
                          </w:pPr>
                        </w:p>
                      </w:txbxContent>
                    </v:textbox>
                  </v:rect>
                  <v:shape id="Conector recto de flecha 13" o:spid="_x0000_s1039" type="#_x0000_t32" style="position:absolute;left:62445;top:11195;width: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VSwQAAANsAAAAPAAAAZHJzL2Rvd25yZXYueG1sRE/NisIw&#10;EL4v+A5hFrwsa6qCStco/iB48WD1AcZmbMo2k9LEWn16IyzsbT6+35kvO1uJlhpfOlYwHCQgiHOn&#10;Sy4UnE+77xkIH5A1Vo5JwYM8LBe9jzmm2t35SG0WChFD2KeowIRQp1L63JBFP3A1ceSurrEYImwK&#10;qRu8x3BbyVGSTKTFkmODwZo2hvLf7GYVXL4m0/W2Pa7N9TE15eE5uzwzr1T/s1v9gAjUhX/xn3uv&#10;4/wxvH+JB8jFCwAA//8DAFBLAQItABQABgAIAAAAIQDb4fbL7gAAAIUBAAATAAAAAAAAAAAAAAAA&#10;AAAAAABbQ29udGVudF9UeXBlc10ueG1sUEsBAi0AFAAGAAgAAAAhAFr0LFu/AAAAFQEAAAsAAAAA&#10;AAAAAAAAAAAAHwEAAF9yZWxzLy5yZWxzUEsBAi0AFAAGAAgAAAAhAIaP5VLBAAAA2wAAAA8AAAAA&#10;AAAAAAAAAAAABwIAAGRycy9kb3ducmV2LnhtbFBLBQYAAAAAAwADALcAAAD1AgAAAAA=&#10;" strokecolor="#d4d4d4"/>
                  <v:rect id="Rectángulo 14" o:spid="_x0000_s1040" style="position:absolute;left:62445;top:11195;width:64;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dawgAAANsAAAAPAAAAZHJzL2Rvd25yZXYueG1sRE9Na8JA&#10;EL0L/odlhN50Y2mlTbORYBFaD4WagngbstNsMDsbsqsm/74rFLzN431Oth5sKy7U+8axguUiAUFc&#10;Od1wreCn3M5fQPiArLF1TApG8rDOp5MMU+2u/E2XfahFDGGfogITQpdK6StDFv3CdcSR+3W9xRBh&#10;X0vd4zWG21Y+JslKWmw4NhjsaGOoOu3PVsHzWBbjMey+5Kcpi9K88vJ9PCj1MBuKNxCBhnAX/7s/&#10;dJz/BLdf4gEy/wMAAP//AwBQSwECLQAUAAYACAAAACEA2+H2y+4AAACFAQAAEwAAAAAAAAAAAAAA&#10;AAAAAAAAW0NvbnRlbnRfVHlwZXNdLnhtbFBLAQItABQABgAIAAAAIQBa9CxbvwAAABUBAAALAAAA&#10;AAAAAAAAAAAAAB8BAABfcmVscy8ucmVsc1BLAQItABQABgAIAAAAIQD8W/dawgAAANsAAAAPAAAA&#10;AAAAAAAAAAAAAAcCAABkcnMvZG93bnJldi54bWxQSwUGAAAAAAMAAwC3AAAA9gIAAAAA&#10;" fillcolor="#d4d4d4" stroked="f">
                    <v:textbox inset="2.53958mm,2.53958mm,2.53958mm,2.53958mm">
                      <w:txbxContent>
                        <w:p w14:paraId="33F0F315" w14:textId="77777777" w:rsidR="004F660A" w:rsidRDefault="004F660A">
                          <w:pPr>
                            <w:spacing w:after="0" w:line="240" w:lineRule="auto"/>
                            <w:textDirection w:val="btLr"/>
                          </w:pPr>
                        </w:p>
                      </w:txbxContent>
                    </v:textbox>
                  </v:rect>
                  <v:shape id="Conector recto de flecha 15" o:spid="_x0000_s1041" type="#_x0000_t32" style="position:absolute;left:62445;top:12306;width: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ti9wgAAANsAAAAPAAAAZHJzL2Rvd25yZXYueG1sRE/bisIw&#10;EH1f8B/CLPiyrKmCF7pG8YLgiw9WP2BsxqZsMylNrNWvN8LCvs3hXGe+7GwlWmp86VjBcJCAIM6d&#10;LrlQcD7tvmcgfEDWWDkmBQ/ysFz0PuaYanfnI7VZKEQMYZ+iAhNCnUrpc0MW/cDVxJG7usZiiLAp&#10;pG7wHsNtJUdJMpEWS44NBmvaGMp/s5tVcPmaTNfb9rg218fUlIfn7PLMvFL9z271AyJQF/7Ff+69&#10;jvPH8P4lHiAXLwAAAP//AwBQSwECLQAUAAYACAAAACEA2+H2y+4AAACFAQAAEwAAAAAAAAAAAAAA&#10;AAAAAAAAW0NvbnRlbnRfVHlwZXNdLnhtbFBLAQItABQABgAIAAAAIQBa9CxbvwAAABUBAAALAAAA&#10;AAAAAAAAAAAAAB8BAABfcmVscy8ucmVsc1BLAQItABQABgAIAAAAIQBmKti9wgAAANsAAAAPAAAA&#10;AAAAAAAAAAAAAAcCAABkcnMvZG93bnJldi54bWxQSwUGAAAAAAMAAwC3AAAA9gIAAAAA&#10;" strokecolor="#d4d4d4"/>
                  <v:rect id="Rectángulo 16" o:spid="_x0000_s1042" style="position:absolute;left:62445;top:12306;width:64;height: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cy2wgAAANsAAAAPAAAAZHJzL2Rvd25yZXYueG1sRE9Na8JA&#10;EL0L/Q/LFHrTjULFRjchVAqtB0FTKL0N2TEbmp0N2a0m/94VBG/zeJ+zyQfbijP1vnGsYD5LQBBX&#10;TjdcK/guP6YrED4ga2wdk4KRPOTZ02SDqXYXPtD5GGoRQ9inqMCE0KVS+sqQRT9zHXHkTq63GCLs&#10;a6l7vMRw28pFkiylxYZjg8GO3g1Vf8d/q+B1LIvxN+z28suURWneeL4df5R6eR6KNYhAQ3iI7+5P&#10;Hecv4fZLPEBmVwAAAP//AwBQSwECLQAUAAYACAAAACEA2+H2y+4AAACFAQAAEwAAAAAAAAAAAAAA&#10;AAAAAAAAW0NvbnRlbnRfVHlwZXNdLnhtbFBLAQItABQABgAIAAAAIQBa9CxbvwAAABUBAAALAAAA&#10;AAAAAAAAAAAAAB8BAABfcmVscy8ucmVsc1BLAQItABQABgAIAAAAIQBjxcy2wgAAANsAAAAPAAAA&#10;AAAAAAAAAAAAAAcCAABkcnMvZG93bnJldi54bWxQSwUGAAAAAAMAAwC3AAAA9gIAAAAA&#10;" fillcolor="#d4d4d4" stroked="f">
                    <v:textbox inset="2.53958mm,2.53958mm,2.53958mm,2.53958mm">
                      <w:txbxContent>
                        <w:p w14:paraId="445EE94E" w14:textId="77777777" w:rsidR="004F660A" w:rsidRDefault="004F660A">
                          <w:pPr>
                            <w:spacing w:after="0" w:line="240" w:lineRule="auto"/>
                            <w:textDirection w:val="btLr"/>
                          </w:pPr>
                        </w:p>
                      </w:txbxContent>
                    </v:textbox>
                  </v:rect>
                  <v:shape id="Conector recto de flecha 17" o:spid="_x0000_s1043" type="#_x0000_t32" style="position:absolute;left:62445;top:13423;width: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ONRwQAAANsAAAAPAAAAZHJzL2Rvd25yZXYueG1sRE/NisIw&#10;EL4v+A5hBC+LpnqwUo3iD8Je9mD1AcZmbIrNpDSxVp9+s7Cwt/n4fme16W0tOmp95VjBdJKAIC6c&#10;rrhUcDkfxwsQPiBrrB2Tghd52KwHHyvMtHvyibo8lCKGsM9QgQmhyaT0hSGLfuIa4sjdXGsxRNiW&#10;Urf4jOG2lrMkmUuLFccGgw3tDRX3/GEVXD/n6e7QnXbm9kpN9f1eXN+5V2o07LdLEIH68C/+c3/p&#10;OD+F31/iAXL9AwAA//8DAFBLAQItABQABgAIAAAAIQDb4fbL7gAAAIUBAAATAAAAAAAAAAAAAAAA&#10;AAAAAABbQ29udGVudF9UeXBlc10ueG1sUEsBAi0AFAAGAAgAAAAhAFr0LFu/AAAAFQEAAAsAAAAA&#10;AAAAAAAAAAAAHwEAAF9yZWxzLy5yZWxzUEsBAi0AFAAGAAgAAAAhAPm041HBAAAA2wAAAA8AAAAA&#10;AAAAAAAAAAAABwIAAGRycy9kb3ducmV2LnhtbFBLBQYAAAAAAwADALcAAAD1AgAAAAA=&#10;" strokecolor="#d4d4d4"/>
                  <v:rect id="Rectángulo 18" o:spid="_x0000_s1044" style="position:absolute;left:62445;top:13423;width:64;height: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v1fxAAAANsAAAAPAAAAZHJzL2Rvd25yZXYueG1sRI9Ba8JA&#10;EIXvBf/DMoXe6saCUlNXCRbB9lCoEcTbkJ1mQ7OzIbtq8u87B6G3Gd6b975ZbQbfqiv1sQlsYDbN&#10;QBFXwTZcGziWu+dXUDEhW2wDk4GRImzWk4cV5jbc+Juuh1QrCeGYowGXUpdrHStHHuM0dMSi/YTe&#10;Y5K1r7Xt8SbhvtUvWbbQHhuWBocdbR1Vv4eLNzAfy2I8p88v/eHKonRLnr2PJ2OeHofiDVSiIf2b&#10;79d7K/gCK7/IAHr9BwAA//8DAFBLAQItABQABgAIAAAAIQDb4fbL7gAAAIUBAAATAAAAAAAAAAAA&#10;AAAAAAAAAABbQ29udGVudF9UeXBlc10ueG1sUEsBAi0AFAAGAAgAAAAhAFr0LFu/AAAAFQEAAAsA&#10;AAAAAAAAAAAAAAAAHwEAAF9yZWxzLy5yZWxzUEsBAi0AFAAGAAgAAAAhAH0W/V/EAAAA2wAAAA8A&#10;AAAAAAAAAAAAAAAABwIAAGRycy9kb3ducmV2LnhtbFBLBQYAAAAAAwADALcAAAD4AgAAAAA=&#10;" fillcolor="#d4d4d4" stroked="f">
                    <v:textbox inset="2.53958mm,2.53958mm,2.53958mm,2.53958mm">
                      <w:txbxContent>
                        <w:p w14:paraId="3056D3C3" w14:textId="77777777" w:rsidR="004F660A" w:rsidRDefault="004F660A">
                          <w:pPr>
                            <w:spacing w:after="0" w:line="240" w:lineRule="auto"/>
                            <w:textDirection w:val="btLr"/>
                          </w:pPr>
                        </w:p>
                      </w:txbxContent>
                    </v:textbox>
                  </v:rect>
                  <v:shape id="Conector recto de flecha 19" o:spid="_x0000_s1045" type="#_x0000_t32" style="position:absolute;left:62445;top:15125;width: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9K4wgAAANsAAAAPAAAAZHJzL2Rvd25yZXYueG1sRE9Li8Iw&#10;EL4v+B/CCF4WTfXgo2sUHwhePNjdHzA2Y1O2mZQm1uqvN8LC3ubje85y3dlKtNT40rGC8SgBQZw7&#10;XXKh4Of7MJyD8AFZY+WYFDzIw3rV+1hiqt2dz9RmoRAxhH2KCkwIdSqlzw1Z9CNXE0fu6hqLIcKm&#10;kLrBewy3lZwkyVRaLDk2GKxpZyj/zW5WweVzOtvu2/PWXB8zU56e88sz80oN+t3mC0SgLvyL/9xH&#10;Hecv4P1LPECuXgAAAP//AwBQSwECLQAUAAYACAAAACEA2+H2y+4AAACFAQAAEwAAAAAAAAAAAAAA&#10;AAAAAAAAW0NvbnRlbnRfVHlwZXNdLnhtbFBLAQItABQABgAIAAAAIQBa9CxbvwAAABUBAAALAAAA&#10;AAAAAAAAAAAAAB8BAABfcmVscy8ucmVsc1BLAQItABQABgAIAAAAIQDnZ9K4wgAAANsAAAAPAAAA&#10;AAAAAAAAAAAAAAcCAABkcnMvZG93bnJldi54bWxQSwUGAAAAAAMAAwC3AAAA9gIAAAAA&#10;" strokecolor="#d4d4d4"/>
                  <v:rect id="Rectángulo 20" o:spid="_x0000_s1046" style="position:absolute;left:62445;top:15125;width:64;height: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DvkwgAAANsAAAAPAAAAZHJzL2Rvd25yZXYueG1sRE/Pa8Iw&#10;FL4P/B/CE7ytqQXH7IxSNga6w2CtILs9mmdTbF5Kk9X2v18Ogx0/vt+7w2Q7MdLgW8cK1kkKgrh2&#10;uuVGwbl6f3wG4QOyxs4xKZjJw2G/eNhhrt2dv2gsQyNiCPscFZgQ+lxKXxuy6BPXE0fu6gaLIcKh&#10;kXrAewy3nczS9ElabDk2GOzp1VB9K3+sgs1cFfN3+PiUJ1MVldny+m2+KLVaTsULiEBT+Bf/uY9a&#10;QRbXxy/xB8j9LwAAAP//AwBQSwECLQAUAAYACAAAACEA2+H2y+4AAACFAQAAEwAAAAAAAAAAAAAA&#10;AAAAAAAAW0NvbnRlbnRfVHlwZXNdLnhtbFBLAQItABQABgAIAAAAIQBa9CxbvwAAABUBAAALAAAA&#10;AAAAAAAAAAAAAB8BAABfcmVscy8ucmVsc1BLAQItABQABgAIAAAAIQBNDDvkwgAAANsAAAAPAAAA&#10;AAAAAAAAAAAAAAcCAABkcnMvZG93bnJldi54bWxQSwUGAAAAAAMAAwC3AAAA9gIAAAAA&#10;" fillcolor="#d4d4d4" stroked="f">
                    <v:textbox inset="2.53958mm,2.53958mm,2.53958mm,2.53958mm">
                      <w:txbxContent>
                        <w:p w14:paraId="2F1A4768" w14:textId="77777777" w:rsidR="004F660A" w:rsidRDefault="004F660A">
                          <w:pPr>
                            <w:spacing w:after="0" w:line="240" w:lineRule="auto"/>
                            <w:textDirection w:val="btLr"/>
                          </w:pPr>
                        </w:p>
                      </w:txbxContent>
                    </v:textbox>
                  </v:rect>
                  <v:shape id="Conector recto de flecha 21" o:spid="_x0000_s1047" type="#_x0000_t32" style="position:absolute;left:62445;top:16236;width: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RQDwwAAANsAAAAPAAAAZHJzL2Rvd25yZXYueG1sRI9Bi8Iw&#10;FITvgv8hPMGLaKoHlWoUdRH24sHqD3g2z6bYvJQmW6u/fiMs7HGYmW+Y9bazlWip8aVjBdNJAoI4&#10;d7rkQsH1chwvQfiArLFyTApe5GG76ffWmGr35DO1WShEhLBPUYEJoU6l9Lkhi37iauLo3V1jMUTZ&#10;FFI3+IxwW8lZksylxZLjgsGaDobyR/ZjFdxG88X+qz3vzf21MOXpvby9M6/UcNDtViACdeE//Nf+&#10;1gpmU/h8iT9Abn4BAAD//wMAUEsBAi0AFAAGAAgAAAAhANvh9svuAAAAhQEAABMAAAAAAAAAAAAA&#10;AAAAAAAAAFtDb250ZW50X1R5cGVzXS54bWxQSwECLQAUAAYACAAAACEAWvQsW78AAAAVAQAACwAA&#10;AAAAAAAAAAAAAAAfAQAAX3JlbHMvLnJlbHNQSwECLQAUAAYACAAAACEA130UA8MAAADbAAAADwAA&#10;AAAAAAAAAAAAAAAHAgAAZHJzL2Rvd25yZXYueG1sUEsFBgAAAAADAAMAtwAAAPcCAAAAAA==&#10;" strokecolor="#d4d4d4"/>
                  <v:rect id="Rectángulo 22" o:spid="_x0000_s1048" style="position:absolute;left:62445;top:16236;width:64;height: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AIxAAAANsAAAAPAAAAZHJzL2Rvd25yZXYueG1sRI9Ba8JA&#10;FITvBf/D8gre6iYBS5u6hmAp2B6EmoJ4e2Rfs6HZtyG7avLvu4LgcZiZb5hVMdpOnGnwrWMF6SIB&#10;QVw73XKj4Kf6eHoB4QOyxs4xKZjIQ7GePaww1+7C33Teh0ZECPscFZgQ+lxKXxuy6BeuJ47erxss&#10;hiiHRuoBLxFuO5klybO02HJcMNjTxlD9tz9ZBcupKqdj+NrJT1OVlXnl9H06KDV/HMs3EIHGcA/f&#10;2lutIMvg+iX+ALn+BwAA//8DAFBLAQItABQABgAIAAAAIQDb4fbL7gAAAIUBAAATAAAAAAAAAAAA&#10;AAAAAAAAAABbQ29udGVudF9UeXBlc10ueG1sUEsBAi0AFAAGAAgAAAAhAFr0LFu/AAAAFQEAAAsA&#10;AAAAAAAAAAAAAAAAHwEAAF9yZWxzLy5yZWxzUEsBAi0AFAAGAAgAAAAhANKSAAjEAAAA2wAAAA8A&#10;AAAAAAAAAAAAAAAABwIAAGRycy9kb3ducmV2LnhtbFBLBQYAAAAAAwADALcAAAD4AgAAAAA=&#10;" fillcolor="#d4d4d4" stroked="f">
                    <v:textbox inset="2.53958mm,2.53958mm,2.53958mm,2.53958mm">
                      <w:txbxContent>
                        <w:p w14:paraId="06DA84A1" w14:textId="77777777" w:rsidR="004F660A" w:rsidRDefault="004F660A">
                          <w:pPr>
                            <w:spacing w:after="0" w:line="240" w:lineRule="auto"/>
                            <w:textDirection w:val="btLr"/>
                          </w:pPr>
                        </w:p>
                      </w:txbxContent>
                    </v:textbox>
                  </v:rect>
                  <v:shape id="Conector recto de flecha 23" o:spid="_x0000_s1049" type="#_x0000_t32" style="position:absolute;left:62445;top:17348;width: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y/vxAAAANsAAAAPAAAAZHJzL2Rvd25yZXYueG1sRI9Bi8Iw&#10;FITvgv8hPMGLaLoKKl2jrCuCFw9Wf8CzeTZlm5fSZGv11xthYY/DzHzDrDadrURLjS8dK/iYJCCI&#10;c6dLLhRczvvxEoQPyBorx6TgQR42635vhal2dz5Rm4VCRAj7FBWYEOpUSp8bsugnriaO3s01FkOU&#10;TSF1g/cIt5WcJslcWiw5Lhis6dtQ/pP9WgXX0Xyx3bWnrbk9FqY8PpfXZ+aVGg66r08QgbrwH/5r&#10;H7SC6QzeX+IPkOsXAAAA//8DAFBLAQItABQABgAIAAAAIQDb4fbL7gAAAIUBAAATAAAAAAAAAAAA&#10;AAAAAAAAAABbQ29udGVudF9UeXBlc10ueG1sUEsBAi0AFAAGAAgAAAAhAFr0LFu/AAAAFQEAAAsA&#10;AAAAAAAAAAAAAAAAHwEAAF9yZWxzLy5yZWxzUEsBAi0AFAAGAAgAAAAhAEjjL+/EAAAA2wAAAA8A&#10;AAAAAAAAAAAAAAAABwIAAGRycy9kb3ducmV2LnhtbFBLBQYAAAAAAwADALcAAAD4AgAAAAA=&#10;" strokecolor="#d4d4d4"/>
                  <v:rect id="Rectángulo 24" o:spid="_x0000_s1050" style="position:absolute;left:62445;top:17348;width:64;height: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z3nxAAAANsAAAAPAAAAZHJzL2Rvd25yZXYueG1sRI9Ba8JA&#10;FITvQv/D8gq96SZSpU1dQ2gRWg+CplB6e2Rfs6HZtyG7avLvXUHwOMzMN8wqH2wrTtT7xrGCdJaA&#10;IK6cbrhW8F1upi8gfEDW2DomBSN5yNcPkxVm2p15T6dDqEWEsM9QgQmhy6T0lSGLfuY64uj9ud5i&#10;iLKvpe7xHOG2lfMkWUqLDccFgx29G6r+D0erYDGWxfgbtjv5ZcqiNK+cfow/Sj09DsUbiEBDuIdv&#10;7U+tYP4M1y/xB8j1BQAA//8DAFBLAQItABQABgAIAAAAIQDb4fbL7gAAAIUBAAATAAAAAAAAAAAA&#10;AAAAAAAAAABbQ29udGVudF9UeXBlc10ueG1sUEsBAi0AFAAGAAgAAAAhAFr0LFu/AAAAFQEAAAsA&#10;AAAAAAAAAAAAAAAAHwEAAF9yZWxzLy5yZWxzUEsBAi0AFAAGAAgAAAAhADI3PefEAAAA2wAAAA8A&#10;AAAAAAAAAAAAAAAABwIAAGRycy9kb3ducmV2LnhtbFBLBQYAAAAAAwADALcAAAD4AgAAAAA=&#10;" fillcolor="#d4d4d4" stroked="f">
                    <v:textbox inset="2.53958mm,2.53958mm,2.53958mm,2.53958mm">
                      <w:txbxContent>
                        <w:p w14:paraId="1F99A407" w14:textId="77777777" w:rsidR="004F660A" w:rsidRDefault="004F660A">
                          <w:pPr>
                            <w:spacing w:after="0" w:line="240" w:lineRule="auto"/>
                            <w:textDirection w:val="btLr"/>
                          </w:pPr>
                        </w:p>
                      </w:txbxContent>
                    </v:textbox>
                  </v:rect>
                  <v:shape id="Conector recto de flecha 25" o:spid="_x0000_s1051" type="#_x0000_t32" style="position:absolute;left:62445;top:18465;width: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hIAxAAAANsAAAAPAAAAZHJzL2Rvd25yZXYueG1sRI/disIw&#10;FITvBd8hHMEb0XQFf+gaZV0RvPHC6gMcm2NTtjkpTbZWn94IC3s5zMw3zGrT2Uq01PjSsYKPSQKC&#10;OHe65ELB5bwfL0H4gKyxckwKHuRhs+73Vphqd+cTtVkoRISwT1GBCaFOpfS5IYt+4mri6N1cYzFE&#10;2RRSN3iPcFvJaZLMpcWS44LBmr4N5T/Zr1VwHc0X21172prbY2HK43N5fWZeqeGg+/oEEagL/+G/&#10;9kErmM7g/SX+ALl+AQAA//8DAFBLAQItABQABgAIAAAAIQDb4fbL7gAAAIUBAAATAAAAAAAAAAAA&#10;AAAAAAAAAABbQ29udGVudF9UeXBlc10ueG1sUEsBAi0AFAAGAAgAAAAhAFr0LFu/AAAAFQEAAAsA&#10;AAAAAAAAAAAAAAAAHwEAAF9yZWxzLy5yZWxzUEsBAi0AFAAGAAgAAAAhAKhGEgDEAAAA2wAAAA8A&#10;AAAAAAAAAAAAAAAABwIAAGRycy9kb3ducmV2LnhtbFBLBQYAAAAAAwADALcAAAD4AgAAAAA=&#10;" strokecolor="#d4d4d4"/>
                  <v:rect id="Rectángulo 26" o:spid="_x0000_s1052" style="position:absolute;left:62445;top:18465;width:64;height: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QYLwwAAANsAAAAPAAAAZHJzL2Rvd25yZXYueG1sRI9Ba8JA&#10;FITvhf6H5RW81Y1CRaOrhBahehA0heLtkX1mg9m3Ibtq8u9dQfA4zMw3zGLV2VpcqfWVYwWjYQKC&#10;uHC64lLBX77+nILwAVlj7ZgU9ORhtXx/W2Cq3Y33dD2EUkQI+xQVmBCaVEpfGLLoh64hjt7JtRZD&#10;lG0pdYu3CLe1HCfJRFqsOC4YbOjbUHE+XKyCrz7P+mPY7uTG5FluZjz66f+VGnx02RxEoC68ws/2&#10;r1YwnsDjS/wBcnkHAAD//wMAUEsBAi0AFAAGAAgAAAAhANvh9svuAAAAhQEAABMAAAAAAAAAAAAA&#10;AAAAAAAAAFtDb250ZW50X1R5cGVzXS54bWxQSwECLQAUAAYACAAAACEAWvQsW78AAAAVAQAACwAA&#10;AAAAAAAAAAAAAAAfAQAAX3JlbHMvLnJlbHNQSwECLQAUAAYACAAAACEArakGC8MAAADbAAAADwAA&#10;AAAAAAAAAAAAAAAHAgAAZHJzL2Rvd25yZXYueG1sUEsFBgAAAAADAAMAtwAAAPcCAAAAAA==&#10;" fillcolor="#d4d4d4" stroked="f">
                    <v:textbox inset="2.53958mm,2.53958mm,2.53958mm,2.53958mm">
                      <w:txbxContent>
                        <w:p w14:paraId="133C55C0" w14:textId="77777777" w:rsidR="004F660A" w:rsidRDefault="004F660A">
                          <w:pPr>
                            <w:spacing w:after="0" w:line="240" w:lineRule="auto"/>
                            <w:textDirection w:val="btLr"/>
                          </w:pPr>
                        </w:p>
                      </w:txbxContent>
                    </v:textbox>
                  </v:rect>
                  <v:shape id="Conector recto de flecha 27" o:spid="_x0000_s1053" type="#_x0000_t32" style="position:absolute;left:62445;top:19577;width: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CnsxAAAANsAAAAPAAAAZHJzL2Rvd25yZXYueG1sRI9Pi8Iw&#10;FMTvC36H8IS9LJrqwUo1in9Y2MserH6AZ/Nsis1LaWKtfvrNguBxmJnfMMt1b2vRUesrxwom4wQE&#10;ceF0xaWC0/F7NAfhA7LG2jEpeJCH9WrwscRMuzsfqMtDKSKEfYYKTAhNJqUvDFn0Y9cQR+/iWosh&#10;yraUusV7hNtaTpNkJi1WHBcMNrQzVFzzm1Vw/pql23132JrLIzXV73N+fuZeqc9hv1mACNSHd/jV&#10;/tEKpin8f4k/QK7+AAAA//8DAFBLAQItABQABgAIAAAAIQDb4fbL7gAAAIUBAAATAAAAAAAAAAAA&#10;AAAAAAAAAABbQ29udGVudF9UeXBlc10ueG1sUEsBAi0AFAAGAAgAAAAhAFr0LFu/AAAAFQEAAAsA&#10;AAAAAAAAAAAAAAAAHwEAAF9yZWxzLy5yZWxzUEsBAi0AFAAGAAgAAAAhADfYKezEAAAA2wAAAA8A&#10;AAAAAAAAAAAAAAAABwIAAGRycy9kb3ducmV2LnhtbFBLBQYAAAAAAwADALcAAAD4AgAAAAA=&#10;" strokecolor="#d4d4d4"/>
                  <v:rect id="Rectángulo 28" o:spid="_x0000_s1054" style="position:absolute;left:62445;top:19577;width:64;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jfiwgAAANsAAAAPAAAAZHJzL2Rvd25yZXYueG1sRE/Pa8Iw&#10;FL4P/B/CE7ytqQXH7IxSNga6w2CtILs9mmdTbF5Kk9X2v18Ogx0/vt+7w2Q7MdLgW8cK1kkKgrh2&#10;uuVGwbl6f3wG4QOyxs4xKZjJw2G/eNhhrt2dv2gsQyNiCPscFZgQ+lxKXxuy6BPXE0fu6gaLIcKh&#10;kXrAewy3nczS9ElabDk2GOzp1VB9K3+sgs1cFfN3+PiUJ1MVldny+m2+KLVaTsULiEBT+Bf/uY9a&#10;QRbHxi/xB8j9LwAAAP//AwBQSwECLQAUAAYACAAAACEA2+H2y+4AAACFAQAAEwAAAAAAAAAAAAAA&#10;AAAAAAAAW0NvbnRlbnRfVHlwZXNdLnhtbFBLAQItABQABgAIAAAAIQBa9CxbvwAAABUBAAALAAAA&#10;AAAAAAAAAAAAAB8BAABfcmVscy8ucmVsc1BLAQItABQABgAIAAAAIQCzejfiwgAAANsAAAAPAAAA&#10;AAAAAAAAAAAAAAcCAABkcnMvZG93bnJldi54bWxQSwUGAAAAAAMAAwC3AAAA9gIAAAAA&#10;" fillcolor="#d4d4d4" stroked="f">
                    <v:textbox inset="2.53958mm,2.53958mm,2.53958mm,2.53958mm">
                      <w:txbxContent>
                        <w:p w14:paraId="3267274B" w14:textId="77777777" w:rsidR="004F660A" w:rsidRDefault="004F660A">
                          <w:pPr>
                            <w:spacing w:after="0" w:line="240" w:lineRule="auto"/>
                            <w:textDirection w:val="btLr"/>
                          </w:pPr>
                        </w:p>
                      </w:txbxContent>
                    </v:textbox>
                  </v:rect>
                  <v:shape id="Conector recto de flecha 29" o:spid="_x0000_s1055" type="#_x0000_t32" style="position:absolute;left:62445;top:20688;width: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xgFxQAAANsAAAAPAAAAZHJzL2Rvd25yZXYueG1sRI/NbsIw&#10;EITvlXgHa5F6qcApB34CBvGjSlw4EHiAJV7iiHgdxW4IPD1GqtTjaGa+0SxWna1ES40vHSv4HiYg&#10;iHOnSy4UnE8/gykIH5A1Vo5JwYM8rJa9jwWm2t35SG0WChEh7FNUYEKoUyl9bsiiH7qaOHpX11gM&#10;UTaF1A3eI9xWcpQkY2mx5LhgsKatofyW/VoFl6/xZLNrjxtzfUxMeXhOL8/MK/XZ79ZzEIG68B/+&#10;a++1gtEM3l/iD5DLFwAAAP//AwBQSwECLQAUAAYACAAAACEA2+H2y+4AAACFAQAAEwAAAAAAAAAA&#10;AAAAAAAAAAAAW0NvbnRlbnRfVHlwZXNdLnhtbFBLAQItABQABgAIAAAAIQBa9CxbvwAAABUBAAAL&#10;AAAAAAAAAAAAAAAAAB8BAABfcmVscy8ucmVsc1BLAQItABQABgAIAAAAIQApCxgFxQAAANsAAAAP&#10;AAAAAAAAAAAAAAAAAAcCAABkcnMvZG93bnJldi54bWxQSwUGAAAAAAMAAwC3AAAA+QIAAAAA&#10;" strokecolor="#d4d4d4"/>
                  <v:rect id="Rectángulo 30" o:spid="_x0000_s1056" style="position:absolute;left:62445;top:20688;width:64;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a05wgAAANsAAAAPAAAAZHJzL2Rvd25yZXYueG1sRE/Pa8Iw&#10;FL4L+x/CG+ymqRuTrZqWMhlsHgTbwfD2aN6asualNFHb/94cBI8f3+9NPtpOnGnwrWMFy0UCgrh2&#10;uuVGwU/1OX8D4QOyxs4xKZjIQ549zDaYanfhA53L0IgYwj5FBSaEPpXS14Ys+oXriSP35waLIcKh&#10;kXrASwy3nXxOkpW02HJsMNjTh6H6vzxZBa9TVUzHsNvLb1MVlXnn5Xb6VerpcSzWIAKN4S6+ub+0&#10;gpe4Pn6JP0BmVwAAAP//AwBQSwECLQAUAAYACAAAACEA2+H2y+4AAACFAQAAEwAAAAAAAAAAAAAA&#10;AAAAAAAAW0NvbnRlbnRfVHlwZXNdLnhtbFBLAQItABQABgAIAAAAIQBa9CxbvwAAABUBAAALAAAA&#10;AAAAAAAAAAAAAB8BAABfcmVscy8ucmVsc1BLAQItABQABgAIAAAAIQDI1a05wgAAANsAAAAPAAAA&#10;AAAAAAAAAAAAAAcCAABkcnMvZG93bnJldi54bWxQSwUGAAAAAAMAAwC3AAAA9gIAAAAA&#10;" fillcolor="#d4d4d4" stroked="f">
                    <v:textbox inset="2.53958mm,2.53958mm,2.53958mm,2.53958mm">
                      <w:txbxContent>
                        <w:p w14:paraId="58F4E3D2" w14:textId="77777777" w:rsidR="004F660A" w:rsidRDefault="004F660A">
                          <w:pPr>
                            <w:spacing w:after="0" w:line="240" w:lineRule="auto"/>
                            <w:textDirection w:val="btLr"/>
                          </w:pPr>
                        </w:p>
                      </w:txbxContent>
                    </v:textbox>
                  </v:rect>
                  <v:shape id="Conector recto de flecha 31" o:spid="_x0000_s1057" type="#_x0000_t32" style="position:absolute;left:62445;top:21869;width: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ILexAAAANsAAAAPAAAAZHJzL2Rvd25yZXYueG1sRI/disIw&#10;FITvF3yHcIS9WTR1F1SqUfxhYW+8sPoAx+bYFJuT0sRaffqNIHg5zMw3zHzZ2Uq01PjSsYLRMAFB&#10;nDtdcqHgePgdTEH4gKyxckwK7uRhueh9zDHV7sZ7arNQiAhhn6ICE0KdSulzQxb90NXE0Tu7xmKI&#10;simkbvAW4baS30kylhZLjgsGa9oYyi/Z1So4fY0n6227X5vzfWLK3WN6emReqc9+t5qBCNSFd/jV&#10;/tMKfkbw/BJ/gFz8AwAA//8DAFBLAQItABQABgAIAAAAIQDb4fbL7gAAAIUBAAATAAAAAAAAAAAA&#10;AAAAAAAAAABbQ29udGVudF9UeXBlc10ueG1sUEsBAi0AFAAGAAgAAAAhAFr0LFu/AAAAFQEAAAsA&#10;AAAAAAAAAAAAAAAAHwEAAF9yZWxzLy5yZWxzUEsBAi0AFAAGAAgAAAAhAFKkgt7EAAAA2wAAAA8A&#10;AAAAAAAAAAAAAAAABwIAAGRycy9kb3ducmV2LnhtbFBLBQYAAAAAAwADALcAAAD4AgAAAAA=&#10;" strokecolor="#d4d4d4"/>
                  <v:rect id="Rectángulo 32" o:spid="_x0000_s1058" style="position:absolute;left:62445;top:21869;width:64;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5bVxAAAANsAAAAPAAAAZHJzL2Rvd25yZXYueG1sRI9Ba8JA&#10;FITvQv/D8gq96SYWpU1dQ2gRWg+CplB6e2Rfs6HZtyG7avLvXUHwOMzMN8wqH2wrTtT7xrGCdJaA&#10;IK6cbrhW8F1upi8gfEDW2DomBSN5yNcPkxVm2p15T6dDqEWEsM9QgQmhy6T0lSGLfuY64uj9ud5i&#10;iLKvpe7xHOG2lfMkWUqLDccFgx29G6r+D0erYDGWxfgbtjv5ZcqiNK+cfow/Sj09DsUbiEBDuIdv&#10;7U+t4HkO1y/xB8j1BQAA//8DAFBLAQItABQABgAIAAAAIQDb4fbL7gAAAIUBAAATAAAAAAAAAAAA&#10;AAAAAAAAAABbQ29udGVudF9UeXBlc10ueG1sUEsBAi0AFAAGAAgAAAAhAFr0LFu/AAAAFQEAAAsA&#10;AAAAAAAAAAAAAAAAHwEAAF9yZWxzLy5yZWxzUEsBAi0AFAAGAAgAAAAhAFdLltXEAAAA2wAAAA8A&#10;AAAAAAAAAAAAAAAABwIAAGRycy9kb3ducmV2LnhtbFBLBQYAAAAAAwADALcAAAD4AgAAAAA=&#10;" fillcolor="#d4d4d4" stroked="f">
                    <v:textbox inset="2.53958mm,2.53958mm,2.53958mm,2.53958mm">
                      <w:txbxContent>
                        <w:p w14:paraId="0FB342F9" w14:textId="77777777" w:rsidR="004F660A" w:rsidRDefault="004F660A">
                          <w:pPr>
                            <w:spacing w:after="0" w:line="240" w:lineRule="auto"/>
                            <w:textDirection w:val="btLr"/>
                          </w:pPr>
                        </w:p>
                      </w:txbxContent>
                    </v:textbox>
                  </v:rect>
                </v:group>
              </v:group>
            </w:pict>
          </mc:Fallback>
        </mc:AlternateContent>
      </w:r>
    </w:p>
    <w:p w14:paraId="1A514916" w14:textId="77777777" w:rsidR="004F660A" w:rsidRPr="004F039C" w:rsidRDefault="00EB41CD">
      <w:pPr>
        <w:spacing w:after="0" w:line="240" w:lineRule="auto"/>
        <w:jc w:val="both"/>
        <w:rPr>
          <w:rFonts w:ascii="HelveticaNeueLT Std" w:hAnsi="HelveticaNeueLT Std"/>
        </w:rPr>
      </w:pPr>
      <w:r w:rsidRPr="004F039C">
        <w:rPr>
          <w:rFonts w:ascii="HelveticaNeueLT Std" w:hAnsi="HelveticaNeueLT Std"/>
          <w:noProof/>
        </w:rPr>
        <w:drawing>
          <wp:anchor distT="0" distB="0" distL="114300" distR="114300" simplePos="0" relativeHeight="251661312" behindDoc="0" locked="0" layoutInCell="1" hidden="0" allowOverlap="1" wp14:anchorId="3C3C730C" wp14:editId="05C2CA27">
            <wp:simplePos x="0" y="0"/>
            <wp:positionH relativeFrom="column">
              <wp:posOffset>1352648</wp:posOffset>
            </wp:positionH>
            <wp:positionV relativeFrom="paragraph">
              <wp:posOffset>8842</wp:posOffset>
            </wp:positionV>
            <wp:extent cx="4319666" cy="1934308"/>
            <wp:effectExtent l="0" t="0" r="5080" b="8890"/>
            <wp:wrapNone/>
            <wp:docPr id="52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a:stretch>
                      <a:fillRect/>
                    </a:stretch>
                  </pic:blipFill>
                  <pic:spPr>
                    <a:xfrm>
                      <a:off x="0" y="0"/>
                      <a:ext cx="4321492" cy="1935126"/>
                    </a:xfrm>
                    <a:prstGeom prst="rect">
                      <a:avLst/>
                    </a:prstGeom>
                    <a:ln/>
                  </pic:spPr>
                </pic:pic>
              </a:graphicData>
            </a:graphic>
            <wp14:sizeRelV relativeFrom="margin">
              <wp14:pctHeight>0</wp14:pctHeight>
            </wp14:sizeRelV>
          </wp:anchor>
        </w:drawing>
      </w:r>
    </w:p>
    <w:p w14:paraId="3B6D80A6" w14:textId="77777777" w:rsidR="004F660A" w:rsidRPr="004F039C" w:rsidRDefault="004F660A">
      <w:pPr>
        <w:spacing w:after="0" w:line="240" w:lineRule="auto"/>
        <w:jc w:val="both"/>
        <w:rPr>
          <w:rFonts w:ascii="HelveticaNeueLT Std" w:hAnsi="HelveticaNeueLT Std"/>
        </w:rPr>
      </w:pPr>
    </w:p>
    <w:p w14:paraId="72ED27DC" w14:textId="77777777" w:rsidR="004F660A" w:rsidRPr="004F039C" w:rsidRDefault="004F660A">
      <w:pPr>
        <w:spacing w:after="0" w:line="240" w:lineRule="auto"/>
        <w:jc w:val="both"/>
        <w:rPr>
          <w:rFonts w:ascii="HelveticaNeueLT Std" w:hAnsi="HelveticaNeueLT Std"/>
        </w:rPr>
      </w:pPr>
    </w:p>
    <w:p w14:paraId="0F1F0EAC" w14:textId="77777777" w:rsidR="004F660A" w:rsidRPr="004F039C" w:rsidRDefault="004F660A">
      <w:pPr>
        <w:spacing w:after="0" w:line="240" w:lineRule="auto"/>
        <w:jc w:val="both"/>
        <w:rPr>
          <w:rFonts w:ascii="HelveticaNeueLT Std" w:hAnsi="HelveticaNeueLT Std"/>
        </w:rPr>
      </w:pPr>
    </w:p>
    <w:p w14:paraId="358297C1" w14:textId="77777777" w:rsidR="004F660A" w:rsidRPr="004F039C" w:rsidRDefault="004F660A">
      <w:pPr>
        <w:spacing w:after="0" w:line="240" w:lineRule="auto"/>
        <w:jc w:val="both"/>
        <w:rPr>
          <w:rFonts w:ascii="HelveticaNeueLT Std" w:hAnsi="HelveticaNeueLT Std"/>
        </w:rPr>
      </w:pPr>
    </w:p>
    <w:p w14:paraId="6E049496" w14:textId="77777777" w:rsidR="004F660A" w:rsidRPr="004F039C" w:rsidRDefault="004F660A">
      <w:pPr>
        <w:spacing w:after="0" w:line="240" w:lineRule="auto"/>
        <w:jc w:val="both"/>
        <w:rPr>
          <w:rFonts w:ascii="HelveticaNeueLT Std" w:hAnsi="HelveticaNeueLT Std"/>
        </w:rPr>
      </w:pPr>
    </w:p>
    <w:p w14:paraId="40C537A7" w14:textId="77777777" w:rsidR="004F660A" w:rsidRPr="004F039C" w:rsidRDefault="004F660A">
      <w:pPr>
        <w:spacing w:after="0" w:line="240" w:lineRule="auto"/>
        <w:jc w:val="both"/>
        <w:rPr>
          <w:rFonts w:ascii="HelveticaNeueLT Std" w:hAnsi="HelveticaNeueLT Std"/>
        </w:rPr>
      </w:pPr>
    </w:p>
    <w:p w14:paraId="68F4D091" w14:textId="77777777" w:rsidR="004F660A" w:rsidRPr="004F039C" w:rsidRDefault="004F660A">
      <w:pPr>
        <w:spacing w:after="0" w:line="240" w:lineRule="auto"/>
        <w:jc w:val="both"/>
        <w:rPr>
          <w:rFonts w:ascii="HelveticaNeueLT Std" w:hAnsi="HelveticaNeueLT Std"/>
        </w:rPr>
      </w:pPr>
    </w:p>
    <w:p w14:paraId="12F22EC8" w14:textId="77777777" w:rsidR="004F660A" w:rsidRPr="004F039C" w:rsidRDefault="004F660A">
      <w:pPr>
        <w:spacing w:after="0" w:line="240" w:lineRule="auto"/>
        <w:jc w:val="both"/>
        <w:rPr>
          <w:rFonts w:ascii="HelveticaNeueLT Std" w:hAnsi="HelveticaNeueLT Std"/>
        </w:rPr>
      </w:pPr>
    </w:p>
    <w:p w14:paraId="6FF97BE8" w14:textId="77777777" w:rsidR="004F660A" w:rsidRPr="004F039C" w:rsidRDefault="004F660A">
      <w:pPr>
        <w:spacing w:after="0" w:line="240" w:lineRule="auto"/>
        <w:jc w:val="both"/>
        <w:rPr>
          <w:rFonts w:ascii="HelveticaNeueLT Std" w:hAnsi="HelveticaNeueLT Std"/>
        </w:rPr>
      </w:pPr>
    </w:p>
    <w:p w14:paraId="51135789" w14:textId="77777777" w:rsidR="004F660A" w:rsidRPr="004F039C" w:rsidRDefault="004F660A">
      <w:pPr>
        <w:spacing w:after="0" w:line="240" w:lineRule="auto"/>
        <w:jc w:val="both"/>
        <w:rPr>
          <w:rFonts w:ascii="HelveticaNeueLT Std" w:hAnsi="HelveticaNeueLT Std"/>
        </w:rPr>
      </w:pPr>
    </w:p>
    <w:p w14:paraId="6E11FE1B" w14:textId="77777777" w:rsidR="004F660A" w:rsidRPr="004F039C" w:rsidRDefault="004F660A">
      <w:pPr>
        <w:spacing w:after="0" w:line="240" w:lineRule="auto"/>
        <w:jc w:val="both"/>
        <w:rPr>
          <w:rFonts w:ascii="HelveticaNeueLT Std" w:hAnsi="HelveticaNeueLT Std"/>
        </w:rPr>
      </w:pPr>
    </w:p>
    <w:p w14:paraId="434E3BC2" w14:textId="77777777" w:rsidR="004F660A" w:rsidRPr="004F039C" w:rsidRDefault="004F660A">
      <w:pPr>
        <w:spacing w:after="0" w:line="240" w:lineRule="auto"/>
        <w:jc w:val="both"/>
        <w:rPr>
          <w:rFonts w:ascii="HelveticaNeueLT Std" w:hAnsi="HelveticaNeueLT Std"/>
        </w:rPr>
      </w:pPr>
    </w:p>
    <w:p w14:paraId="40C0254F" w14:textId="77777777" w:rsidR="004F660A" w:rsidRPr="004F039C" w:rsidRDefault="004F660A">
      <w:pPr>
        <w:spacing w:line="259" w:lineRule="auto"/>
        <w:rPr>
          <w:rFonts w:ascii="HelveticaNeueLT Std" w:hAnsi="HelveticaNeueLT Std"/>
        </w:rPr>
      </w:pPr>
    </w:p>
    <w:p w14:paraId="2664128E" w14:textId="77777777" w:rsidR="004F660A" w:rsidRPr="004F039C" w:rsidRDefault="00EB41CD">
      <w:pPr>
        <w:spacing w:line="259" w:lineRule="auto"/>
        <w:jc w:val="center"/>
        <w:rPr>
          <w:rFonts w:ascii="HelveticaNeueLT Std" w:hAnsi="HelveticaNeueLT Std"/>
          <w:b/>
        </w:rPr>
      </w:pPr>
      <w:r w:rsidRPr="004F039C">
        <w:rPr>
          <w:rFonts w:ascii="HelveticaNeueLT Std" w:hAnsi="HelveticaNeueLT Std"/>
          <w:b/>
        </w:rPr>
        <w:t xml:space="preserve">Depreciación. - </w:t>
      </w:r>
      <w:r w:rsidRPr="004F039C">
        <w:rPr>
          <w:rFonts w:ascii="HelveticaNeueLT Std" w:hAnsi="HelveticaNeueLT Std"/>
        </w:rPr>
        <w:t xml:space="preserve">Se calcula por el método de línea recta a partir del mes siguiente al de su </w:t>
      </w:r>
      <w:r w:rsidRPr="004F039C">
        <w:rPr>
          <w:rFonts w:ascii="HelveticaNeueLT Std" w:hAnsi="HelveticaNeueLT Std"/>
        </w:rPr>
        <w:t>adquisición, aplicando los porcentajes siguientes:</w:t>
      </w:r>
    </w:p>
    <w:tbl>
      <w:tblPr>
        <w:tblStyle w:val="a"/>
        <w:tblW w:w="584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19"/>
        <w:gridCol w:w="2128"/>
      </w:tblGrid>
      <w:tr w:rsidR="004F660A" w:rsidRPr="004F039C" w14:paraId="24ED4488" w14:textId="77777777">
        <w:trPr>
          <w:trHeight w:val="1349"/>
          <w:jc w:val="center"/>
        </w:trPr>
        <w:tc>
          <w:tcPr>
            <w:tcW w:w="3719" w:type="dxa"/>
          </w:tcPr>
          <w:p w14:paraId="682896AB" w14:textId="77777777" w:rsidR="004F660A" w:rsidRPr="004F039C" w:rsidRDefault="00EB41CD">
            <w:pPr>
              <w:spacing w:line="276" w:lineRule="auto"/>
              <w:jc w:val="both"/>
              <w:rPr>
                <w:rFonts w:ascii="HelveticaNeueLT Std" w:eastAsia="Helvetica Neue" w:hAnsi="HelveticaNeueLT Std" w:cs="Helvetica Neue"/>
                <w:b/>
                <w:u w:val="single"/>
              </w:rPr>
            </w:pPr>
            <w:r w:rsidRPr="004F039C">
              <w:rPr>
                <w:rFonts w:ascii="HelveticaNeueLT Std" w:eastAsia="Helvetica Neue" w:hAnsi="HelveticaNeueLT Std" w:cs="Helvetica Neue"/>
                <w:b/>
                <w:u w:val="single"/>
              </w:rPr>
              <w:t>Concepto</w:t>
            </w:r>
          </w:p>
          <w:p w14:paraId="78290A17" w14:textId="77777777" w:rsidR="004F660A" w:rsidRPr="004F039C" w:rsidRDefault="00EB41CD">
            <w:pPr>
              <w:spacing w:line="276" w:lineRule="auto"/>
              <w:jc w:val="both"/>
              <w:rPr>
                <w:rFonts w:ascii="HelveticaNeueLT Std" w:eastAsia="Helvetica Neue" w:hAnsi="HelveticaNeueLT Std" w:cs="Helvetica Neue"/>
              </w:rPr>
            </w:pPr>
            <w:r w:rsidRPr="004F039C">
              <w:rPr>
                <w:rFonts w:ascii="HelveticaNeueLT Std" w:eastAsia="Helvetica Neue" w:hAnsi="HelveticaNeueLT Std" w:cs="Helvetica Neue"/>
              </w:rPr>
              <w:t xml:space="preserve">Edificios </w:t>
            </w:r>
          </w:p>
          <w:p w14:paraId="59750ABE" w14:textId="77777777" w:rsidR="004F660A" w:rsidRPr="004F039C" w:rsidRDefault="00EB41CD">
            <w:pPr>
              <w:spacing w:line="276" w:lineRule="auto"/>
              <w:jc w:val="both"/>
              <w:rPr>
                <w:rFonts w:ascii="HelveticaNeueLT Std" w:eastAsia="Helvetica Neue" w:hAnsi="HelveticaNeueLT Std" w:cs="Helvetica Neue"/>
              </w:rPr>
            </w:pPr>
            <w:r w:rsidRPr="004F039C">
              <w:rPr>
                <w:rFonts w:ascii="HelveticaNeueLT Std" w:eastAsia="Helvetica Neue" w:hAnsi="HelveticaNeueLT Std" w:cs="Helvetica Neue"/>
              </w:rPr>
              <w:t>Equipo de cómputo</w:t>
            </w:r>
            <w:r w:rsidRPr="004F039C">
              <w:rPr>
                <w:rFonts w:ascii="HelveticaNeueLT Std" w:eastAsia="Helvetica Neue" w:hAnsi="HelveticaNeueLT Std" w:cs="Helvetica Neue"/>
              </w:rPr>
              <w:tab/>
            </w:r>
          </w:p>
          <w:p w14:paraId="7A29F48F" w14:textId="77777777" w:rsidR="004F660A" w:rsidRPr="004F039C" w:rsidRDefault="00EB41CD">
            <w:pPr>
              <w:spacing w:line="276" w:lineRule="auto"/>
              <w:jc w:val="both"/>
              <w:rPr>
                <w:rFonts w:ascii="HelveticaNeueLT Std" w:eastAsia="Helvetica Neue" w:hAnsi="HelveticaNeueLT Std" w:cs="Helvetica Neue"/>
              </w:rPr>
            </w:pPr>
            <w:r w:rsidRPr="004F039C">
              <w:rPr>
                <w:rFonts w:ascii="HelveticaNeueLT Std" w:eastAsia="Helvetica Neue" w:hAnsi="HelveticaNeueLT Std" w:cs="Helvetica Neue"/>
              </w:rPr>
              <w:t>Mobiliario y equipo de oficina</w:t>
            </w:r>
          </w:p>
          <w:p w14:paraId="3698147A" w14:textId="77777777" w:rsidR="004F660A" w:rsidRPr="004F039C" w:rsidRDefault="00EB41CD">
            <w:pPr>
              <w:spacing w:line="276" w:lineRule="auto"/>
              <w:jc w:val="both"/>
              <w:rPr>
                <w:rFonts w:ascii="HelveticaNeueLT Std" w:eastAsia="Helvetica Neue" w:hAnsi="HelveticaNeueLT Std" w:cs="Helvetica Neue"/>
              </w:rPr>
            </w:pPr>
            <w:r w:rsidRPr="004F039C">
              <w:rPr>
                <w:rFonts w:ascii="HelveticaNeueLT Std" w:eastAsia="Helvetica Neue" w:hAnsi="HelveticaNeueLT Std" w:cs="Helvetica Neue"/>
              </w:rPr>
              <w:t>Maquinaria</w:t>
            </w:r>
            <w:r w:rsidRPr="004F039C">
              <w:rPr>
                <w:rFonts w:ascii="HelveticaNeueLT Std" w:eastAsia="Helvetica Neue" w:hAnsi="HelveticaNeueLT Std" w:cs="Helvetica Neue"/>
              </w:rPr>
              <w:tab/>
            </w:r>
          </w:p>
          <w:p w14:paraId="03564FFC" w14:textId="77777777" w:rsidR="004F660A" w:rsidRPr="004F039C" w:rsidRDefault="00EB41CD">
            <w:pPr>
              <w:spacing w:line="276" w:lineRule="auto"/>
              <w:jc w:val="both"/>
              <w:rPr>
                <w:rFonts w:ascii="HelveticaNeueLT Std" w:eastAsia="Helvetica Neue" w:hAnsi="HelveticaNeueLT Std" w:cs="Helvetica Neue"/>
              </w:rPr>
            </w:pPr>
            <w:r w:rsidRPr="004F039C">
              <w:rPr>
                <w:rFonts w:ascii="HelveticaNeueLT Std" w:eastAsia="Helvetica Neue" w:hAnsi="HelveticaNeueLT Std" w:cs="Helvetica Neue"/>
              </w:rPr>
              <w:t>Vehículos</w:t>
            </w:r>
          </w:p>
        </w:tc>
        <w:tc>
          <w:tcPr>
            <w:tcW w:w="2128" w:type="dxa"/>
          </w:tcPr>
          <w:p w14:paraId="21472AD9" w14:textId="77777777" w:rsidR="004F660A" w:rsidRPr="004F039C" w:rsidRDefault="00EB41CD">
            <w:pPr>
              <w:spacing w:line="276" w:lineRule="auto"/>
              <w:jc w:val="both"/>
              <w:rPr>
                <w:rFonts w:ascii="HelveticaNeueLT Std" w:eastAsia="Helvetica Neue" w:hAnsi="HelveticaNeueLT Std" w:cs="Helvetica Neue"/>
              </w:rPr>
            </w:pPr>
            <w:r w:rsidRPr="004F039C">
              <w:rPr>
                <w:rFonts w:ascii="HelveticaNeueLT Std" w:eastAsia="Helvetica Neue" w:hAnsi="HelveticaNeueLT Std" w:cs="Helvetica Neue"/>
              </w:rPr>
              <w:t>Tasa</w:t>
            </w:r>
          </w:p>
          <w:p w14:paraId="4243986E" w14:textId="77777777" w:rsidR="004F660A" w:rsidRPr="004F039C" w:rsidRDefault="00EB41CD">
            <w:pPr>
              <w:spacing w:line="276" w:lineRule="auto"/>
              <w:jc w:val="both"/>
              <w:rPr>
                <w:rFonts w:ascii="HelveticaNeueLT Std" w:eastAsia="Helvetica Neue" w:hAnsi="HelveticaNeueLT Std" w:cs="Helvetica Neue"/>
              </w:rPr>
            </w:pPr>
            <w:r w:rsidRPr="004F039C">
              <w:rPr>
                <w:rFonts w:ascii="HelveticaNeueLT Std" w:eastAsia="Helvetica Neue" w:hAnsi="HelveticaNeueLT Std" w:cs="Helvetica Neue"/>
              </w:rPr>
              <w:t>2%</w:t>
            </w:r>
          </w:p>
          <w:p w14:paraId="363B8662" w14:textId="77777777" w:rsidR="004F660A" w:rsidRPr="004F039C" w:rsidRDefault="00EB41CD">
            <w:pPr>
              <w:spacing w:line="276" w:lineRule="auto"/>
              <w:jc w:val="both"/>
              <w:rPr>
                <w:rFonts w:ascii="HelveticaNeueLT Std" w:eastAsia="Helvetica Neue" w:hAnsi="HelveticaNeueLT Std" w:cs="Helvetica Neue"/>
              </w:rPr>
            </w:pPr>
            <w:r w:rsidRPr="004F039C">
              <w:rPr>
                <w:rFonts w:ascii="HelveticaNeueLT Std" w:eastAsia="Helvetica Neue" w:hAnsi="HelveticaNeueLT Std" w:cs="Helvetica Neue"/>
              </w:rPr>
              <w:t>20%</w:t>
            </w:r>
          </w:p>
          <w:p w14:paraId="249F2FF3" w14:textId="77777777" w:rsidR="004F660A" w:rsidRPr="004F039C" w:rsidRDefault="00EB41CD">
            <w:pPr>
              <w:spacing w:line="276" w:lineRule="auto"/>
              <w:jc w:val="both"/>
              <w:rPr>
                <w:rFonts w:ascii="HelveticaNeueLT Std" w:eastAsia="Helvetica Neue" w:hAnsi="HelveticaNeueLT Std" w:cs="Helvetica Neue"/>
              </w:rPr>
            </w:pPr>
            <w:r w:rsidRPr="004F039C">
              <w:rPr>
                <w:rFonts w:ascii="HelveticaNeueLT Std" w:eastAsia="Helvetica Neue" w:hAnsi="HelveticaNeueLT Std" w:cs="Helvetica Neue"/>
              </w:rPr>
              <w:t>3%</w:t>
            </w:r>
          </w:p>
          <w:p w14:paraId="09FF48A9" w14:textId="77777777" w:rsidR="004F660A" w:rsidRPr="004F039C" w:rsidRDefault="00EB41CD">
            <w:pPr>
              <w:spacing w:line="276" w:lineRule="auto"/>
              <w:jc w:val="both"/>
              <w:rPr>
                <w:rFonts w:ascii="HelveticaNeueLT Std" w:eastAsia="Helvetica Neue" w:hAnsi="HelveticaNeueLT Std" w:cs="Helvetica Neue"/>
              </w:rPr>
            </w:pPr>
            <w:r w:rsidRPr="004F039C">
              <w:rPr>
                <w:rFonts w:ascii="HelveticaNeueLT Std" w:eastAsia="Helvetica Neue" w:hAnsi="HelveticaNeueLT Std" w:cs="Helvetica Neue"/>
              </w:rPr>
              <w:t>10%</w:t>
            </w:r>
          </w:p>
          <w:p w14:paraId="21932488" w14:textId="77777777" w:rsidR="004F660A" w:rsidRPr="004F039C" w:rsidRDefault="00EB41CD">
            <w:pPr>
              <w:spacing w:line="276" w:lineRule="auto"/>
              <w:jc w:val="both"/>
              <w:rPr>
                <w:rFonts w:ascii="HelveticaNeueLT Std" w:eastAsia="Helvetica Neue" w:hAnsi="HelveticaNeueLT Std" w:cs="Helvetica Neue"/>
              </w:rPr>
            </w:pPr>
            <w:r w:rsidRPr="004F039C">
              <w:rPr>
                <w:rFonts w:ascii="HelveticaNeueLT Std" w:eastAsia="Helvetica Neue" w:hAnsi="HelveticaNeueLT Std" w:cs="Helvetica Neue"/>
              </w:rPr>
              <w:t>10%</w:t>
            </w:r>
          </w:p>
        </w:tc>
      </w:tr>
    </w:tbl>
    <w:p w14:paraId="620532D5" w14:textId="77777777" w:rsidR="004F660A" w:rsidRPr="004F039C" w:rsidRDefault="00EB41CD">
      <w:pPr>
        <w:spacing w:line="240" w:lineRule="auto"/>
        <w:jc w:val="both"/>
        <w:rPr>
          <w:rFonts w:ascii="HelveticaNeueLT Std" w:hAnsi="HelveticaNeueLT Std"/>
          <w:b/>
          <w:color w:val="000000"/>
        </w:rPr>
      </w:pPr>
      <w:r w:rsidRPr="004F039C">
        <w:rPr>
          <w:rFonts w:ascii="HelveticaNeueLT Std" w:hAnsi="HelveticaNeueLT Std"/>
          <w:b/>
        </w:rPr>
        <w:t>Depreciación, Deterioro y Amortización Acumulada de Bienes</w:t>
      </w:r>
      <w:r w:rsidRPr="004F039C">
        <w:rPr>
          <w:rFonts w:ascii="HelveticaNeueLT Std" w:hAnsi="HelveticaNeueLT Std"/>
        </w:rPr>
        <w:t xml:space="preserve">. - El saldo de 150,568,563.42 </w:t>
      </w:r>
      <w:r w:rsidRPr="004F039C">
        <w:rPr>
          <w:rFonts w:ascii="HelveticaNeueLT Std" w:hAnsi="HelveticaNeueLT Std"/>
        </w:rPr>
        <w:t>se integra con las siguientes cuentas, dando un total neto en el rubro de activo fijo de    265,076,546.63</w:t>
      </w:r>
      <w:r w:rsidRPr="004F039C">
        <w:rPr>
          <w:rFonts w:ascii="HelveticaNeueLT Std" w:hAnsi="HelveticaNeueLT Std"/>
          <w:b/>
          <w:color w:val="000000"/>
        </w:rPr>
        <w:t xml:space="preserve"> </w:t>
      </w:r>
    </w:p>
    <w:p w14:paraId="7C7C0C5D" w14:textId="77777777" w:rsidR="004F660A" w:rsidRPr="004F039C" w:rsidRDefault="00EB41CD">
      <w:pPr>
        <w:spacing w:after="101" w:line="276" w:lineRule="auto"/>
        <w:jc w:val="both"/>
        <w:rPr>
          <w:rFonts w:ascii="HelveticaNeueLT Std" w:hAnsi="HelveticaNeueLT Std"/>
        </w:rPr>
      </w:pPr>
      <w:r w:rsidRPr="004F039C">
        <w:rPr>
          <w:rFonts w:ascii="HelveticaNeueLT Std" w:hAnsi="HelveticaNeueLT Std"/>
          <w:b/>
        </w:rPr>
        <w:t>Depreciación Acumulada de Bienes Inmuebles. -</w:t>
      </w:r>
      <w:r w:rsidRPr="004F039C">
        <w:rPr>
          <w:rFonts w:ascii="HelveticaNeueLT Std" w:hAnsi="HelveticaNeueLT Std"/>
        </w:rPr>
        <w:t xml:space="preserve"> El saldo de 12,326,416.68 , es el importe de la disminución a valores históricos de los bienes inmuebl</w:t>
      </w:r>
      <w:r w:rsidRPr="004F039C">
        <w:rPr>
          <w:rFonts w:ascii="HelveticaNeueLT Std" w:hAnsi="HelveticaNeueLT Std"/>
        </w:rPr>
        <w:t xml:space="preserve">es del Instituto, el total neto en la cuenta de Edificios No Habitacionales es por  73,999,318.51 , Terrenos por  2,793,209.00 y Construcciones en Proceso en Bienes Propios por 34,896,060.39 </w:t>
      </w:r>
    </w:p>
    <w:p w14:paraId="3DF336B5" w14:textId="77777777" w:rsidR="004F660A" w:rsidRPr="004F039C" w:rsidRDefault="00EB41CD">
      <w:pPr>
        <w:spacing w:line="240" w:lineRule="auto"/>
        <w:jc w:val="both"/>
        <w:rPr>
          <w:rFonts w:ascii="HelveticaNeueLT Std" w:hAnsi="HelveticaNeueLT Std"/>
          <w:b/>
        </w:rPr>
      </w:pPr>
      <w:r w:rsidRPr="004F039C">
        <w:rPr>
          <w:rFonts w:ascii="HelveticaNeueLT Std" w:hAnsi="HelveticaNeueLT Std"/>
          <w:b/>
        </w:rPr>
        <w:t>Depreciación Acumulada de Bienes Muebles. -</w:t>
      </w:r>
      <w:r w:rsidRPr="004F039C">
        <w:rPr>
          <w:rFonts w:ascii="HelveticaNeueLT Std" w:hAnsi="HelveticaNeueLT Std"/>
        </w:rPr>
        <w:t xml:space="preserve"> El saldo de 138,242,</w:t>
      </w:r>
      <w:r w:rsidRPr="004F039C">
        <w:rPr>
          <w:rFonts w:ascii="HelveticaNeueLT Std" w:hAnsi="HelveticaNeueLT Std"/>
        </w:rPr>
        <w:t>146.74, es el importe de la disminución a valores históricos de los bienes muebles del Instituto, dando un total neto en este rubro por 153,387,958.73.</w:t>
      </w:r>
      <w:r w:rsidRPr="004F039C">
        <w:rPr>
          <w:rFonts w:ascii="HelveticaNeueLT Std" w:hAnsi="HelveticaNeueLT Std"/>
          <w:b/>
        </w:rPr>
        <w:t xml:space="preserve"> </w:t>
      </w:r>
    </w:p>
    <w:p w14:paraId="36869F63" w14:textId="77777777" w:rsidR="004F660A" w:rsidRPr="004F039C" w:rsidRDefault="00EB41CD">
      <w:pPr>
        <w:spacing w:line="240" w:lineRule="auto"/>
        <w:jc w:val="both"/>
        <w:rPr>
          <w:rFonts w:ascii="HelveticaNeueLT Std" w:hAnsi="HelveticaNeueLT Std"/>
          <w:b/>
        </w:rPr>
      </w:pPr>
      <w:r w:rsidRPr="004F039C">
        <w:rPr>
          <w:rFonts w:ascii="HelveticaNeueLT Std" w:hAnsi="HelveticaNeueLT Std"/>
        </w:rPr>
        <w:t xml:space="preserve"> </w:t>
      </w:r>
    </w:p>
    <w:p w14:paraId="659D6670" w14:textId="77777777" w:rsidR="004F660A" w:rsidRPr="004F039C" w:rsidRDefault="00EB41CD">
      <w:pPr>
        <w:numPr>
          <w:ilvl w:val="0"/>
          <w:numId w:val="7"/>
        </w:numPr>
        <w:spacing w:after="0" w:line="276" w:lineRule="auto"/>
        <w:ind w:left="851"/>
        <w:jc w:val="both"/>
        <w:rPr>
          <w:rFonts w:ascii="HelveticaNeueLT Std" w:hAnsi="HelveticaNeueLT Std"/>
          <w:b/>
        </w:rPr>
      </w:pPr>
      <w:r w:rsidRPr="004F039C">
        <w:rPr>
          <w:rFonts w:ascii="HelveticaNeueLT Std" w:hAnsi="HelveticaNeueLT Std"/>
          <w:b/>
        </w:rPr>
        <w:t>Fideicomisos, Mandatos y Análogos</w:t>
      </w:r>
    </w:p>
    <w:p w14:paraId="626FCFD8" w14:textId="77777777" w:rsidR="004F660A" w:rsidRPr="004F039C" w:rsidRDefault="004F660A">
      <w:pPr>
        <w:spacing w:after="0" w:line="276" w:lineRule="auto"/>
        <w:ind w:left="851"/>
        <w:jc w:val="both"/>
        <w:rPr>
          <w:rFonts w:ascii="HelveticaNeueLT Std" w:hAnsi="HelveticaNeueLT Std"/>
          <w:b/>
        </w:rPr>
      </w:pPr>
    </w:p>
    <w:p w14:paraId="768586A7" w14:textId="77777777" w:rsidR="004F660A" w:rsidRPr="004F039C" w:rsidRDefault="00EB41CD">
      <w:pPr>
        <w:numPr>
          <w:ilvl w:val="0"/>
          <w:numId w:val="8"/>
        </w:numPr>
        <w:spacing w:after="240" w:line="276" w:lineRule="auto"/>
        <w:jc w:val="both"/>
        <w:rPr>
          <w:rFonts w:ascii="HelveticaNeueLT Std" w:hAnsi="HelveticaNeueLT Std"/>
        </w:rPr>
      </w:pPr>
      <w:r w:rsidRPr="004F039C">
        <w:rPr>
          <w:rFonts w:ascii="HelveticaNeueLT Std" w:hAnsi="HelveticaNeueLT Std"/>
        </w:rPr>
        <w:t>El 12 de mayo de 2010 el Congreso del Estado de México aprobó el D</w:t>
      </w:r>
      <w:r w:rsidRPr="004F039C">
        <w:rPr>
          <w:rFonts w:ascii="HelveticaNeueLT Std" w:hAnsi="HelveticaNeueLT Std"/>
        </w:rPr>
        <w:t>ecreto No. 79 (el “Decreto de Autorización”), mediante el cual se reformaron diversas disposiciones del Marco Jurídico Local (entre ellas el Código Financiero del Estado de México y Municipios) y se otorgó autorización al Instituto para: Constituir un fide</w:t>
      </w:r>
      <w:r w:rsidRPr="004F039C">
        <w:rPr>
          <w:rFonts w:ascii="HelveticaNeueLT Std" w:hAnsi="HelveticaNeueLT Std"/>
        </w:rPr>
        <w:t xml:space="preserve">icomiso; obtener financiamiento a través de dicho fideicomiso destinado a la modernización del Instituto y a Inversión Pública Productiva, traspasar los ingresos del Registro Público de la Propiedad (RPP) al fideicomiso; otorgar una garantía en relación a </w:t>
      </w:r>
      <w:r w:rsidRPr="004F039C">
        <w:rPr>
          <w:rFonts w:ascii="HelveticaNeueLT Std" w:hAnsi="HelveticaNeueLT Std"/>
        </w:rPr>
        <w:t>las obligaciones que el fideicomiso asuma; y que el fiduciario del fideicomiso contrate garantías financieras, con objeto de asegurar el pago de los financiamientos.</w:t>
      </w:r>
    </w:p>
    <w:p w14:paraId="7B8BB82A" w14:textId="77777777" w:rsidR="004F660A" w:rsidRPr="004F039C" w:rsidRDefault="00EB41CD">
      <w:pPr>
        <w:numPr>
          <w:ilvl w:val="0"/>
          <w:numId w:val="8"/>
        </w:numPr>
        <w:spacing w:after="240" w:line="276" w:lineRule="auto"/>
        <w:jc w:val="both"/>
        <w:rPr>
          <w:rFonts w:ascii="HelveticaNeueLT Std" w:hAnsi="HelveticaNeueLT Std"/>
        </w:rPr>
      </w:pPr>
      <w:r w:rsidRPr="004F039C">
        <w:rPr>
          <w:rFonts w:ascii="HelveticaNeueLT Std" w:hAnsi="HelveticaNeueLT Std"/>
        </w:rPr>
        <w:t>Con fecha 21 de junio de 2010, el Consejo Directivo del Instituto celebró una sesión en la</w:t>
      </w:r>
      <w:r w:rsidRPr="004F039C">
        <w:rPr>
          <w:rFonts w:ascii="HelveticaNeueLT Std" w:hAnsi="HelveticaNeueLT Std"/>
        </w:rPr>
        <w:t xml:space="preserve"> cual, entre otros asuntos, autorizó la afectación de los ingresos del Instituto derivados de los servicios que preste en relación con el Registro Público de la Propiedad a un fideicomiso constituido conforme y sujeto a lo previsto en las fracciones XXXI y</w:t>
      </w:r>
      <w:r w:rsidRPr="004F039C">
        <w:rPr>
          <w:rFonts w:ascii="HelveticaNeueLT Std" w:hAnsi="HelveticaNeueLT Std"/>
        </w:rPr>
        <w:t xml:space="preserve"> XXXII del artículo 3 y demás aplicables a la Ley de Creación y Decreto de Autorización.</w:t>
      </w:r>
    </w:p>
    <w:p w14:paraId="3A251B12" w14:textId="77777777" w:rsidR="004F660A" w:rsidRPr="004F039C" w:rsidRDefault="00EB41CD">
      <w:pPr>
        <w:numPr>
          <w:ilvl w:val="0"/>
          <w:numId w:val="8"/>
        </w:numPr>
        <w:spacing w:after="240" w:line="276" w:lineRule="auto"/>
        <w:jc w:val="both"/>
        <w:rPr>
          <w:rFonts w:ascii="HelveticaNeueLT Std" w:hAnsi="HelveticaNeueLT Std"/>
        </w:rPr>
      </w:pPr>
      <w:r w:rsidRPr="004F039C">
        <w:rPr>
          <w:rFonts w:ascii="HelveticaNeueLT Std" w:hAnsi="HelveticaNeueLT Std"/>
        </w:rPr>
        <w:lastRenderedPageBreak/>
        <w:t>De conformidad con lo establecido en el párrafo (d) del Artículo Sexto del Decreto de Autorización, mediante oficio No. 203A-0615/2010 de fecha 16 de julio de 2010, la</w:t>
      </w:r>
      <w:r w:rsidRPr="004F039C">
        <w:rPr>
          <w:rFonts w:ascii="HelveticaNeueLT Std" w:hAnsi="HelveticaNeueLT Std"/>
        </w:rPr>
        <w:t xml:space="preserve"> Secretaría de Finanzas del Estado autorizó al Instituto para determinar y acordar los términos y condiciones relacionados con el Contrato de Fideicomiso Irrevocable No. 80615 y la celebración del mismo.</w:t>
      </w:r>
    </w:p>
    <w:p w14:paraId="3C8C4619" w14:textId="77777777" w:rsidR="004F660A" w:rsidRPr="004F039C" w:rsidRDefault="00EB41CD">
      <w:pPr>
        <w:numPr>
          <w:ilvl w:val="0"/>
          <w:numId w:val="8"/>
        </w:numPr>
        <w:spacing w:after="240" w:line="276" w:lineRule="auto"/>
        <w:jc w:val="both"/>
        <w:rPr>
          <w:rFonts w:ascii="HelveticaNeueLT Std" w:hAnsi="HelveticaNeueLT Std"/>
        </w:rPr>
      </w:pPr>
      <w:r w:rsidRPr="004F039C">
        <w:rPr>
          <w:rFonts w:ascii="HelveticaNeueLT Std" w:hAnsi="HelveticaNeueLT Std"/>
        </w:rPr>
        <w:t>Con fecha 29 de julio de 2010, el Instituto de la Fu</w:t>
      </w:r>
      <w:r w:rsidRPr="004F039C">
        <w:rPr>
          <w:rFonts w:ascii="HelveticaNeueLT Std" w:hAnsi="HelveticaNeueLT Std"/>
        </w:rPr>
        <w:t>nción Registral del Estado de México (el Instituto), como Fideicomitente y Fideicomisario en cuarto lugar, constituyó el Fideicomiso Irrevocable número 80615 (el “Fideicomiso de Cobranza”) con Nacional Financiera, S.N.C., Institución de Banca de Desarrollo</w:t>
      </w:r>
      <w:r w:rsidRPr="004F039C">
        <w:rPr>
          <w:rFonts w:ascii="HelveticaNeueLT Std" w:hAnsi="HelveticaNeueLT Std"/>
        </w:rPr>
        <w:t>, Dirección Fiduciaria) como Fiduciario de Cobranza al cual transfiere irrevocablemente los ingresos del RPP, como “Fideicomisario en primer lugar y Emisora” Promotora de Infraestructura Registral, S.A. de C.V. SOFOM, E. N. R., Banco Invex, S.A., Instituci</w:t>
      </w:r>
      <w:r w:rsidRPr="004F039C">
        <w:rPr>
          <w:rFonts w:ascii="HelveticaNeueLT Std" w:hAnsi="HelveticaNeueLT Std"/>
        </w:rPr>
        <w:t>ón de Banca Múltiple Invex Grupo Financiero y Monex Casa de Bolsa, S.A. de C.V., como “Fiduciarios” representantes comunes de los tenedores de los Certificados Bursátiles Fiduciarios Series “A” y “B”.</w:t>
      </w:r>
    </w:p>
    <w:p w14:paraId="6C6A0EA3" w14:textId="77777777" w:rsidR="004F660A" w:rsidRPr="004F039C" w:rsidRDefault="00EB41CD">
      <w:pPr>
        <w:numPr>
          <w:ilvl w:val="0"/>
          <w:numId w:val="8"/>
        </w:numPr>
        <w:spacing w:line="276" w:lineRule="auto"/>
        <w:jc w:val="both"/>
        <w:rPr>
          <w:rFonts w:ascii="HelveticaNeueLT Std" w:hAnsi="HelveticaNeueLT Std"/>
        </w:rPr>
      </w:pPr>
      <w:r w:rsidRPr="004F039C">
        <w:rPr>
          <w:rFonts w:ascii="HelveticaNeueLT Std" w:hAnsi="HelveticaNeueLT Std"/>
        </w:rPr>
        <w:t>Adicionalmente el 9 de agosto de 2010, la SOFOM, como F</w:t>
      </w:r>
      <w:r w:rsidRPr="004F039C">
        <w:rPr>
          <w:rFonts w:ascii="HelveticaNeueLT Std" w:hAnsi="HelveticaNeueLT Std"/>
        </w:rPr>
        <w:t>ideicomitente, constituyó el Fideicomiso Irrevocable de Administración y Fuente de Pago número F/301051 (el “Fideicomiso de Pago”) con HSBC México, S.A., Institución de Banca Múltiple, Grupo Financiero HSBC, División Fiduciaria, como fiduciario (el “Fiduci</w:t>
      </w:r>
      <w:r w:rsidRPr="004F039C">
        <w:rPr>
          <w:rFonts w:ascii="HelveticaNeueLT Std" w:hAnsi="HelveticaNeueLT Std"/>
        </w:rPr>
        <w:t>ario de Pago”), Nacional Financiera, S.N.C., Institución de Banca de Desarrollo, Dirección Fiduciaria, como Fideicomisario en segundo lugar, Monex Casa de Bolsa, S.A. de C.V., Monex Grupo Financiero, como representante común de los tenedores de los Certifi</w:t>
      </w:r>
      <w:r w:rsidRPr="004F039C">
        <w:rPr>
          <w:rFonts w:ascii="HelveticaNeueLT Std" w:hAnsi="HelveticaNeueLT Std"/>
        </w:rPr>
        <w:t>cados Bursátiles y The Bank of New York Mellon, S.A., Institución de Banca Múltiple como mandatario del Garante “A” y del Garante “B”.</w:t>
      </w:r>
    </w:p>
    <w:p w14:paraId="3BC07016" w14:textId="77777777" w:rsidR="004F660A" w:rsidRPr="004F039C" w:rsidRDefault="00EB41CD">
      <w:pPr>
        <w:numPr>
          <w:ilvl w:val="0"/>
          <w:numId w:val="8"/>
        </w:numPr>
        <w:spacing w:after="0"/>
        <w:jc w:val="both"/>
        <w:rPr>
          <w:rFonts w:ascii="HelveticaNeueLT Std" w:hAnsi="HelveticaNeueLT Std"/>
        </w:rPr>
      </w:pPr>
      <w:r w:rsidRPr="004F039C">
        <w:rPr>
          <w:rFonts w:ascii="HelveticaNeueLT Std" w:hAnsi="HelveticaNeueLT Std"/>
        </w:rPr>
        <w:t xml:space="preserve">El 23 de agosto de 2010 el Estado de México, el Instituto y Promotora de Infraestructura Registral, S.A. de C.V. SOFOM, </w:t>
      </w:r>
      <w:r w:rsidRPr="004F039C">
        <w:rPr>
          <w:rFonts w:ascii="HelveticaNeueLT Std" w:hAnsi="HelveticaNeueLT Std"/>
        </w:rPr>
        <w:t>E.N.R., celebran un Convenio Global Estabilizador, en virtud del cual el Estado y el Instituto asumen una serie de obligaciones de hacer y no hacer frente a la Emisora, así como compromisos de indemnización por el incumplimiento de dichas obligaciones.</w:t>
      </w:r>
    </w:p>
    <w:p w14:paraId="6098D2FB" w14:textId="77777777" w:rsidR="004F660A" w:rsidRPr="004F039C" w:rsidRDefault="004F660A">
      <w:pPr>
        <w:spacing w:after="0"/>
        <w:ind w:left="786"/>
        <w:jc w:val="both"/>
        <w:rPr>
          <w:rFonts w:ascii="HelveticaNeueLT Std" w:hAnsi="HelveticaNeueLT Std"/>
        </w:rPr>
      </w:pPr>
    </w:p>
    <w:p w14:paraId="61E2E2F7" w14:textId="77777777" w:rsidR="004F660A" w:rsidRPr="004F039C" w:rsidRDefault="00EB41CD">
      <w:pPr>
        <w:numPr>
          <w:ilvl w:val="0"/>
          <w:numId w:val="8"/>
        </w:numPr>
        <w:spacing w:line="276" w:lineRule="auto"/>
        <w:jc w:val="both"/>
        <w:rPr>
          <w:rFonts w:ascii="HelveticaNeueLT Std" w:hAnsi="HelveticaNeueLT Std"/>
        </w:rPr>
      </w:pPr>
      <w:r w:rsidRPr="004F039C">
        <w:rPr>
          <w:rFonts w:ascii="HelveticaNeueLT Std" w:hAnsi="HelveticaNeueLT Std"/>
        </w:rPr>
        <w:t>Co</w:t>
      </w:r>
      <w:r w:rsidRPr="004F039C">
        <w:rPr>
          <w:rFonts w:ascii="HelveticaNeueLT Std" w:hAnsi="HelveticaNeueLT Std"/>
        </w:rPr>
        <w:t>n esta misma fecha de conformidad con los artículos 61 a 64 de la Ley del Mercado de Valores, la Emisora Promotora de Infraestructura Registral, S.A. de C.V. SOFOM., E.N.R., emitió, ofreció y colocó, de forma privada, certificados bursátiles fiduciarios se</w:t>
      </w:r>
      <w:r w:rsidRPr="004F039C">
        <w:rPr>
          <w:rFonts w:ascii="HelveticaNeueLT Std" w:hAnsi="HelveticaNeueLT Std"/>
        </w:rPr>
        <w:t>rie (i) “A” por un monto de 2 mil 765 millones de pesos, con una tasa de interés anual igual a la suma del U.S. Treasury Cost, más 3.5 por ciento, y (ii) “B” por un monto de 1 mil 300 millones de pesos, con una tasa de interés anual igual al resultado de m</w:t>
      </w:r>
      <w:r w:rsidRPr="004F039C">
        <w:rPr>
          <w:rFonts w:ascii="HelveticaNeueLT Std" w:hAnsi="HelveticaNeueLT Std"/>
        </w:rPr>
        <w:t>ultiplicar 1.10 por la tasa moratoria que se establece en el Macrotítulo de los Certificados Bursátiles Fiduciarios Serie “B”, y se encuentran respaldados por los remanentes del Fideicomiso de Cobranza.</w:t>
      </w:r>
    </w:p>
    <w:p w14:paraId="5829FA44" w14:textId="77777777" w:rsidR="004F660A" w:rsidRPr="004F039C" w:rsidRDefault="00EB41CD">
      <w:pPr>
        <w:numPr>
          <w:ilvl w:val="0"/>
          <w:numId w:val="8"/>
        </w:numPr>
        <w:spacing w:line="276" w:lineRule="auto"/>
        <w:jc w:val="both"/>
        <w:rPr>
          <w:rFonts w:ascii="HelveticaNeueLT Std" w:hAnsi="HelveticaNeueLT Std"/>
        </w:rPr>
      </w:pPr>
      <w:r w:rsidRPr="004F039C">
        <w:rPr>
          <w:rFonts w:ascii="HelveticaNeueLT Std" w:hAnsi="HelveticaNeueLT Std"/>
        </w:rPr>
        <w:t xml:space="preserve">Las emisiones estarán denominadas en su totalidad en </w:t>
      </w:r>
      <w:r w:rsidRPr="004F039C">
        <w:rPr>
          <w:rFonts w:ascii="HelveticaNeueLT Std" w:hAnsi="HelveticaNeueLT Std"/>
        </w:rPr>
        <w:t>pesos, tendrán un plazo de 20 años y realizarán pagos semestrales de intereses y capital, con tasa de interés fija y amortizaciones programadas crecientes. La fuente de pago de las emisiones serán los certificados bursátiles fiduciarios (CBFS) que van a se</w:t>
      </w:r>
      <w:r w:rsidRPr="004F039C">
        <w:rPr>
          <w:rFonts w:ascii="HelveticaNeueLT Std" w:hAnsi="HelveticaNeueLT Std"/>
        </w:rPr>
        <w:t>r adquiridos por la emisora, que a su vez estarán respaldados por el 100 por ciento de los ingresos del Instituto de la Función Registral del Estado de México (el Instituto), derivados de la recaudación de derechos por la prestación de los servicios consis</w:t>
      </w:r>
      <w:r w:rsidRPr="004F039C">
        <w:rPr>
          <w:rFonts w:ascii="HelveticaNeueLT Std" w:hAnsi="HelveticaNeueLT Std"/>
        </w:rPr>
        <w:t>tentes en llevar a cabo la función del Registro Público de la Propiedad (Ingresos RPP).</w:t>
      </w:r>
    </w:p>
    <w:p w14:paraId="5D72E90E" w14:textId="77777777" w:rsidR="004F660A" w:rsidRPr="004F039C" w:rsidRDefault="00EB41CD">
      <w:pPr>
        <w:numPr>
          <w:ilvl w:val="0"/>
          <w:numId w:val="8"/>
        </w:numPr>
        <w:spacing w:after="240" w:line="276" w:lineRule="auto"/>
        <w:jc w:val="both"/>
        <w:rPr>
          <w:rFonts w:ascii="HelveticaNeueLT Std" w:hAnsi="HelveticaNeueLT Std"/>
        </w:rPr>
      </w:pPr>
      <w:r w:rsidRPr="004F039C">
        <w:rPr>
          <w:rFonts w:ascii="HelveticaNeueLT Std" w:hAnsi="HelveticaNeueLT Std"/>
        </w:rPr>
        <w:lastRenderedPageBreak/>
        <w:t>Adicionalmente los CBFS Serie A contarán con una garantía financiera de Overseas Private Investment Corporation (OPIC) por US $250 millones de dólares (MDD) de principa</w:t>
      </w:r>
      <w:r w:rsidRPr="004F039C">
        <w:rPr>
          <w:rFonts w:ascii="HelveticaNeueLT Std" w:hAnsi="HelveticaNeueLT Std"/>
        </w:rPr>
        <w:t>l más los intereses asociados; mientras que los CBFS Serie B tendrán una garantía financiera de Corporación Andina de Fomento (CAF) por el 30 por ciento del saldo insoluto.</w:t>
      </w:r>
    </w:p>
    <w:p w14:paraId="1C639C93" w14:textId="77777777" w:rsidR="004F660A" w:rsidRPr="004F039C" w:rsidRDefault="00EB41CD">
      <w:pPr>
        <w:numPr>
          <w:ilvl w:val="0"/>
          <w:numId w:val="8"/>
        </w:numPr>
        <w:spacing w:line="276" w:lineRule="auto"/>
        <w:jc w:val="both"/>
        <w:rPr>
          <w:rFonts w:ascii="HelveticaNeueLT Std" w:hAnsi="HelveticaNeueLT Std"/>
        </w:rPr>
      </w:pPr>
      <w:r w:rsidRPr="004F039C">
        <w:rPr>
          <w:rFonts w:ascii="HelveticaNeueLT Std" w:hAnsi="HelveticaNeueLT Std"/>
          <w:sz w:val="14"/>
          <w:szCs w:val="14"/>
        </w:rPr>
        <w:t>En Sesión Ordinaria del Consejo Directivo de fecha 21 de febrero de 2011, el Instit</w:t>
      </w:r>
      <w:r w:rsidRPr="004F039C">
        <w:rPr>
          <w:rFonts w:ascii="HelveticaNeueLT Std" w:hAnsi="HelveticaNeueLT Std"/>
          <w:sz w:val="14"/>
          <w:szCs w:val="14"/>
        </w:rPr>
        <w:t>uto presentó propuesta para aprobar previa autorización de la Secretaría de Finanzas del Gobierno del Estado de México, conforme a lo establecido en el Decreto número 79, aprobado por la H. “LVII” Legislatura del Estado y publicado en la “Gaceta del Gobier</w:t>
      </w:r>
      <w:r w:rsidRPr="004F039C">
        <w:rPr>
          <w:rFonts w:ascii="HelveticaNeueLT Std" w:hAnsi="HelveticaNeueLT Std"/>
          <w:sz w:val="14"/>
          <w:szCs w:val="14"/>
        </w:rPr>
        <w:t xml:space="preserve">no” el 12 de mayo de 2010, se celebró y se obligó conforme a los contratos y demás instrumentos que resultaron necesarios o convenientes, la emisión y suscripción de los Certificados Bursátiles Fiduciarios Subordinados (Serie “C”), equivalente a 650,901.5 </w:t>
      </w:r>
      <w:r w:rsidRPr="004F039C">
        <w:rPr>
          <w:rFonts w:ascii="HelveticaNeueLT Std" w:hAnsi="HelveticaNeueLT Std"/>
          <w:sz w:val="14"/>
          <w:szCs w:val="14"/>
        </w:rPr>
        <w:t>miles de UDIS. A la fecha</w:t>
      </w:r>
      <w:r w:rsidRPr="004F039C">
        <w:rPr>
          <w:rFonts w:ascii="HelveticaNeueLT Std" w:hAnsi="HelveticaNeueLT Std"/>
        </w:rPr>
        <w:t xml:space="preserve"> de la emisión, dichas UDIS representaron un importe de 3 mil millones 11.2 miles de pesos; tendrá un plazo de 20 años y realizarán pagos semestrales de interés y capital, con tasa de interés fija. La cobranza y garantía de los mis</w:t>
      </w:r>
      <w:r w:rsidRPr="004F039C">
        <w:rPr>
          <w:rFonts w:ascii="HelveticaNeueLT Std" w:hAnsi="HelveticaNeueLT Std"/>
        </w:rPr>
        <w:t>mos, incluyendo de forma enunciativa, más no limitativa, los contratos de garantía y compra venta con los adquirentes de los Certificados Bursátiles Fiduciarios Subordinados (Serie “C”), pudiendo asumir obligaciones en beneficio de dichos adquirentes, tale</w:t>
      </w:r>
      <w:r w:rsidRPr="004F039C">
        <w:rPr>
          <w:rFonts w:ascii="HelveticaNeueLT Std" w:hAnsi="HelveticaNeueLT Std"/>
        </w:rPr>
        <w:t>s como el pago de comisiones y la creación y mantenimiento de fondos de reserva o cualesquiera otros mecanismos similares, y los demás contratos y documentos relacionados a la operación antes mencionada a la fecha.</w:t>
      </w:r>
    </w:p>
    <w:p w14:paraId="347A68C1" w14:textId="77777777" w:rsidR="004F660A" w:rsidRPr="004F039C" w:rsidRDefault="00EB41CD">
      <w:pPr>
        <w:numPr>
          <w:ilvl w:val="0"/>
          <w:numId w:val="8"/>
        </w:numPr>
        <w:spacing w:line="276" w:lineRule="auto"/>
        <w:jc w:val="both"/>
        <w:rPr>
          <w:rFonts w:ascii="HelveticaNeueLT Std" w:hAnsi="HelveticaNeueLT Std"/>
        </w:rPr>
      </w:pPr>
      <w:r w:rsidRPr="004F039C">
        <w:rPr>
          <w:rFonts w:ascii="HelveticaNeueLT Std" w:hAnsi="HelveticaNeueLT Std"/>
        </w:rPr>
        <w:t xml:space="preserve">En el caso específico del Fideicomiso de </w:t>
      </w:r>
      <w:r w:rsidRPr="004F039C">
        <w:rPr>
          <w:rFonts w:ascii="HelveticaNeueLT Std" w:hAnsi="HelveticaNeueLT Std"/>
        </w:rPr>
        <w:t>Cobranza No. 80615 el Fideicomitente es el Instituto y el Fideicomisario la SOFOM, por lo tanto, de conformidad con lo establecido en el Artículo 265 B Bis del Código Financiero del Estado de México y Municipios y en el Artículo 7 de la Ley para la Coordin</w:t>
      </w:r>
      <w:r w:rsidRPr="004F039C">
        <w:rPr>
          <w:rFonts w:ascii="HelveticaNeueLT Std" w:hAnsi="HelveticaNeueLT Std"/>
        </w:rPr>
        <w:t>ación y Control de Organismos Auxiliares del Estado de México, no se trata de un fideicomiso público.</w:t>
      </w:r>
    </w:p>
    <w:p w14:paraId="40DADFCD" w14:textId="77777777" w:rsidR="00191DB2" w:rsidRPr="004F039C" w:rsidRDefault="00EB41CD">
      <w:pPr>
        <w:numPr>
          <w:ilvl w:val="0"/>
          <w:numId w:val="8"/>
        </w:numPr>
        <w:spacing w:line="276" w:lineRule="auto"/>
        <w:jc w:val="both"/>
        <w:rPr>
          <w:rFonts w:ascii="HelveticaNeueLT Std" w:hAnsi="HelveticaNeueLT Std"/>
        </w:rPr>
      </w:pPr>
      <w:r w:rsidRPr="004F039C">
        <w:rPr>
          <w:rFonts w:ascii="HelveticaNeueLT Std" w:hAnsi="HelveticaNeueLT Std"/>
        </w:rPr>
        <w:t>Por lo anterior, desde el ejercicio de 2010, se definió que el Fideicomiso de Cobranza se reconociera en el Instituto, de acuerdo al Manual Único de Conta</w:t>
      </w:r>
      <w:r w:rsidRPr="004F039C">
        <w:rPr>
          <w:rFonts w:ascii="HelveticaNeueLT Std" w:hAnsi="HelveticaNeueLT Std"/>
        </w:rPr>
        <w:t xml:space="preserve">bilidad Gubernamental para las Dependencias y Entidades </w:t>
      </w:r>
    </w:p>
    <w:p w14:paraId="52CA8A1E" w14:textId="77777777" w:rsidR="00191DB2" w:rsidRPr="004F039C" w:rsidRDefault="00191DB2" w:rsidP="00EA46D7">
      <w:pPr>
        <w:spacing w:line="276" w:lineRule="auto"/>
        <w:ind w:left="786"/>
        <w:jc w:val="both"/>
        <w:rPr>
          <w:rFonts w:ascii="HelveticaNeueLT Std" w:hAnsi="HelveticaNeueLT Std"/>
        </w:rPr>
      </w:pPr>
    </w:p>
    <w:p w14:paraId="4980A10F" w14:textId="77777777" w:rsidR="00A71528" w:rsidRPr="004F039C" w:rsidRDefault="00A71528" w:rsidP="00191DB2">
      <w:pPr>
        <w:spacing w:line="276" w:lineRule="auto"/>
        <w:ind w:left="720"/>
        <w:jc w:val="both"/>
        <w:rPr>
          <w:rFonts w:ascii="HelveticaNeueLT Std" w:hAnsi="HelveticaNeueLT Std"/>
        </w:rPr>
      </w:pPr>
    </w:p>
    <w:p w14:paraId="76F4DFC5" w14:textId="77777777" w:rsidR="00A71528" w:rsidRPr="004F039C" w:rsidRDefault="00A71528" w:rsidP="00191DB2">
      <w:pPr>
        <w:spacing w:line="276" w:lineRule="auto"/>
        <w:ind w:left="720"/>
        <w:jc w:val="both"/>
        <w:rPr>
          <w:rFonts w:ascii="HelveticaNeueLT Std" w:hAnsi="HelveticaNeueLT Std"/>
        </w:rPr>
      </w:pPr>
    </w:p>
    <w:p w14:paraId="58E1E3A8" w14:textId="77777777" w:rsidR="00A71528" w:rsidRPr="004F039C" w:rsidRDefault="00A71528" w:rsidP="00191DB2">
      <w:pPr>
        <w:spacing w:line="276" w:lineRule="auto"/>
        <w:ind w:left="720"/>
        <w:jc w:val="both"/>
        <w:rPr>
          <w:rFonts w:ascii="HelveticaNeueLT Std" w:hAnsi="HelveticaNeueLT Std"/>
        </w:rPr>
      </w:pPr>
    </w:p>
    <w:p w14:paraId="073C4C8B" w14:textId="77777777" w:rsidR="00A71528" w:rsidRPr="004F039C" w:rsidRDefault="00A71528" w:rsidP="00191DB2">
      <w:pPr>
        <w:spacing w:line="276" w:lineRule="auto"/>
        <w:ind w:left="720"/>
        <w:jc w:val="both"/>
        <w:rPr>
          <w:rFonts w:ascii="HelveticaNeueLT Std" w:hAnsi="HelveticaNeueLT Std"/>
        </w:rPr>
      </w:pPr>
    </w:p>
    <w:p w14:paraId="550C2E14" w14:textId="77777777" w:rsidR="00A71528" w:rsidRPr="004F039C" w:rsidRDefault="00A71528" w:rsidP="00191DB2">
      <w:pPr>
        <w:spacing w:line="276" w:lineRule="auto"/>
        <w:ind w:left="720"/>
        <w:jc w:val="both"/>
        <w:rPr>
          <w:rFonts w:ascii="HelveticaNeueLT Std" w:hAnsi="HelveticaNeueLT Std"/>
        </w:rPr>
      </w:pPr>
    </w:p>
    <w:p w14:paraId="62CDB69D" w14:textId="77777777" w:rsidR="00A71528" w:rsidRPr="004F039C" w:rsidRDefault="00A71528" w:rsidP="00191DB2">
      <w:pPr>
        <w:spacing w:line="276" w:lineRule="auto"/>
        <w:ind w:left="720"/>
        <w:jc w:val="both"/>
        <w:rPr>
          <w:rFonts w:ascii="HelveticaNeueLT Std" w:hAnsi="HelveticaNeueLT Std"/>
        </w:rPr>
      </w:pPr>
    </w:p>
    <w:p w14:paraId="1D6CC7AF" w14:textId="77777777" w:rsidR="00A71528" w:rsidRPr="004F039C" w:rsidRDefault="00A71528" w:rsidP="00191DB2">
      <w:pPr>
        <w:spacing w:line="276" w:lineRule="auto"/>
        <w:ind w:left="720"/>
        <w:jc w:val="both"/>
        <w:rPr>
          <w:rFonts w:ascii="HelveticaNeueLT Std" w:hAnsi="HelveticaNeueLT Std"/>
        </w:rPr>
      </w:pPr>
    </w:p>
    <w:p w14:paraId="23468A4A" w14:textId="77777777" w:rsidR="00A71528" w:rsidRPr="004F039C" w:rsidRDefault="00A71528" w:rsidP="00191DB2">
      <w:pPr>
        <w:spacing w:line="276" w:lineRule="auto"/>
        <w:ind w:left="720"/>
        <w:jc w:val="both"/>
        <w:rPr>
          <w:rFonts w:ascii="HelveticaNeueLT Std" w:hAnsi="HelveticaNeueLT Std"/>
        </w:rPr>
      </w:pPr>
    </w:p>
    <w:p w14:paraId="3C7A17FC" w14:textId="77777777" w:rsidR="00A71528" w:rsidRPr="004F039C" w:rsidRDefault="00A71528" w:rsidP="00191DB2">
      <w:pPr>
        <w:spacing w:line="276" w:lineRule="auto"/>
        <w:ind w:left="720"/>
        <w:jc w:val="both"/>
        <w:rPr>
          <w:rFonts w:ascii="HelveticaNeueLT Std" w:hAnsi="HelveticaNeueLT Std"/>
        </w:rPr>
      </w:pPr>
    </w:p>
    <w:p w14:paraId="45259C59" w14:textId="77777777" w:rsidR="00A71528" w:rsidRPr="004F039C" w:rsidRDefault="00A71528" w:rsidP="00191DB2">
      <w:pPr>
        <w:spacing w:line="276" w:lineRule="auto"/>
        <w:ind w:left="720"/>
        <w:jc w:val="both"/>
        <w:rPr>
          <w:rFonts w:ascii="HelveticaNeueLT Std" w:hAnsi="HelveticaNeueLT Std"/>
        </w:rPr>
      </w:pPr>
    </w:p>
    <w:p w14:paraId="4878E085" w14:textId="77777777" w:rsidR="00A71528" w:rsidRPr="004F039C" w:rsidRDefault="00A71528" w:rsidP="00191DB2">
      <w:pPr>
        <w:spacing w:line="276" w:lineRule="auto"/>
        <w:ind w:left="720"/>
        <w:jc w:val="both"/>
        <w:rPr>
          <w:rFonts w:ascii="HelveticaNeueLT Std" w:hAnsi="HelveticaNeueLT Std"/>
        </w:rPr>
      </w:pPr>
    </w:p>
    <w:p w14:paraId="1804976E" w14:textId="77777777" w:rsidR="00A71528" w:rsidRPr="004F039C" w:rsidRDefault="00A71528" w:rsidP="00191DB2">
      <w:pPr>
        <w:spacing w:line="276" w:lineRule="auto"/>
        <w:ind w:left="720"/>
        <w:jc w:val="both"/>
        <w:rPr>
          <w:rFonts w:ascii="HelveticaNeueLT Std" w:hAnsi="HelveticaNeueLT Std"/>
        </w:rPr>
      </w:pPr>
    </w:p>
    <w:p w14:paraId="33C12599" w14:textId="77777777" w:rsidR="00A71528" w:rsidRPr="004F039C" w:rsidRDefault="00A71528" w:rsidP="00191DB2">
      <w:pPr>
        <w:spacing w:line="276" w:lineRule="auto"/>
        <w:ind w:left="720"/>
        <w:jc w:val="both"/>
        <w:rPr>
          <w:rFonts w:ascii="HelveticaNeueLT Std" w:hAnsi="HelveticaNeueLT Std"/>
        </w:rPr>
      </w:pPr>
    </w:p>
    <w:p w14:paraId="1D162A7B" w14:textId="77777777" w:rsidR="00A71528" w:rsidRPr="004F039C" w:rsidRDefault="00A71528" w:rsidP="00191DB2">
      <w:pPr>
        <w:spacing w:line="276" w:lineRule="auto"/>
        <w:ind w:left="720"/>
        <w:jc w:val="both"/>
        <w:rPr>
          <w:rFonts w:ascii="HelveticaNeueLT Std" w:hAnsi="HelveticaNeueLT Std"/>
        </w:rPr>
      </w:pPr>
    </w:p>
    <w:p w14:paraId="1F38DAA9" w14:textId="77777777" w:rsidR="00A71528" w:rsidRPr="004F039C" w:rsidRDefault="00A71528" w:rsidP="00191DB2">
      <w:pPr>
        <w:spacing w:line="276" w:lineRule="auto"/>
        <w:ind w:left="720"/>
        <w:jc w:val="both"/>
        <w:rPr>
          <w:rFonts w:ascii="HelveticaNeueLT Std" w:hAnsi="HelveticaNeueLT Std"/>
        </w:rPr>
      </w:pPr>
    </w:p>
    <w:p w14:paraId="43EFA136" w14:textId="77777777" w:rsidR="00A71528" w:rsidRPr="004F039C" w:rsidRDefault="00A71528" w:rsidP="00191DB2">
      <w:pPr>
        <w:spacing w:line="276" w:lineRule="auto"/>
        <w:ind w:left="720"/>
        <w:jc w:val="both"/>
        <w:rPr>
          <w:rFonts w:ascii="HelveticaNeueLT Std" w:hAnsi="HelveticaNeueLT Std"/>
        </w:rPr>
      </w:pPr>
    </w:p>
    <w:p w14:paraId="6EDB40A7" w14:textId="77777777" w:rsidR="00A71528" w:rsidRPr="004F039C" w:rsidRDefault="00A71528" w:rsidP="00191DB2">
      <w:pPr>
        <w:spacing w:line="276" w:lineRule="auto"/>
        <w:ind w:left="720"/>
        <w:jc w:val="both"/>
        <w:rPr>
          <w:rFonts w:ascii="HelveticaNeueLT Std" w:hAnsi="HelveticaNeueLT Std"/>
        </w:rPr>
      </w:pPr>
    </w:p>
    <w:p w14:paraId="45D7644B" w14:textId="77777777" w:rsidR="00A71528" w:rsidRPr="004F039C" w:rsidRDefault="00A71528" w:rsidP="00191DB2">
      <w:pPr>
        <w:spacing w:line="276" w:lineRule="auto"/>
        <w:ind w:left="720"/>
        <w:jc w:val="both"/>
        <w:rPr>
          <w:rFonts w:ascii="HelveticaNeueLT Std" w:hAnsi="HelveticaNeueLT Std"/>
        </w:rPr>
      </w:pPr>
    </w:p>
    <w:p w14:paraId="7C06C9DA" w14:textId="77777777" w:rsidR="00A71528" w:rsidRPr="004F039C" w:rsidRDefault="00A71528" w:rsidP="00191DB2">
      <w:pPr>
        <w:spacing w:line="276" w:lineRule="auto"/>
        <w:ind w:left="720"/>
        <w:jc w:val="both"/>
        <w:rPr>
          <w:rFonts w:ascii="HelveticaNeueLT Std" w:hAnsi="HelveticaNeueLT Std"/>
        </w:rPr>
      </w:pPr>
    </w:p>
    <w:p w14:paraId="1C7D8E6D" w14:textId="77777777" w:rsidR="00A71528" w:rsidRPr="004F039C" w:rsidRDefault="00A71528" w:rsidP="00191DB2">
      <w:pPr>
        <w:spacing w:line="276" w:lineRule="auto"/>
        <w:ind w:left="720"/>
        <w:jc w:val="both"/>
        <w:rPr>
          <w:rFonts w:ascii="HelveticaNeueLT Std" w:hAnsi="HelveticaNeueLT Std"/>
        </w:rPr>
      </w:pPr>
    </w:p>
    <w:p w14:paraId="476201CE" w14:textId="77777777" w:rsidR="00A71528" w:rsidRPr="004F039C" w:rsidRDefault="00A71528" w:rsidP="00191DB2">
      <w:pPr>
        <w:spacing w:line="276" w:lineRule="auto"/>
        <w:ind w:left="720"/>
        <w:jc w:val="both"/>
        <w:rPr>
          <w:rFonts w:ascii="HelveticaNeueLT Std" w:hAnsi="HelveticaNeueLT Std"/>
        </w:rPr>
      </w:pPr>
    </w:p>
    <w:p w14:paraId="5711742D" w14:textId="17CDA5E5" w:rsidR="004F660A" w:rsidRPr="004F039C" w:rsidRDefault="00EB41CD" w:rsidP="00191DB2">
      <w:pPr>
        <w:spacing w:line="276" w:lineRule="auto"/>
        <w:ind w:left="720"/>
        <w:jc w:val="both"/>
        <w:rPr>
          <w:rFonts w:ascii="HelveticaNeueLT Std" w:hAnsi="HelveticaNeueLT Std"/>
        </w:rPr>
      </w:pPr>
      <w:r w:rsidRPr="004F039C">
        <w:rPr>
          <w:rFonts w:ascii="HelveticaNeueLT Std" w:hAnsi="HelveticaNeueLT Std"/>
        </w:rPr>
        <w:t>Públicas del Gobierno y Municipios del Estado de México, en cumplimiento con los lineamientos de la Guía Contabilizadora del Gobierno del Estado de México.</w:t>
      </w:r>
    </w:p>
    <w:p w14:paraId="26D7DB11" w14:textId="65EB1CFC" w:rsidR="004F660A" w:rsidRPr="004F039C" w:rsidRDefault="00EB41CD" w:rsidP="006A3228">
      <w:pPr>
        <w:numPr>
          <w:ilvl w:val="0"/>
          <w:numId w:val="8"/>
        </w:numPr>
        <w:spacing w:line="276" w:lineRule="auto"/>
        <w:jc w:val="both"/>
        <w:rPr>
          <w:rFonts w:ascii="HelveticaNeueLT Std" w:hAnsi="HelveticaNeueLT Std"/>
        </w:rPr>
      </w:pPr>
      <w:r w:rsidRPr="004F039C">
        <w:rPr>
          <w:rFonts w:ascii="HelveticaNeueLT Std" w:hAnsi="HelveticaNeueLT Std"/>
        </w:rPr>
        <w:t xml:space="preserve">El día 30 de </w:t>
      </w:r>
      <w:r w:rsidRPr="004F039C">
        <w:rPr>
          <w:rFonts w:ascii="HelveticaNeueLT Std" w:hAnsi="HelveticaNeueLT Std"/>
        </w:rPr>
        <w:t>noviembre de 2015 Promotora de Infraestructura Registral II, S.A. de C.V., SOFOM E.R. (antes Promotora de Infraestructura Registral, S.A. de C.V.), fue inscrita en el registro de prestadores de servicios financieros (SIPRES) que mantiene la Comisión Nacion</w:t>
      </w:r>
      <w:r w:rsidRPr="004F039C">
        <w:rPr>
          <w:rFonts w:ascii="HelveticaNeueLT Std" w:hAnsi="HelveticaNeueLT Std"/>
        </w:rPr>
        <w:t>al para la Protección y Defensa de los Usuarios de Servicios Financieros (CONDUSEF) como Sociedad Financiera de Objeto Múltiple Regulada, en términos del segundo párrafo del artículo 87-b de la Ley General de Organizaciones y Actividades Auxiliares del Cré</w:t>
      </w:r>
      <w:r w:rsidRPr="004F039C">
        <w:rPr>
          <w:rFonts w:ascii="HelveticaNeueLT Std" w:hAnsi="HelveticaNeueLT Std"/>
        </w:rPr>
        <w:t>dito.</w:t>
      </w:r>
    </w:p>
    <w:p w14:paraId="41FBDB9D" w14:textId="3B9BC0A1" w:rsidR="004F660A" w:rsidRPr="004F039C" w:rsidRDefault="00EB41CD">
      <w:pPr>
        <w:numPr>
          <w:ilvl w:val="0"/>
          <w:numId w:val="7"/>
        </w:numPr>
        <w:spacing w:after="0" w:line="276" w:lineRule="auto"/>
        <w:ind w:left="851"/>
        <w:jc w:val="both"/>
        <w:rPr>
          <w:rFonts w:ascii="HelveticaNeueLT Std" w:hAnsi="HelveticaNeueLT Std"/>
          <w:b/>
        </w:rPr>
      </w:pPr>
      <w:r w:rsidRPr="004F039C">
        <w:rPr>
          <w:rFonts w:ascii="HelveticaNeueLT Std" w:hAnsi="HelveticaNeueLT Std"/>
          <w:b/>
        </w:rPr>
        <w:t>Reporte de la Recaudación</w:t>
      </w:r>
    </w:p>
    <w:p w14:paraId="4CFFD7B4" w14:textId="3E180E7E" w:rsidR="00336F44" w:rsidRPr="004F039C" w:rsidRDefault="00336F44" w:rsidP="00DC49D1">
      <w:pPr>
        <w:spacing w:after="0" w:line="276" w:lineRule="auto"/>
        <w:ind w:left="851"/>
        <w:jc w:val="both"/>
        <w:rPr>
          <w:rFonts w:ascii="HelveticaNeueLT Std" w:hAnsi="HelveticaNeueLT Std"/>
          <w:b/>
        </w:rPr>
      </w:pPr>
    </w:p>
    <w:p w14:paraId="3BF0C2A1" w14:textId="77777777" w:rsidR="00DC49D1" w:rsidRPr="004F039C" w:rsidRDefault="00DC49D1" w:rsidP="00DC49D1">
      <w:pPr>
        <w:spacing w:after="0" w:line="276" w:lineRule="auto"/>
        <w:ind w:left="851"/>
        <w:jc w:val="both"/>
        <w:rPr>
          <w:rFonts w:ascii="HelveticaNeueLT Std" w:hAnsi="HelveticaNeueLT Std"/>
          <w:b/>
        </w:rPr>
      </w:pPr>
    </w:p>
    <w:p w14:paraId="7624F7F7" w14:textId="36B18C75" w:rsidR="004F660A" w:rsidRPr="004F039C" w:rsidRDefault="005010C4" w:rsidP="00B22E30">
      <w:pPr>
        <w:spacing w:after="0" w:line="276" w:lineRule="auto"/>
        <w:rPr>
          <w:rFonts w:ascii="HelveticaNeueLT Std" w:hAnsi="HelveticaNeueLT Std"/>
        </w:rPr>
      </w:pPr>
      <w:r w:rsidRPr="004F039C">
        <w:rPr>
          <w:rFonts w:ascii="HelveticaNeueLT Std" w:hAnsi="HelveticaNeueLT Std"/>
          <w:noProof/>
        </w:rPr>
        <w:lastRenderedPageBreak/>
        <w:drawing>
          <wp:inline distT="0" distB="0" distL="0" distR="0" wp14:anchorId="00958E64" wp14:editId="3AFDF48E">
            <wp:extent cx="6569065" cy="4900773"/>
            <wp:effectExtent l="0" t="0" r="381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81428" cy="4909996"/>
                    </a:xfrm>
                    <a:prstGeom prst="rect">
                      <a:avLst/>
                    </a:prstGeom>
                    <a:noFill/>
                    <a:ln>
                      <a:noFill/>
                    </a:ln>
                  </pic:spPr>
                </pic:pic>
              </a:graphicData>
            </a:graphic>
          </wp:inline>
        </w:drawing>
      </w:r>
    </w:p>
    <w:p w14:paraId="39FA8492" w14:textId="4F778088" w:rsidR="00191DB2" w:rsidRPr="004F039C" w:rsidRDefault="00191DB2" w:rsidP="00B22E30">
      <w:pPr>
        <w:spacing w:after="0" w:line="276" w:lineRule="auto"/>
        <w:rPr>
          <w:rFonts w:ascii="HelveticaNeueLT Std" w:hAnsi="HelveticaNeueLT Std"/>
        </w:rPr>
      </w:pPr>
    </w:p>
    <w:p w14:paraId="09EBC4DC" w14:textId="77777777" w:rsidR="00336F44" w:rsidRPr="004F039C" w:rsidRDefault="00336F44" w:rsidP="00B22E30">
      <w:pPr>
        <w:spacing w:after="0" w:line="276" w:lineRule="auto"/>
        <w:rPr>
          <w:rFonts w:ascii="HelveticaNeueLT Std" w:hAnsi="HelveticaNeueLT Std"/>
        </w:rPr>
      </w:pPr>
    </w:p>
    <w:p w14:paraId="377EFED7" w14:textId="77777777" w:rsidR="005010C4" w:rsidRPr="004F039C" w:rsidRDefault="005010C4" w:rsidP="005010C4">
      <w:pPr>
        <w:spacing w:after="0" w:line="240" w:lineRule="auto"/>
        <w:jc w:val="both"/>
        <w:rPr>
          <w:rFonts w:ascii="HelveticaNeueLT Std" w:eastAsiaTheme="minorHAnsi" w:hAnsi="HelveticaNeueLT Std" w:cs="Arial"/>
          <w:b/>
          <w:lang w:eastAsia="en-US"/>
        </w:rPr>
      </w:pPr>
      <w:r w:rsidRPr="004F039C">
        <w:rPr>
          <w:rFonts w:ascii="HelveticaNeueLT Std" w:eastAsiaTheme="minorHAnsi" w:hAnsi="HelveticaNeueLT Std" w:cs="Arial"/>
          <w:b/>
          <w:lang w:eastAsia="en-US"/>
        </w:rPr>
        <w:t>INGRESOS.</w:t>
      </w:r>
    </w:p>
    <w:p w14:paraId="1E036283" w14:textId="77777777" w:rsidR="005010C4" w:rsidRPr="004F039C" w:rsidRDefault="005010C4" w:rsidP="005010C4">
      <w:pPr>
        <w:tabs>
          <w:tab w:val="left" w:pos="7560"/>
        </w:tabs>
        <w:spacing w:after="0" w:line="240" w:lineRule="auto"/>
        <w:jc w:val="both"/>
        <w:rPr>
          <w:rFonts w:ascii="HelveticaNeueLT Std" w:eastAsiaTheme="minorHAnsi" w:hAnsi="HelveticaNeueLT Std" w:cstheme="minorBidi"/>
          <w:lang w:eastAsia="en-US"/>
        </w:rPr>
      </w:pPr>
      <w:r w:rsidRPr="004F039C">
        <w:rPr>
          <w:rFonts w:ascii="HelveticaNeueLT Std" w:eastAsiaTheme="minorHAnsi" w:hAnsi="HelveticaNeueLT Std" w:cstheme="minorBidi"/>
          <w:lang w:eastAsia="en-US"/>
        </w:rPr>
        <w:tab/>
      </w:r>
    </w:p>
    <w:p w14:paraId="02E6FE5B" w14:textId="77777777" w:rsidR="005010C4" w:rsidRPr="004F039C" w:rsidRDefault="005010C4" w:rsidP="005010C4">
      <w:pPr>
        <w:spacing w:after="0" w:line="240" w:lineRule="auto"/>
        <w:jc w:val="both"/>
        <w:rPr>
          <w:rFonts w:ascii="HelveticaNeueLT Std" w:hAnsi="HelveticaNeueLT Std"/>
        </w:rPr>
      </w:pPr>
      <w:r w:rsidRPr="004F039C">
        <w:rPr>
          <w:rFonts w:ascii="HelveticaNeueLT Std" w:hAnsi="HelveticaNeueLT Std"/>
        </w:rPr>
        <w:t xml:space="preserve">Inicialmente se previó recaudar en la Ley de Ingresos Estimada la cantidad de 2,398,812,320.00. Se dio una asignación en el Capítulo de Inversión Pública por 38,658,686.65 que corresponden al Programa Acciones para el Desarrollo (PAD), denominado “Regularización de Tenencia de la Tierra, provenientes del Gobierno del Estado de México (GEM), cuya fuente de financiamiento son recursos estatales, y 5,945,106.87 para la Construcción y equipamiento del archivo general de notarías (Conclusión).  Se han realizado ampliaciones según el avance presupuestal de ingresos por un total de 2,149,694,316.26 al presupuesto y reducciones por 126,149,100.21 dando un total autorizado de 4,466,961,329.557. El importe total recaudado al mes de diciembre fue de 4,616,682,430.81, por lo que existe una variación del 3.4 por ciento mayor con respecto al total autorizado anual. </w:t>
      </w:r>
    </w:p>
    <w:p w14:paraId="72B89676" w14:textId="77777777" w:rsidR="005010C4" w:rsidRPr="004F039C" w:rsidRDefault="005010C4" w:rsidP="005010C4">
      <w:pPr>
        <w:spacing w:after="0" w:line="240" w:lineRule="auto"/>
        <w:jc w:val="both"/>
        <w:rPr>
          <w:rFonts w:ascii="HelveticaNeueLT Std" w:hAnsi="HelveticaNeueLT Std"/>
        </w:rPr>
      </w:pPr>
    </w:p>
    <w:p w14:paraId="2E712FEC" w14:textId="77777777" w:rsidR="005010C4" w:rsidRPr="004F039C" w:rsidRDefault="005010C4" w:rsidP="005010C4">
      <w:pPr>
        <w:spacing w:after="0" w:line="240" w:lineRule="auto"/>
        <w:jc w:val="both"/>
        <w:rPr>
          <w:rFonts w:ascii="HelveticaNeueLT Std" w:eastAsiaTheme="minorHAnsi" w:hAnsi="HelveticaNeueLT Std" w:cs="Arial"/>
          <w:lang w:eastAsia="en-US"/>
        </w:rPr>
      </w:pPr>
    </w:p>
    <w:p w14:paraId="47482F4D" w14:textId="77777777" w:rsidR="005010C4" w:rsidRPr="004F039C" w:rsidRDefault="005010C4" w:rsidP="005010C4">
      <w:pPr>
        <w:spacing w:after="0" w:line="240" w:lineRule="auto"/>
        <w:jc w:val="both"/>
        <w:rPr>
          <w:rFonts w:ascii="HelveticaNeueLT Std" w:eastAsiaTheme="minorHAnsi" w:hAnsi="HelveticaNeueLT Std" w:cs="Arial"/>
          <w:b/>
          <w:lang w:eastAsia="en-US"/>
        </w:rPr>
      </w:pPr>
      <w:r w:rsidRPr="004F039C">
        <w:rPr>
          <w:rFonts w:ascii="HelveticaNeueLT Std" w:eastAsiaTheme="minorHAnsi" w:hAnsi="HelveticaNeueLT Std" w:cs="Arial"/>
          <w:b/>
          <w:lang w:eastAsia="en-US"/>
        </w:rPr>
        <w:t>INGRESOS DE GESTIÓN.</w:t>
      </w:r>
    </w:p>
    <w:p w14:paraId="374B6A26" w14:textId="77777777" w:rsidR="005010C4" w:rsidRPr="004F039C" w:rsidRDefault="005010C4" w:rsidP="005010C4">
      <w:pPr>
        <w:spacing w:after="0" w:line="240" w:lineRule="auto"/>
        <w:jc w:val="both"/>
        <w:rPr>
          <w:rFonts w:ascii="HelveticaNeueLT Std" w:eastAsiaTheme="minorHAnsi" w:hAnsi="HelveticaNeueLT Std" w:cs="Arial"/>
          <w:lang w:eastAsia="en-US"/>
        </w:rPr>
      </w:pPr>
    </w:p>
    <w:p w14:paraId="63341117" w14:textId="77777777" w:rsidR="005010C4" w:rsidRPr="004F039C" w:rsidRDefault="005010C4" w:rsidP="005010C4">
      <w:pPr>
        <w:spacing w:after="0" w:line="240" w:lineRule="auto"/>
        <w:jc w:val="both"/>
        <w:rPr>
          <w:rFonts w:ascii="HelveticaNeueLT Std" w:eastAsiaTheme="minorHAnsi" w:hAnsi="HelveticaNeueLT Std" w:cs="Arial"/>
          <w:lang w:eastAsia="en-US"/>
        </w:rPr>
      </w:pPr>
      <w:r w:rsidRPr="004F039C">
        <w:rPr>
          <w:rFonts w:ascii="HelveticaNeueLT Std" w:eastAsiaTheme="minorHAnsi" w:hAnsi="HelveticaNeueLT Std" w:cs="Arial"/>
          <w:lang w:eastAsia="en-US"/>
        </w:rPr>
        <w:t>De acuerdo a lo señalado en la Ley de Ingresos para el ejercicio 2022, se previó recaudar ingresos por concepto de derechos del Registro Público de la Propiedad y Comercio por un importe de 2,339,782,320.00. Se han realizado “traspasos internos” para dar suficiencia a otros ingresos varios.</w:t>
      </w:r>
    </w:p>
    <w:p w14:paraId="5F807EAA" w14:textId="77777777" w:rsidR="005010C4" w:rsidRPr="004F039C" w:rsidRDefault="005010C4" w:rsidP="005010C4">
      <w:pPr>
        <w:spacing w:after="0" w:line="240" w:lineRule="auto"/>
        <w:jc w:val="both"/>
        <w:rPr>
          <w:rFonts w:ascii="HelveticaNeueLT Std" w:eastAsiaTheme="minorHAnsi" w:hAnsi="HelveticaNeueLT Std" w:cs="Arial"/>
          <w:lang w:eastAsia="en-US"/>
        </w:rPr>
      </w:pPr>
    </w:p>
    <w:p w14:paraId="5F881B65" w14:textId="77777777" w:rsidR="005010C4" w:rsidRPr="004F039C" w:rsidRDefault="005010C4" w:rsidP="005010C4">
      <w:pPr>
        <w:spacing w:after="0" w:line="240" w:lineRule="auto"/>
        <w:jc w:val="both"/>
        <w:rPr>
          <w:rFonts w:ascii="HelveticaNeueLT Std" w:eastAsiaTheme="minorHAnsi" w:hAnsi="HelveticaNeueLT Std" w:cs="Arial"/>
          <w:color w:val="C00000"/>
          <w:lang w:eastAsia="en-US"/>
        </w:rPr>
      </w:pPr>
      <w:r w:rsidRPr="004F039C">
        <w:rPr>
          <w:rFonts w:ascii="HelveticaNeueLT Std" w:eastAsiaTheme="minorHAnsi" w:hAnsi="HelveticaNeueLT Std" w:cs="Arial"/>
          <w:lang w:eastAsia="en-US"/>
        </w:rPr>
        <w:t>Asimismo, se autorizaron Ingresos por Venta de Bienes, Prestación de Servicios y Otros Ingresos, por 59,030,000.00.</w:t>
      </w:r>
    </w:p>
    <w:p w14:paraId="038FD127" w14:textId="77777777" w:rsidR="005010C4" w:rsidRPr="004F039C" w:rsidRDefault="005010C4" w:rsidP="005010C4">
      <w:pPr>
        <w:spacing w:after="0" w:line="240" w:lineRule="auto"/>
        <w:jc w:val="both"/>
        <w:rPr>
          <w:rFonts w:ascii="HelveticaNeueLT Std" w:eastAsiaTheme="minorHAnsi" w:hAnsi="HelveticaNeueLT Std" w:cs="Arial"/>
          <w:lang w:eastAsia="en-US"/>
        </w:rPr>
      </w:pPr>
    </w:p>
    <w:p w14:paraId="3F578861" w14:textId="77777777" w:rsidR="005010C4" w:rsidRPr="004F039C" w:rsidRDefault="005010C4" w:rsidP="005010C4">
      <w:pPr>
        <w:spacing w:after="0" w:line="240" w:lineRule="auto"/>
        <w:jc w:val="both"/>
        <w:rPr>
          <w:rFonts w:ascii="HelveticaNeueLT Std" w:eastAsiaTheme="minorHAnsi" w:hAnsi="HelveticaNeueLT Std" w:cs="Arial"/>
          <w:lang w:eastAsia="en-US"/>
        </w:rPr>
      </w:pPr>
      <w:r w:rsidRPr="004F039C">
        <w:rPr>
          <w:rFonts w:ascii="HelveticaNeueLT Std" w:eastAsia="Times New Roman" w:hAnsi="HelveticaNeueLT Std" w:cs="Arial"/>
        </w:rPr>
        <w:t>Se han recaudado por los derechos de los servicios que presta el Instituto 1,859,859,229.00</w:t>
      </w:r>
      <w:r w:rsidRPr="004F039C">
        <w:rPr>
          <w:rFonts w:ascii="HelveticaNeueLT Std" w:eastAsia="Times New Roman" w:hAnsi="HelveticaNeueLT Std" w:cs="Calibri"/>
        </w:rPr>
        <w:t xml:space="preserve">, </w:t>
      </w:r>
      <w:r w:rsidRPr="004F039C">
        <w:rPr>
          <w:rFonts w:ascii="HelveticaNeueLT Std" w:eastAsia="Times New Roman" w:hAnsi="HelveticaNeueLT Std" w:cs="Arial"/>
        </w:rPr>
        <w:t xml:space="preserve">lo que representa el 13.3 por ciento más respecto del modificado anual. </w:t>
      </w:r>
    </w:p>
    <w:p w14:paraId="1C17C875" w14:textId="77777777" w:rsidR="005010C4" w:rsidRPr="004F039C" w:rsidRDefault="005010C4" w:rsidP="005010C4">
      <w:pPr>
        <w:spacing w:after="0" w:line="240" w:lineRule="auto"/>
        <w:jc w:val="both"/>
        <w:rPr>
          <w:rFonts w:ascii="HelveticaNeueLT Std" w:eastAsiaTheme="minorHAnsi" w:hAnsi="HelveticaNeueLT Std" w:cs="Arial"/>
          <w:lang w:eastAsia="en-US"/>
        </w:rPr>
      </w:pPr>
    </w:p>
    <w:p w14:paraId="5771F476" w14:textId="77777777" w:rsidR="005010C4" w:rsidRPr="004F039C" w:rsidRDefault="005010C4" w:rsidP="005010C4">
      <w:pPr>
        <w:spacing w:after="0" w:line="240" w:lineRule="auto"/>
        <w:jc w:val="both"/>
        <w:rPr>
          <w:rFonts w:ascii="HelveticaNeueLT Std" w:eastAsiaTheme="minorHAnsi" w:hAnsi="HelveticaNeueLT Std" w:cs="Arial"/>
          <w:b/>
          <w:lang w:eastAsia="en-US"/>
        </w:rPr>
      </w:pPr>
      <w:r w:rsidRPr="004F039C">
        <w:rPr>
          <w:rFonts w:ascii="HelveticaNeueLT Std" w:eastAsiaTheme="minorHAnsi" w:hAnsi="HelveticaNeueLT Std" w:cs="Arial"/>
          <w:b/>
          <w:lang w:eastAsia="en-US"/>
        </w:rPr>
        <w:t>PARTICIPACIONES, APORTACIONES, TRANSFERENCIAS, ASIGNACIONES, SUBSIDIOS Y OTRAS AYUDAS.</w:t>
      </w:r>
    </w:p>
    <w:p w14:paraId="49BC4967" w14:textId="77777777" w:rsidR="005010C4" w:rsidRPr="004F039C" w:rsidRDefault="005010C4" w:rsidP="005010C4">
      <w:pPr>
        <w:spacing w:after="0" w:line="240" w:lineRule="auto"/>
        <w:jc w:val="both"/>
        <w:rPr>
          <w:rFonts w:ascii="HelveticaNeueLT Std" w:eastAsiaTheme="minorHAnsi" w:hAnsi="HelveticaNeueLT Std" w:cs="Arial"/>
          <w:color w:val="7030A0"/>
          <w:lang w:eastAsia="en-US"/>
        </w:rPr>
      </w:pPr>
    </w:p>
    <w:p w14:paraId="5758DBE5" w14:textId="77777777" w:rsidR="005010C4" w:rsidRPr="004F039C" w:rsidRDefault="005010C4" w:rsidP="005010C4">
      <w:pPr>
        <w:spacing w:after="0" w:line="240" w:lineRule="auto"/>
        <w:jc w:val="both"/>
        <w:rPr>
          <w:rFonts w:ascii="HelveticaNeueLT Std" w:eastAsia="Times New Roman" w:hAnsi="HelveticaNeueLT Std" w:cs="Arial"/>
        </w:rPr>
      </w:pPr>
      <w:r w:rsidRPr="004F039C">
        <w:rPr>
          <w:rFonts w:ascii="HelveticaNeueLT Std" w:eastAsia="Times New Roman" w:hAnsi="HelveticaNeueLT Std" w:cs="Arial"/>
        </w:rPr>
        <w:t xml:space="preserve">Se autorizó la asignación presupuestal del proyecto denominado “Regularización de Tenencia de la Tierra” por 38,658,686.65, este importe se refleja en el rubro del Programa de Acciones para el Desarrollo (PAD) y se va recaudando con los depósitos que realiza mensualmente el GEM, que al mes de diciembre son 38,658,686.65. Así como una ampliación por 5,945,106.87 para Construcción y Equipamiento A.G.N. (Conclusión), la cual se registró como recaudada al 100%.                  </w:t>
      </w:r>
    </w:p>
    <w:p w14:paraId="06F8B41D" w14:textId="77777777" w:rsidR="005010C4" w:rsidRPr="004F039C" w:rsidRDefault="005010C4" w:rsidP="005010C4">
      <w:pPr>
        <w:spacing w:after="0" w:line="240" w:lineRule="auto"/>
        <w:jc w:val="both"/>
        <w:rPr>
          <w:rFonts w:ascii="HelveticaNeueLT Std" w:eastAsia="Times New Roman" w:hAnsi="HelveticaNeueLT Std" w:cs="Arial"/>
        </w:rPr>
      </w:pPr>
      <w:r w:rsidRPr="004F039C">
        <w:rPr>
          <w:rFonts w:ascii="HelveticaNeueLT Std" w:eastAsia="Times New Roman" w:hAnsi="HelveticaNeueLT Std" w:cs="Arial"/>
        </w:rPr>
        <w:t xml:space="preserve">Se autorizó una ampliación presupuestal líquida por 215,000,000.00, para dar cumplimiento a las obligaciones de pago de certificados bursátiles; asimismo, se autorizó una cancelación presupuestal de 1,308,443.06.  Al mes de diciembre se registró un recaudado de 213,691,556.94.                              </w:t>
      </w:r>
    </w:p>
    <w:p w14:paraId="0E2280CC" w14:textId="77777777" w:rsidR="005010C4" w:rsidRPr="004F039C" w:rsidRDefault="005010C4" w:rsidP="005010C4">
      <w:pPr>
        <w:spacing w:after="0" w:line="240" w:lineRule="auto"/>
        <w:jc w:val="both"/>
        <w:rPr>
          <w:rFonts w:ascii="HelveticaNeueLT Std" w:eastAsia="Times New Roman" w:hAnsi="HelveticaNeueLT Std" w:cs="Arial"/>
        </w:rPr>
      </w:pPr>
    </w:p>
    <w:p w14:paraId="5CB3D7CB" w14:textId="77777777" w:rsidR="005010C4" w:rsidRPr="004F039C" w:rsidRDefault="005010C4" w:rsidP="005010C4">
      <w:pPr>
        <w:spacing w:after="0" w:line="240" w:lineRule="auto"/>
        <w:jc w:val="both"/>
        <w:rPr>
          <w:rFonts w:ascii="HelveticaNeueLT Std" w:eastAsia="Times New Roman" w:hAnsi="HelveticaNeueLT Std" w:cs="Arial"/>
          <w:b/>
        </w:rPr>
      </w:pPr>
    </w:p>
    <w:p w14:paraId="7A6A5DBC" w14:textId="77777777" w:rsidR="005010C4" w:rsidRPr="004F039C" w:rsidRDefault="005010C4" w:rsidP="005010C4">
      <w:pPr>
        <w:spacing w:after="0" w:line="240" w:lineRule="auto"/>
        <w:jc w:val="both"/>
        <w:rPr>
          <w:rFonts w:ascii="HelveticaNeueLT Std" w:eastAsiaTheme="minorHAnsi" w:hAnsi="HelveticaNeueLT Std" w:cs="Arial"/>
          <w:b/>
          <w:lang w:eastAsia="en-US"/>
        </w:rPr>
      </w:pPr>
      <w:r w:rsidRPr="004F039C">
        <w:rPr>
          <w:rFonts w:ascii="HelveticaNeueLT Std" w:eastAsiaTheme="minorHAnsi" w:hAnsi="HelveticaNeueLT Std" w:cs="Arial"/>
          <w:b/>
          <w:lang w:eastAsia="en-US"/>
        </w:rPr>
        <w:t>OTROS INGRESOS Y BENEFICIOS.</w:t>
      </w:r>
    </w:p>
    <w:p w14:paraId="5D9AF114" w14:textId="77777777" w:rsidR="005010C4" w:rsidRPr="004F039C" w:rsidRDefault="005010C4" w:rsidP="005010C4">
      <w:pPr>
        <w:spacing w:after="0" w:line="240" w:lineRule="auto"/>
        <w:jc w:val="both"/>
        <w:rPr>
          <w:rFonts w:ascii="HelveticaNeueLT Std" w:eastAsiaTheme="minorHAnsi" w:hAnsi="HelveticaNeueLT Std" w:cs="Arial"/>
          <w:lang w:eastAsia="en-US"/>
        </w:rPr>
      </w:pPr>
    </w:p>
    <w:p w14:paraId="1C1F68CE" w14:textId="77777777" w:rsidR="005010C4" w:rsidRPr="004F039C" w:rsidRDefault="005010C4" w:rsidP="005010C4">
      <w:pPr>
        <w:spacing w:after="0" w:line="240" w:lineRule="auto"/>
        <w:jc w:val="both"/>
        <w:rPr>
          <w:rFonts w:ascii="HelveticaNeueLT Std" w:eastAsiaTheme="minorHAnsi" w:hAnsi="HelveticaNeueLT Std" w:cs="Arial"/>
          <w:lang w:eastAsia="en-US"/>
        </w:rPr>
      </w:pPr>
      <w:r w:rsidRPr="004F039C">
        <w:rPr>
          <w:rFonts w:ascii="HelveticaNeueLT Std" w:eastAsiaTheme="minorHAnsi" w:hAnsi="HelveticaNeueLT Std" w:cs="Arial"/>
          <w:lang w:eastAsia="en-US"/>
        </w:rPr>
        <w:t>Se han realizado traspasos internos para dar suficiencia presupuestal a los otros ingresos y beneficios varios</w:t>
      </w:r>
    </w:p>
    <w:p w14:paraId="7C0466D2" w14:textId="77777777" w:rsidR="005010C4" w:rsidRPr="004F039C" w:rsidRDefault="005010C4" w:rsidP="005010C4">
      <w:pPr>
        <w:spacing w:after="0" w:line="240" w:lineRule="auto"/>
        <w:jc w:val="both"/>
        <w:rPr>
          <w:rFonts w:ascii="HelveticaNeueLT Std" w:eastAsiaTheme="minorHAnsi" w:hAnsi="HelveticaNeueLT Std" w:cs="Arial"/>
          <w:highlight w:val="yellow"/>
          <w:lang w:eastAsia="en-US"/>
        </w:rPr>
      </w:pPr>
    </w:p>
    <w:p w14:paraId="4FE98B23" w14:textId="34EBF068" w:rsidR="005010C4" w:rsidRPr="004F039C" w:rsidRDefault="005010C4" w:rsidP="005010C4">
      <w:pPr>
        <w:spacing w:line="240" w:lineRule="auto"/>
        <w:jc w:val="both"/>
        <w:rPr>
          <w:rFonts w:ascii="HelveticaNeueLT Std" w:eastAsia="Times New Roman" w:hAnsi="HelveticaNeueLT Std" w:cs="Arial"/>
        </w:rPr>
      </w:pPr>
      <w:r w:rsidRPr="004F039C">
        <w:rPr>
          <w:rFonts w:ascii="HelveticaNeueLT Std" w:eastAsia="Times New Roman" w:hAnsi="HelveticaNeueLT Std" w:cs="Arial"/>
          <w:b/>
        </w:rPr>
        <w:t>Otros Ingresos Financieros. -</w:t>
      </w:r>
      <w:r w:rsidRPr="004F039C">
        <w:rPr>
          <w:rFonts w:ascii="HelveticaNeueLT Std" w:eastAsia="Times New Roman" w:hAnsi="HelveticaNeueLT Std" w:cs="Arial"/>
        </w:rPr>
        <w:t xml:space="preserve"> Se tiene recaudado la cantidad de </w:t>
      </w:r>
      <w:r w:rsidRPr="004F039C">
        <w:rPr>
          <w:rFonts w:ascii="HelveticaNeueLT Std" w:eastAsiaTheme="minorHAnsi" w:hAnsi="HelveticaNeueLT Std" w:cs="Arial"/>
          <w:iCs/>
          <w:lang w:eastAsia="en-US"/>
        </w:rPr>
        <w:t>357,780,701.42</w:t>
      </w:r>
      <w:r w:rsidRPr="004F039C">
        <w:rPr>
          <w:rFonts w:ascii="HelveticaNeueLT Std" w:eastAsia="Times New Roman" w:hAnsi="HelveticaNeueLT Std" w:cs="Arial"/>
        </w:rPr>
        <w:t xml:space="preserve">, de los cuales 330,419,681.63 </w:t>
      </w:r>
      <w:r w:rsidRPr="004F039C">
        <w:rPr>
          <w:rFonts w:ascii="HelveticaNeueLT Std" w:eastAsia="Times New Roman" w:hAnsi="HelveticaNeueLT Std" w:cs="Times New Roman"/>
        </w:rPr>
        <w:t xml:space="preserve">corresponden a los ingresos del Fideicomiso de Cobranza para los pagos de intereses de los bonos correspondientes al ejercicio y 27,361,019.79 se derivan de rendimientos </w:t>
      </w:r>
      <w:r w:rsidRPr="004F039C">
        <w:rPr>
          <w:rFonts w:ascii="HelveticaNeueLT Std" w:eastAsia="Times New Roman" w:hAnsi="HelveticaNeueLT Std" w:cs="Arial"/>
        </w:rPr>
        <w:t>por intereses financieros generados por las inversiones de las Instituciones Bancarias de este Instituto.</w:t>
      </w:r>
    </w:p>
    <w:p w14:paraId="5A72A05E" w14:textId="7A7F2723" w:rsidR="00336F44" w:rsidRPr="004F039C" w:rsidRDefault="00336F44" w:rsidP="005010C4">
      <w:pPr>
        <w:spacing w:line="240" w:lineRule="auto"/>
        <w:jc w:val="both"/>
        <w:rPr>
          <w:rFonts w:ascii="HelveticaNeueLT Std" w:eastAsia="Times New Roman" w:hAnsi="HelveticaNeueLT Std" w:cs="Arial"/>
        </w:rPr>
      </w:pPr>
    </w:p>
    <w:p w14:paraId="7B0D669E" w14:textId="4C26B3CF" w:rsidR="00336F44" w:rsidRPr="004F039C" w:rsidRDefault="00336F44" w:rsidP="005010C4">
      <w:pPr>
        <w:spacing w:line="240" w:lineRule="auto"/>
        <w:jc w:val="both"/>
        <w:rPr>
          <w:rFonts w:ascii="HelveticaNeueLT Std" w:eastAsia="Times New Roman" w:hAnsi="HelveticaNeueLT Std" w:cs="Arial"/>
        </w:rPr>
      </w:pPr>
    </w:p>
    <w:p w14:paraId="03CCE225" w14:textId="660C6607" w:rsidR="00336F44" w:rsidRPr="004F039C" w:rsidRDefault="00336F44" w:rsidP="005010C4">
      <w:pPr>
        <w:spacing w:line="240" w:lineRule="auto"/>
        <w:jc w:val="both"/>
        <w:rPr>
          <w:rFonts w:ascii="HelveticaNeueLT Std" w:eastAsia="Times New Roman" w:hAnsi="HelveticaNeueLT Std" w:cs="Arial"/>
        </w:rPr>
      </w:pPr>
    </w:p>
    <w:p w14:paraId="04B30A6A" w14:textId="77777777" w:rsidR="00336F44" w:rsidRPr="004F039C" w:rsidRDefault="00336F44" w:rsidP="005010C4">
      <w:pPr>
        <w:spacing w:line="240" w:lineRule="auto"/>
        <w:jc w:val="both"/>
        <w:rPr>
          <w:rFonts w:ascii="HelveticaNeueLT Std" w:eastAsia="Times New Roman" w:hAnsi="HelveticaNeueLT Std" w:cs="Times New Roman"/>
        </w:rPr>
      </w:pPr>
    </w:p>
    <w:p w14:paraId="4D8B9980" w14:textId="77777777" w:rsidR="005010C4" w:rsidRPr="004F039C" w:rsidRDefault="005010C4" w:rsidP="005010C4">
      <w:pPr>
        <w:spacing w:after="0" w:line="240" w:lineRule="auto"/>
        <w:jc w:val="both"/>
        <w:rPr>
          <w:rFonts w:ascii="HelveticaNeueLT Std" w:eastAsiaTheme="minorHAnsi" w:hAnsi="HelveticaNeueLT Std" w:cs="Arial"/>
          <w:lang w:eastAsia="en-US"/>
        </w:rPr>
      </w:pPr>
    </w:p>
    <w:p w14:paraId="7F8CB0E4" w14:textId="77777777" w:rsidR="005010C4" w:rsidRPr="004F039C" w:rsidRDefault="005010C4" w:rsidP="005010C4">
      <w:pPr>
        <w:spacing w:after="0" w:line="240" w:lineRule="auto"/>
        <w:jc w:val="both"/>
        <w:rPr>
          <w:rFonts w:ascii="HelveticaNeueLT Std" w:eastAsia="Times New Roman" w:hAnsi="HelveticaNeueLT Std" w:cs="Arial"/>
        </w:rPr>
      </w:pPr>
      <w:r w:rsidRPr="004F039C">
        <w:rPr>
          <w:rFonts w:ascii="HelveticaNeueLT Std" w:eastAsia="Times New Roman" w:hAnsi="HelveticaNeueLT Std" w:cs="Arial"/>
          <w:b/>
        </w:rPr>
        <w:t xml:space="preserve">Otros Ingresos Diversos. - </w:t>
      </w:r>
      <w:r w:rsidRPr="004F039C">
        <w:rPr>
          <w:rFonts w:ascii="HelveticaNeueLT Std" w:eastAsia="Times New Roman" w:hAnsi="HelveticaNeueLT Std" w:cs="Arial"/>
        </w:rPr>
        <w:t xml:space="preserve">Se registra en ingresos diversos, un monto recaudado por 2,140,747,149.93, los cuales se componen principalmente de la siguiente forma: 432,168,235.22 </w:t>
      </w:r>
      <w:r w:rsidRPr="004F039C">
        <w:rPr>
          <w:rFonts w:ascii="HelveticaNeueLT Std" w:eastAsia="Times New Roman" w:hAnsi="HelveticaNeueLT Std" w:cs="Times New Roman"/>
        </w:rPr>
        <w:t xml:space="preserve">para pagos de amortización de capital de las series “A”, “B” y “C” por la emisión de los Certificados Bursátiles Fiduciarios; </w:t>
      </w:r>
      <w:r w:rsidRPr="004F039C">
        <w:rPr>
          <w:rFonts w:ascii="HelveticaNeueLT Std" w:eastAsia="Times New Roman" w:hAnsi="HelveticaNeueLT Std" w:cs="Arial"/>
        </w:rPr>
        <w:t xml:space="preserve">1,694,240,568.63 de ingresos por disponibilidades presupuestarias, 134,123.26 de los intereses generados por las transferencias de los depósitos del Registro Público de Comercio (rendimientos de la remesa de ingresos por RPC). Asimismo, se han recaudado 3,254,298.51 de ingresos varios (depósitos no referenciados, llamadas no oficiales, reposición de credenciales, venta de desecho, venta de bases de concursos, cancelación de cuentas por pagar, notas de crédito por servicios no prestados, entre otros). Así como de 10,949,924.31 por “Pasivos que se generen como resultado de Erogaciones que se Devenguen …”. </w:t>
      </w:r>
    </w:p>
    <w:p w14:paraId="29061E9D" w14:textId="77777777" w:rsidR="002810EC" w:rsidRPr="004F039C" w:rsidRDefault="002810EC">
      <w:pPr>
        <w:spacing w:after="0" w:line="240" w:lineRule="auto"/>
        <w:jc w:val="both"/>
        <w:rPr>
          <w:rFonts w:ascii="HelveticaNeueLT Std" w:eastAsia="Times New Roman" w:hAnsi="HelveticaNeueLT Std" w:cs="Arial"/>
        </w:rPr>
      </w:pPr>
    </w:p>
    <w:p w14:paraId="40E5A999" w14:textId="77777777" w:rsidR="004F660A" w:rsidRPr="004F039C" w:rsidRDefault="00EB41CD">
      <w:pPr>
        <w:numPr>
          <w:ilvl w:val="0"/>
          <w:numId w:val="7"/>
        </w:numPr>
        <w:spacing w:after="0" w:line="276" w:lineRule="auto"/>
        <w:ind w:left="851"/>
        <w:jc w:val="both"/>
        <w:rPr>
          <w:rFonts w:ascii="HelveticaNeueLT Std" w:hAnsi="HelveticaNeueLT Std"/>
          <w:b/>
        </w:rPr>
      </w:pPr>
      <w:r w:rsidRPr="004F039C">
        <w:rPr>
          <w:rFonts w:ascii="HelveticaNeueLT Std" w:hAnsi="HelveticaNeueLT Std"/>
          <w:b/>
        </w:rPr>
        <w:t xml:space="preserve">Información sobre la Deuda y </w:t>
      </w:r>
      <w:r w:rsidRPr="004F039C">
        <w:rPr>
          <w:rFonts w:ascii="HelveticaNeueLT Std" w:hAnsi="HelveticaNeueLT Std"/>
          <w:b/>
        </w:rPr>
        <w:t>el Reporte Analítico de la Deuda</w:t>
      </w:r>
    </w:p>
    <w:p w14:paraId="45A82E38" w14:textId="77777777" w:rsidR="004F660A" w:rsidRPr="004F039C" w:rsidRDefault="004F660A">
      <w:pPr>
        <w:spacing w:after="0" w:line="276" w:lineRule="auto"/>
        <w:ind w:left="851"/>
        <w:jc w:val="both"/>
        <w:rPr>
          <w:rFonts w:ascii="HelveticaNeueLT Std" w:hAnsi="HelveticaNeueLT Std"/>
          <w:b/>
        </w:rPr>
      </w:pPr>
    </w:p>
    <w:p w14:paraId="6001F9CD" w14:textId="77777777" w:rsidR="004F660A" w:rsidRPr="004F039C" w:rsidRDefault="00EB41CD">
      <w:pPr>
        <w:spacing w:line="276" w:lineRule="auto"/>
        <w:jc w:val="both"/>
        <w:rPr>
          <w:rFonts w:ascii="HelveticaNeueLT Std" w:hAnsi="HelveticaNeueLT Std"/>
        </w:rPr>
      </w:pPr>
      <w:r w:rsidRPr="004F039C">
        <w:rPr>
          <w:rFonts w:ascii="HelveticaNeueLT Std" w:hAnsi="HelveticaNeueLT Std"/>
        </w:rPr>
        <w:t>Al mes actual el análisis de la deuda se integra de la siguiente manera:</w:t>
      </w:r>
    </w:p>
    <w:p w14:paraId="46D9170C" w14:textId="77777777" w:rsidR="004F660A" w:rsidRPr="004F039C" w:rsidRDefault="00EB41CD">
      <w:pPr>
        <w:spacing w:after="0" w:line="276" w:lineRule="auto"/>
        <w:jc w:val="both"/>
        <w:rPr>
          <w:rFonts w:ascii="HelveticaNeueLT Std" w:hAnsi="HelveticaNeueLT Std"/>
          <w:b/>
        </w:rPr>
      </w:pPr>
      <w:r w:rsidRPr="004F039C">
        <w:rPr>
          <w:rFonts w:ascii="HelveticaNeueLT Std" w:hAnsi="HelveticaNeueLT Std"/>
          <w:b/>
        </w:rPr>
        <w:t xml:space="preserve">Mensual: </w:t>
      </w:r>
    </w:p>
    <w:p w14:paraId="1155FE94" w14:textId="77777777" w:rsidR="004F660A" w:rsidRPr="004F039C" w:rsidRDefault="004F660A">
      <w:pPr>
        <w:spacing w:after="0" w:line="276" w:lineRule="auto"/>
        <w:jc w:val="center"/>
        <w:rPr>
          <w:rFonts w:ascii="HelveticaNeueLT Std" w:hAnsi="HelveticaNeueLT Std"/>
        </w:rPr>
      </w:pPr>
    </w:p>
    <w:p w14:paraId="2B1437BA" w14:textId="77777777" w:rsidR="004F660A" w:rsidRPr="004F039C" w:rsidRDefault="00EB41CD">
      <w:pPr>
        <w:spacing w:line="259" w:lineRule="auto"/>
        <w:rPr>
          <w:rFonts w:ascii="HelveticaNeueLT Std" w:hAnsi="HelveticaNeueLT Std"/>
        </w:rPr>
      </w:pPr>
      <w:r w:rsidRPr="004F039C">
        <w:rPr>
          <w:rFonts w:ascii="HelveticaNeueLT Std" w:hAnsi="HelveticaNeueLT Std"/>
          <w:noProof/>
        </w:rPr>
        <w:drawing>
          <wp:inline distT="0" distB="0" distL="0" distR="0" wp14:anchorId="39361053" wp14:editId="045D098D">
            <wp:extent cx="6570980" cy="2095928"/>
            <wp:effectExtent l="0" t="0" r="1270" b="0"/>
            <wp:docPr id="54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8"/>
                    <a:srcRect/>
                    <a:stretch>
                      <a:fillRect/>
                    </a:stretch>
                  </pic:blipFill>
                  <pic:spPr>
                    <a:xfrm>
                      <a:off x="0" y="0"/>
                      <a:ext cx="6573448" cy="2096715"/>
                    </a:xfrm>
                    <a:prstGeom prst="rect">
                      <a:avLst/>
                    </a:prstGeom>
                    <a:ln/>
                  </pic:spPr>
                </pic:pic>
              </a:graphicData>
            </a:graphic>
          </wp:inline>
        </w:drawing>
      </w:r>
    </w:p>
    <w:p w14:paraId="41AAAABE" w14:textId="77777777" w:rsidR="004F660A" w:rsidRPr="004F039C" w:rsidRDefault="00EB41CD">
      <w:pPr>
        <w:spacing w:line="259" w:lineRule="auto"/>
        <w:rPr>
          <w:rFonts w:ascii="HelveticaNeueLT Std" w:hAnsi="HelveticaNeueLT Std"/>
        </w:rPr>
      </w:pPr>
      <w:r w:rsidRPr="004F039C">
        <w:rPr>
          <w:rFonts w:ascii="HelveticaNeueLT Std" w:hAnsi="HelveticaNeueLT Std"/>
          <w:b/>
        </w:rPr>
        <w:t xml:space="preserve">Acumulada: </w:t>
      </w:r>
    </w:p>
    <w:p w14:paraId="4B652280" w14:textId="77777777" w:rsidR="004F660A" w:rsidRPr="004F039C" w:rsidRDefault="004F660A">
      <w:pPr>
        <w:spacing w:after="0"/>
        <w:jc w:val="both"/>
        <w:rPr>
          <w:rFonts w:ascii="HelveticaNeueLT Std" w:hAnsi="HelveticaNeueLT Std"/>
          <w:b/>
        </w:rPr>
      </w:pPr>
    </w:p>
    <w:p w14:paraId="01E95C6C" w14:textId="77777777" w:rsidR="004F660A" w:rsidRPr="004F039C" w:rsidRDefault="00EB41CD">
      <w:pPr>
        <w:spacing w:line="259" w:lineRule="auto"/>
        <w:jc w:val="center"/>
        <w:rPr>
          <w:rFonts w:ascii="HelveticaNeueLT Std" w:hAnsi="HelveticaNeueLT Std"/>
        </w:rPr>
      </w:pPr>
      <w:r w:rsidRPr="004F039C">
        <w:rPr>
          <w:rFonts w:ascii="HelveticaNeueLT Std" w:hAnsi="HelveticaNeueLT Std"/>
          <w:noProof/>
        </w:rPr>
        <w:drawing>
          <wp:inline distT="0" distB="0" distL="0" distR="0" wp14:anchorId="7997B5A6" wp14:editId="2C268F82">
            <wp:extent cx="6570980" cy="2003461"/>
            <wp:effectExtent l="0" t="0" r="1270" b="0"/>
            <wp:docPr id="54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
                    <a:srcRect/>
                    <a:stretch>
                      <a:fillRect/>
                    </a:stretch>
                  </pic:blipFill>
                  <pic:spPr>
                    <a:xfrm>
                      <a:off x="0" y="0"/>
                      <a:ext cx="6578366" cy="2005713"/>
                    </a:xfrm>
                    <a:prstGeom prst="rect">
                      <a:avLst/>
                    </a:prstGeom>
                    <a:ln/>
                  </pic:spPr>
                </pic:pic>
              </a:graphicData>
            </a:graphic>
          </wp:inline>
        </w:drawing>
      </w:r>
    </w:p>
    <w:p w14:paraId="708B5F7E" w14:textId="77777777" w:rsidR="004F660A" w:rsidRPr="004F039C" w:rsidRDefault="004F660A">
      <w:pPr>
        <w:spacing w:line="259" w:lineRule="auto"/>
        <w:rPr>
          <w:rFonts w:ascii="HelveticaNeueLT Std" w:hAnsi="HelveticaNeueLT Std"/>
        </w:rPr>
      </w:pPr>
    </w:p>
    <w:p w14:paraId="2DDB50D3" w14:textId="77777777" w:rsidR="004F660A" w:rsidRPr="004F039C" w:rsidRDefault="00EB41CD">
      <w:pPr>
        <w:spacing w:line="259" w:lineRule="auto"/>
        <w:rPr>
          <w:rFonts w:ascii="HelveticaNeueLT Std" w:hAnsi="HelveticaNeueLT Std"/>
        </w:rPr>
      </w:pPr>
      <w:r w:rsidRPr="004F039C">
        <w:rPr>
          <w:rFonts w:ascii="HelveticaNeueLT Std" w:hAnsi="HelveticaNeueLT Std"/>
        </w:rPr>
        <w:t xml:space="preserve">La operación del Fideicomiso de Cobranza se ha comportado de la siguiente forma: </w:t>
      </w:r>
    </w:p>
    <w:p w14:paraId="51B8765C" w14:textId="77777777" w:rsidR="004F660A" w:rsidRPr="004F039C" w:rsidRDefault="00EB41CD">
      <w:pPr>
        <w:spacing w:line="259" w:lineRule="auto"/>
        <w:jc w:val="center"/>
        <w:rPr>
          <w:rFonts w:ascii="HelveticaNeueLT Std" w:hAnsi="HelveticaNeueLT Std"/>
        </w:rPr>
      </w:pPr>
      <w:r w:rsidRPr="004F039C">
        <w:rPr>
          <w:rFonts w:ascii="HelveticaNeueLT Std" w:hAnsi="HelveticaNeueLT Std"/>
          <w:noProof/>
        </w:rPr>
        <w:lastRenderedPageBreak/>
        <w:drawing>
          <wp:inline distT="0" distB="0" distL="0" distR="0" wp14:anchorId="1A624FAB" wp14:editId="489702A0">
            <wp:extent cx="6583096" cy="3255203"/>
            <wp:effectExtent l="0" t="0" r="0" b="0"/>
            <wp:docPr id="52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0"/>
                    <a:srcRect/>
                    <a:stretch>
                      <a:fillRect/>
                    </a:stretch>
                  </pic:blipFill>
                  <pic:spPr>
                    <a:xfrm>
                      <a:off x="0" y="0"/>
                      <a:ext cx="6583096" cy="3255203"/>
                    </a:xfrm>
                    <a:prstGeom prst="rect">
                      <a:avLst/>
                    </a:prstGeom>
                    <a:ln/>
                  </pic:spPr>
                </pic:pic>
              </a:graphicData>
            </a:graphic>
          </wp:inline>
        </w:drawing>
      </w:r>
    </w:p>
    <w:p w14:paraId="2CA17ABE" w14:textId="77777777" w:rsidR="004F660A" w:rsidRPr="004F039C" w:rsidRDefault="00EB41CD">
      <w:pPr>
        <w:spacing w:line="276" w:lineRule="auto"/>
        <w:jc w:val="both"/>
        <w:rPr>
          <w:rFonts w:ascii="HelveticaNeueLT Std" w:hAnsi="HelveticaNeueLT Std"/>
        </w:rPr>
      </w:pPr>
      <w:r w:rsidRPr="004F039C">
        <w:rPr>
          <w:rFonts w:ascii="HelveticaNeueLT Std" w:hAnsi="HelveticaNeueLT Std"/>
        </w:rPr>
        <w:t xml:space="preserve">El saldo de la cuenta 2221 “Documentos Comerciales Por Pagar a Largo Plazo”, después de la proyección y con la reclasificación de la porción de largo a corto plazo es de: </w:t>
      </w:r>
      <w:bookmarkStart w:id="13" w:name="_Hlk129692600"/>
      <w:r w:rsidRPr="004F039C">
        <w:rPr>
          <w:rFonts w:ascii="HelveticaNeueLT Std" w:hAnsi="HelveticaNeueLT Std"/>
        </w:rPr>
        <w:t>5,646,336,693.59</w:t>
      </w:r>
      <w:bookmarkEnd w:id="13"/>
      <w:r w:rsidRPr="004F039C">
        <w:rPr>
          <w:rFonts w:ascii="HelveticaNeueLT Std" w:hAnsi="HelveticaNeueLT Std"/>
        </w:rPr>
        <w:t xml:space="preserve">, que se componen de; los CBFS de la Serie “A” por </w:t>
      </w:r>
      <w:bookmarkStart w:id="14" w:name="_Hlk129692618"/>
      <w:r w:rsidRPr="004F039C">
        <w:rPr>
          <w:rFonts w:ascii="HelveticaNeueLT Std" w:hAnsi="HelveticaNeueLT Std"/>
        </w:rPr>
        <w:t>1,699,641,269.55</w:t>
      </w:r>
      <w:bookmarkEnd w:id="14"/>
      <w:r w:rsidRPr="004F039C">
        <w:rPr>
          <w:rFonts w:ascii="HelveticaNeueLT Std" w:hAnsi="HelveticaNeueLT Std"/>
        </w:rPr>
        <w:t xml:space="preserve">, </w:t>
      </w:r>
      <w:r w:rsidRPr="004F039C">
        <w:rPr>
          <w:rFonts w:ascii="HelveticaNeueLT Std" w:hAnsi="HelveticaNeueLT Std"/>
        </w:rPr>
        <w:t xml:space="preserve">para los CBFS de la Serie “B”, </w:t>
      </w:r>
      <w:bookmarkStart w:id="15" w:name="_Hlk129692632"/>
      <w:r w:rsidRPr="004F039C">
        <w:rPr>
          <w:rFonts w:ascii="HelveticaNeueLT Std" w:hAnsi="HelveticaNeueLT Std"/>
        </w:rPr>
        <w:t xml:space="preserve">799,108,011.00 </w:t>
      </w:r>
      <w:bookmarkEnd w:id="15"/>
      <w:r w:rsidRPr="004F039C">
        <w:rPr>
          <w:rFonts w:ascii="HelveticaNeueLT Std" w:hAnsi="HelveticaNeueLT Std"/>
        </w:rPr>
        <w:t xml:space="preserve">y para los CBFS Subordinados de la Serie “C” </w:t>
      </w:r>
      <w:bookmarkStart w:id="16" w:name="_Hlk129692646"/>
      <w:r w:rsidRPr="004F039C">
        <w:rPr>
          <w:rFonts w:ascii="HelveticaNeueLT Std" w:hAnsi="HelveticaNeueLT Std"/>
        </w:rPr>
        <w:t>3,147,587,413.04</w:t>
      </w:r>
      <w:bookmarkEnd w:id="16"/>
      <w:r w:rsidRPr="004F039C">
        <w:rPr>
          <w:rFonts w:ascii="HelveticaNeueLT Std" w:hAnsi="HelveticaNeueLT Std"/>
        </w:rPr>
        <w:t>, cabe mencionar que esta última se contrató en Unidades de Inversión (UDI), por lo tanto, el Saldo Capital es de: 411,621,301.27 UDI; para la Amorti</w:t>
      </w:r>
      <w:r w:rsidRPr="004F039C">
        <w:rPr>
          <w:rFonts w:ascii="HelveticaNeueLT Std" w:hAnsi="HelveticaNeueLT Std"/>
        </w:rPr>
        <w:t>zación de capital es de 17,755,403.36 UDI y para los intereses es de 12,355,156.38 UDI, de acuerdo con la Tabla de Amortización, Crédito 9439 del Fideicomiso F/1426.</w:t>
      </w:r>
    </w:p>
    <w:p w14:paraId="49EEA443" w14:textId="77777777" w:rsidR="004F660A" w:rsidRPr="004F039C" w:rsidRDefault="00EB41CD">
      <w:pPr>
        <w:pBdr>
          <w:top w:val="nil"/>
          <w:left w:val="nil"/>
          <w:bottom w:val="nil"/>
          <w:right w:val="nil"/>
          <w:between w:val="nil"/>
        </w:pBdr>
        <w:spacing w:before="280" w:after="280" w:line="276" w:lineRule="auto"/>
        <w:jc w:val="both"/>
        <w:rPr>
          <w:rFonts w:ascii="HelveticaNeueLT Std" w:hAnsi="HelveticaNeueLT Std"/>
          <w:color w:val="000000"/>
        </w:rPr>
      </w:pPr>
      <w:r w:rsidRPr="004F039C">
        <w:rPr>
          <w:rFonts w:ascii="HelveticaNeueLT Std" w:hAnsi="HelveticaNeueLT Std"/>
          <w:color w:val="000000"/>
        </w:rPr>
        <w:t xml:space="preserve">Cabe mencionar que no obstante que el Manual Único de Contabilidad Gubernamental para las </w:t>
      </w:r>
      <w:r w:rsidRPr="004F039C">
        <w:rPr>
          <w:rFonts w:ascii="HelveticaNeueLT Std" w:hAnsi="HelveticaNeueLT Std"/>
          <w:color w:val="000000"/>
        </w:rPr>
        <w:t>Dependencias y Entidades Públicas del Gobierno y Municipios del Estado de México no hace mención de valuación de los pasivos financieros y con la finalidad de que los pasivos financieros resultantes de la emisión de instrumentos financieros de deuda regist</w:t>
      </w:r>
      <w:r w:rsidRPr="004F039C">
        <w:rPr>
          <w:rFonts w:ascii="HelveticaNeueLT Std" w:hAnsi="HelveticaNeueLT Std"/>
          <w:color w:val="000000"/>
        </w:rPr>
        <w:t>rados reflejen el valor de la obligación que representan (valor normal más accesorios devengados a la fecha) en este ejercicio se llevó a cabo el registro presupuestal y contable de la actualización correspondiente a la amortización de capital de los Certi</w:t>
      </w:r>
      <w:r w:rsidRPr="004F039C">
        <w:rPr>
          <w:rFonts w:ascii="HelveticaNeueLT Std" w:hAnsi="HelveticaNeueLT Std"/>
          <w:color w:val="000000"/>
        </w:rPr>
        <w:t>ficados Bursátiles Fiduciarios Serie Subordinada C, correspondientes a 230,822,614.39</w:t>
      </w:r>
    </w:p>
    <w:p w14:paraId="632084FD" w14:textId="77777777" w:rsidR="004F660A" w:rsidRPr="004F039C" w:rsidRDefault="00EB41CD">
      <w:pPr>
        <w:pBdr>
          <w:top w:val="nil"/>
          <w:left w:val="nil"/>
          <w:bottom w:val="nil"/>
          <w:right w:val="nil"/>
          <w:between w:val="nil"/>
        </w:pBdr>
        <w:spacing w:line="276" w:lineRule="auto"/>
        <w:jc w:val="both"/>
        <w:rPr>
          <w:rFonts w:ascii="HelveticaNeueLT Std" w:hAnsi="HelveticaNeueLT Std"/>
          <w:color w:val="000000"/>
        </w:rPr>
      </w:pPr>
      <w:r w:rsidRPr="004F039C">
        <w:rPr>
          <w:rFonts w:ascii="HelveticaNeueLT Std" w:hAnsi="HelveticaNeueLT Std"/>
          <w:color w:val="000000"/>
        </w:rPr>
        <w:t>Al inicio del ejercicio se realiza la reclasificación de la porción a Corto Plazo de la Deuda a Largo Plazo para el pago de la amortización correspondiente al primer peri</w:t>
      </w:r>
      <w:r w:rsidRPr="004F039C">
        <w:rPr>
          <w:rFonts w:ascii="HelveticaNeueLT Std" w:hAnsi="HelveticaNeueLT Std"/>
          <w:color w:val="000000"/>
        </w:rPr>
        <w:t>odo del presente ejercicio de las emisiones de los CEBUR’S, revisable mensualmente debido a que en el mes de julio de cada ejercicio, cuando se recibe la programación de los pagos de los bonos procede la segunda reclasificación por el siguiente periodo. El</w:t>
      </w:r>
      <w:r w:rsidRPr="004F039C">
        <w:rPr>
          <w:rFonts w:ascii="HelveticaNeueLT Std" w:hAnsi="HelveticaNeueLT Std"/>
          <w:color w:val="000000"/>
        </w:rPr>
        <w:t xml:space="preserve"> presupuesto se afecta en el momento del pago, para efectos de que en el Sistema de Contabilidad Gubernamental se muestre el ejercido en ese momento contable y presupuestal. </w:t>
      </w:r>
    </w:p>
    <w:p w14:paraId="719AD844" w14:textId="77777777" w:rsidR="004F660A" w:rsidRPr="004F039C" w:rsidRDefault="00EB41CD">
      <w:pPr>
        <w:spacing w:line="259" w:lineRule="auto"/>
        <w:jc w:val="both"/>
        <w:rPr>
          <w:rFonts w:ascii="HelveticaNeueLT Std" w:hAnsi="HelveticaNeueLT Std"/>
        </w:rPr>
      </w:pPr>
      <w:r w:rsidRPr="004F039C">
        <w:rPr>
          <w:rFonts w:ascii="HelveticaNeueLT Std" w:hAnsi="HelveticaNeueLT Std"/>
        </w:rPr>
        <w:t>Las fechas de vencimiento para este ejercicio fueron las siguientes:</w:t>
      </w:r>
    </w:p>
    <w:tbl>
      <w:tblPr>
        <w:tblStyle w:val="a0"/>
        <w:tblW w:w="81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80"/>
        <w:gridCol w:w="14"/>
        <w:gridCol w:w="2301"/>
      </w:tblGrid>
      <w:tr w:rsidR="004F660A" w:rsidRPr="004F039C" w14:paraId="7860CA59" w14:textId="77777777">
        <w:trPr>
          <w:trHeight w:val="156"/>
          <w:jc w:val="center"/>
        </w:trPr>
        <w:tc>
          <w:tcPr>
            <w:tcW w:w="5880" w:type="dxa"/>
          </w:tcPr>
          <w:p w14:paraId="5C679A4B" w14:textId="77777777" w:rsidR="004F660A" w:rsidRPr="004F039C" w:rsidRDefault="00EB41CD">
            <w:pPr>
              <w:spacing w:line="259" w:lineRule="auto"/>
              <w:jc w:val="both"/>
              <w:rPr>
                <w:rFonts w:ascii="HelveticaNeueLT Std" w:eastAsia="Helvetica Neue" w:hAnsi="HelveticaNeueLT Std" w:cs="Helvetica Neue"/>
              </w:rPr>
            </w:pPr>
            <w:r w:rsidRPr="004F039C">
              <w:rPr>
                <w:rFonts w:ascii="HelveticaNeueLT Std" w:eastAsia="Helvetica Neue" w:hAnsi="HelveticaNeueLT Std" w:cs="Helvetica Neue"/>
                <w:b/>
              </w:rPr>
              <w:lastRenderedPageBreak/>
              <w:t>Emisión</w:t>
            </w:r>
          </w:p>
        </w:tc>
        <w:tc>
          <w:tcPr>
            <w:tcW w:w="2315" w:type="dxa"/>
            <w:gridSpan w:val="2"/>
          </w:tcPr>
          <w:p w14:paraId="0D97172D" w14:textId="77777777" w:rsidR="004F660A" w:rsidRPr="004F039C" w:rsidRDefault="00EB41CD">
            <w:pPr>
              <w:spacing w:line="259" w:lineRule="auto"/>
              <w:jc w:val="both"/>
              <w:rPr>
                <w:rFonts w:ascii="HelveticaNeueLT Std" w:eastAsia="Helvetica Neue" w:hAnsi="HelveticaNeueLT Std" w:cs="Helvetica Neue"/>
              </w:rPr>
            </w:pPr>
            <w:r w:rsidRPr="004F039C">
              <w:rPr>
                <w:rFonts w:ascii="HelveticaNeueLT Std" w:eastAsia="Helvetica Neue" w:hAnsi="HelveticaNeueLT Std" w:cs="Helvetica Neue"/>
                <w:b/>
              </w:rPr>
              <w:t>Fech</w:t>
            </w:r>
            <w:r w:rsidRPr="004F039C">
              <w:rPr>
                <w:rFonts w:ascii="HelveticaNeueLT Std" w:eastAsia="Helvetica Neue" w:hAnsi="HelveticaNeueLT Std" w:cs="Helvetica Neue"/>
                <w:b/>
              </w:rPr>
              <w:t>a vencimiento</w:t>
            </w:r>
          </w:p>
        </w:tc>
      </w:tr>
      <w:tr w:rsidR="004F660A" w:rsidRPr="004F039C" w14:paraId="192B9CE7" w14:textId="77777777">
        <w:trPr>
          <w:trHeight w:val="258"/>
          <w:jc w:val="center"/>
        </w:trPr>
        <w:tc>
          <w:tcPr>
            <w:tcW w:w="5880" w:type="dxa"/>
            <w:vAlign w:val="center"/>
          </w:tcPr>
          <w:p w14:paraId="343FB098" w14:textId="77777777" w:rsidR="004F660A" w:rsidRPr="004F039C" w:rsidRDefault="00EB41CD">
            <w:pPr>
              <w:spacing w:after="160" w:line="259" w:lineRule="auto"/>
              <w:jc w:val="both"/>
              <w:rPr>
                <w:rFonts w:ascii="HelveticaNeueLT Std" w:eastAsia="Helvetica Neue" w:hAnsi="HelveticaNeueLT Std" w:cs="Helvetica Neue"/>
              </w:rPr>
            </w:pPr>
            <w:r w:rsidRPr="004F039C">
              <w:rPr>
                <w:rFonts w:ascii="HelveticaNeueLT Std" w:eastAsia="Helvetica Neue" w:hAnsi="HelveticaNeueLT Std" w:cs="Helvetica Neue"/>
              </w:rPr>
              <w:t>Certificados Bursátiles FiduciariosPreferentes Serie A y B</w:t>
            </w:r>
          </w:p>
        </w:tc>
        <w:tc>
          <w:tcPr>
            <w:tcW w:w="2315" w:type="dxa"/>
            <w:gridSpan w:val="2"/>
            <w:vAlign w:val="center"/>
          </w:tcPr>
          <w:p w14:paraId="0A667F3A" w14:textId="77777777" w:rsidR="004F660A" w:rsidRPr="004F039C" w:rsidRDefault="00EB41CD">
            <w:pPr>
              <w:spacing w:line="259" w:lineRule="auto"/>
              <w:jc w:val="both"/>
              <w:rPr>
                <w:rFonts w:ascii="HelveticaNeueLT Std" w:eastAsia="Helvetica Neue" w:hAnsi="HelveticaNeueLT Std" w:cs="Helvetica Neue"/>
              </w:rPr>
            </w:pPr>
            <w:r w:rsidRPr="004F039C">
              <w:rPr>
                <w:rFonts w:ascii="HelveticaNeueLT Std" w:eastAsia="Helvetica Neue" w:hAnsi="HelveticaNeueLT Std" w:cs="Helvetica Neue"/>
              </w:rPr>
              <w:t>28-feb-22 y 28-ago-22</w:t>
            </w:r>
          </w:p>
        </w:tc>
      </w:tr>
      <w:tr w:rsidR="004F660A" w:rsidRPr="004F039C" w14:paraId="4A458B1F" w14:textId="77777777">
        <w:trPr>
          <w:trHeight w:val="182"/>
          <w:jc w:val="center"/>
        </w:trPr>
        <w:tc>
          <w:tcPr>
            <w:tcW w:w="5894" w:type="dxa"/>
            <w:gridSpan w:val="2"/>
            <w:vAlign w:val="center"/>
          </w:tcPr>
          <w:p w14:paraId="392F12AD" w14:textId="77777777" w:rsidR="004F660A" w:rsidRPr="004F039C" w:rsidRDefault="00EB41CD">
            <w:pPr>
              <w:spacing w:after="160" w:line="259" w:lineRule="auto"/>
              <w:jc w:val="both"/>
              <w:rPr>
                <w:rFonts w:ascii="HelveticaNeueLT Std" w:eastAsia="Helvetica Neue" w:hAnsi="HelveticaNeueLT Std" w:cs="Helvetica Neue"/>
              </w:rPr>
            </w:pPr>
            <w:r w:rsidRPr="004F039C">
              <w:rPr>
                <w:rFonts w:ascii="HelveticaNeueLT Std" w:eastAsia="Helvetica Neue" w:hAnsi="HelveticaNeueLT Std" w:cs="Helvetica Neue"/>
              </w:rPr>
              <w:t>Certificados Bursátiles Fiduciarios Subordinados denominados en Unidades de Inversión</w:t>
            </w:r>
          </w:p>
        </w:tc>
        <w:tc>
          <w:tcPr>
            <w:tcW w:w="2301" w:type="dxa"/>
            <w:vAlign w:val="center"/>
          </w:tcPr>
          <w:p w14:paraId="5DEC38A2" w14:textId="77777777" w:rsidR="004F660A" w:rsidRPr="004F039C" w:rsidRDefault="00EB41CD">
            <w:pPr>
              <w:spacing w:line="259" w:lineRule="auto"/>
              <w:ind w:left="708" w:hanging="708"/>
              <w:jc w:val="both"/>
              <w:rPr>
                <w:rFonts w:ascii="HelveticaNeueLT Std" w:eastAsia="Helvetica Neue" w:hAnsi="HelveticaNeueLT Std" w:cs="Helvetica Neue"/>
              </w:rPr>
            </w:pPr>
            <w:r w:rsidRPr="004F039C">
              <w:rPr>
                <w:rFonts w:ascii="HelveticaNeueLT Std" w:eastAsia="Helvetica Neue" w:hAnsi="HelveticaNeueLT Std" w:cs="Helvetica Neue"/>
              </w:rPr>
              <w:t>29-mar-22 y 28-sep-22</w:t>
            </w:r>
          </w:p>
        </w:tc>
      </w:tr>
    </w:tbl>
    <w:p w14:paraId="68F71028" w14:textId="77777777" w:rsidR="004F660A" w:rsidRPr="004F039C" w:rsidRDefault="004F660A">
      <w:pPr>
        <w:spacing w:line="259" w:lineRule="auto"/>
        <w:rPr>
          <w:rFonts w:ascii="HelveticaNeueLT Std" w:hAnsi="HelveticaNeueLT Std"/>
        </w:rPr>
      </w:pPr>
    </w:p>
    <w:p w14:paraId="6933BDF3" w14:textId="77777777" w:rsidR="004F660A" w:rsidRPr="004F039C" w:rsidRDefault="00EB41CD">
      <w:pPr>
        <w:spacing w:line="259" w:lineRule="auto"/>
        <w:jc w:val="both"/>
        <w:rPr>
          <w:rFonts w:ascii="HelveticaNeueLT Std" w:hAnsi="HelveticaNeueLT Std"/>
        </w:rPr>
      </w:pPr>
      <w:r w:rsidRPr="004F039C">
        <w:rPr>
          <w:rFonts w:ascii="HelveticaNeueLT Std" w:hAnsi="HelveticaNeueLT Std"/>
        </w:rPr>
        <w:t xml:space="preserve">Los pagos de intereses más la amortización de capital por los cupones programados se observan en el siguiente cuadro: </w:t>
      </w:r>
    </w:p>
    <w:p w14:paraId="010AF0F1" w14:textId="77777777" w:rsidR="004F660A" w:rsidRPr="004F039C" w:rsidRDefault="00EB41CD">
      <w:pPr>
        <w:spacing w:line="259" w:lineRule="auto"/>
        <w:jc w:val="center"/>
        <w:rPr>
          <w:rFonts w:ascii="HelveticaNeueLT Std" w:hAnsi="HelveticaNeueLT Std"/>
        </w:rPr>
      </w:pPr>
      <w:r w:rsidRPr="004F039C">
        <w:rPr>
          <w:rFonts w:ascii="HelveticaNeueLT Std" w:hAnsi="HelveticaNeueLT Std"/>
          <w:noProof/>
        </w:rPr>
        <w:drawing>
          <wp:inline distT="0" distB="0" distL="0" distR="0" wp14:anchorId="644C941B" wp14:editId="68DAC3CC">
            <wp:extent cx="6013973" cy="3052052"/>
            <wp:effectExtent l="0" t="0" r="0" b="0"/>
            <wp:docPr id="5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6013973" cy="3052052"/>
                    </a:xfrm>
                    <a:prstGeom prst="rect">
                      <a:avLst/>
                    </a:prstGeom>
                    <a:ln/>
                  </pic:spPr>
                </pic:pic>
              </a:graphicData>
            </a:graphic>
          </wp:inline>
        </w:drawing>
      </w:r>
    </w:p>
    <w:p w14:paraId="1BCA02FA" w14:textId="77777777" w:rsidR="004F660A" w:rsidRPr="004F039C" w:rsidRDefault="00EB41CD">
      <w:pPr>
        <w:spacing w:line="259" w:lineRule="auto"/>
        <w:rPr>
          <w:rFonts w:ascii="HelveticaNeueLT Std" w:hAnsi="HelveticaNeueLT Std"/>
        </w:rPr>
      </w:pPr>
      <w:r w:rsidRPr="004F039C">
        <w:rPr>
          <w:rFonts w:ascii="HelveticaNeueLT Std" w:hAnsi="HelveticaNeueLT Std"/>
        </w:rPr>
        <w:br w:type="page"/>
      </w:r>
    </w:p>
    <w:p w14:paraId="2FE0F7DB" w14:textId="77777777" w:rsidR="004F660A" w:rsidRPr="004F039C" w:rsidRDefault="00EB41CD">
      <w:pPr>
        <w:spacing w:line="259" w:lineRule="auto"/>
        <w:jc w:val="both"/>
        <w:rPr>
          <w:rFonts w:ascii="HelveticaNeueLT Std" w:hAnsi="HelveticaNeueLT Std"/>
        </w:rPr>
      </w:pPr>
      <w:r w:rsidRPr="004F039C">
        <w:rPr>
          <w:rFonts w:ascii="HelveticaNeueLT Std" w:hAnsi="HelveticaNeueLT Std"/>
        </w:rPr>
        <w:lastRenderedPageBreak/>
        <w:t>Las transferencias al Gobierno del Estado de México de los remanentes así como al Fideicomiso de Cobranza, más los intereses generado</w:t>
      </w:r>
      <w:r w:rsidRPr="004F039C">
        <w:rPr>
          <w:rFonts w:ascii="HelveticaNeueLT Std" w:hAnsi="HelveticaNeueLT Std"/>
        </w:rPr>
        <w:t xml:space="preserve">s, se destinan a la inversión productiva de acuerdo a lo establecido en el contrato irrevocable No. 80615 y se han llevado a cabo como sigue: </w:t>
      </w:r>
    </w:p>
    <w:p w14:paraId="64915307" w14:textId="77777777" w:rsidR="004F660A" w:rsidRPr="004F039C" w:rsidRDefault="00EB41CD">
      <w:pPr>
        <w:spacing w:line="259" w:lineRule="auto"/>
        <w:jc w:val="center"/>
        <w:rPr>
          <w:rFonts w:ascii="HelveticaNeueLT Std" w:hAnsi="HelveticaNeueLT Std"/>
        </w:rPr>
      </w:pPr>
      <w:r w:rsidRPr="004F039C">
        <w:rPr>
          <w:rFonts w:ascii="HelveticaNeueLT Std" w:hAnsi="HelveticaNeueLT Std"/>
          <w:noProof/>
        </w:rPr>
        <w:drawing>
          <wp:inline distT="0" distB="0" distL="0" distR="0" wp14:anchorId="2B9649D8" wp14:editId="3F9BAA0D">
            <wp:extent cx="4736717" cy="3265505"/>
            <wp:effectExtent l="0" t="0" r="0" b="0"/>
            <wp:docPr id="5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a:stretch>
                      <a:fillRect/>
                    </a:stretch>
                  </pic:blipFill>
                  <pic:spPr>
                    <a:xfrm>
                      <a:off x="0" y="0"/>
                      <a:ext cx="4736717" cy="3265505"/>
                    </a:xfrm>
                    <a:prstGeom prst="rect">
                      <a:avLst/>
                    </a:prstGeom>
                    <a:ln/>
                  </pic:spPr>
                </pic:pic>
              </a:graphicData>
            </a:graphic>
          </wp:inline>
        </w:drawing>
      </w:r>
    </w:p>
    <w:p w14:paraId="362B1A28" w14:textId="77777777" w:rsidR="004F660A" w:rsidRPr="004F039C" w:rsidRDefault="00EB41CD">
      <w:pPr>
        <w:spacing w:line="240" w:lineRule="auto"/>
        <w:jc w:val="both"/>
        <w:rPr>
          <w:rFonts w:ascii="HelveticaNeueLT Std" w:hAnsi="HelveticaNeueLT Std"/>
        </w:rPr>
      </w:pPr>
      <w:r w:rsidRPr="004F039C">
        <w:rPr>
          <w:rFonts w:ascii="HelveticaNeueLT Std" w:hAnsi="HelveticaNeueLT Std"/>
        </w:rPr>
        <w:t xml:space="preserve">*Con relación a los remanentes correspondientes a la distribución 116 en el ejercicio 2020, por la cantidad de </w:t>
      </w:r>
      <w:r w:rsidRPr="004F039C">
        <w:rPr>
          <w:rFonts w:ascii="HelveticaNeueLT Std" w:hAnsi="HelveticaNeueLT Std"/>
        </w:rPr>
        <w:t>$289,495,051.69 y con fundamento en el artículo 265 B bis del Código Financiero del Estado de México de acuerdo con el oficio número 2075002A000000000-730/2020, de fecha 11 de noviembre de 2020, mediante el cual el Subsecretario de Tesorería del Gobierno d</w:t>
      </w:r>
      <w:r w:rsidRPr="004F039C">
        <w:rPr>
          <w:rFonts w:ascii="HelveticaNeueLT Std" w:hAnsi="HelveticaNeueLT Std"/>
        </w:rPr>
        <w:t>el Estado de México y el Director General de Crédito, autorizan que los recursos transferidos por Nacional Financiera, S.N.C., por este concepto, fueran destinados para cubrir parte del déficit en el pago de las obligaciones financieras asumidas en el Cont</w:t>
      </w:r>
      <w:r w:rsidRPr="004F039C">
        <w:rPr>
          <w:rFonts w:ascii="HelveticaNeueLT Std" w:hAnsi="HelveticaNeueLT Std"/>
        </w:rPr>
        <w:t>rato de Fideicomiso Irrevocable número F/1426, se informa que en el ejercicio 2020 y en el mes de marzo 2021, se transfirieron al fideicomiso, para complementar el pago de los Certificados Bursátiles Fiduciarios Serie Subordinada “C”. Cabe señalar que el t</w:t>
      </w:r>
      <w:r w:rsidRPr="004F039C">
        <w:rPr>
          <w:rFonts w:ascii="HelveticaNeueLT Std" w:hAnsi="HelveticaNeueLT Std"/>
        </w:rPr>
        <w:t>otal de Remanentes con sus productos, a la fecha han representado la cantidad de 4,110,616,035.27</w:t>
      </w:r>
    </w:p>
    <w:p w14:paraId="2E975430" w14:textId="77777777" w:rsidR="004F660A" w:rsidRPr="004F039C" w:rsidRDefault="00EB41CD">
      <w:pPr>
        <w:spacing w:line="240" w:lineRule="auto"/>
        <w:jc w:val="both"/>
        <w:rPr>
          <w:rFonts w:ascii="HelveticaNeueLT Std" w:hAnsi="HelveticaNeueLT Std"/>
        </w:rPr>
      </w:pPr>
      <w:r w:rsidRPr="004F039C">
        <w:rPr>
          <w:rFonts w:ascii="HelveticaNeueLT Std" w:hAnsi="HelveticaNeueLT Std"/>
        </w:rPr>
        <w:t>Es importante mencionar que en el mes de octubre 2022, se recibieron del Fideicomiso de Cobranza 1,745,660,919.96, de remanentes correspondientes a la distrib</w:t>
      </w:r>
      <w:r w:rsidRPr="004F039C">
        <w:rPr>
          <w:rFonts w:ascii="HelveticaNeueLT Std" w:hAnsi="HelveticaNeueLT Std"/>
        </w:rPr>
        <w:t xml:space="preserve">ución 145, de los cuales 1,653,807,280.98, fueron tranferidos al Gobierno del Estado de México (GEM) en el mes de noviembre  del presente ejercicio. </w:t>
      </w:r>
    </w:p>
    <w:p w14:paraId="7E857F3D" w14:textId="77777777" w:rsidR="004F660A" w:rsidRPr="004F039C" w:rsidRDefault="004F660A">
      <w:pPr>
        <w:spacing w:line="240" w:lineRule="auto"/>
        <w:jc w:val="both"/>
        <w:rPr>
          <w:rFonts w:ascii="HelveticaNeueLT Std" w:hAnsi="HelveticaNeueLT Std"/>
        </w:rPr>
      </w:pPr>
    </w:p>
    <w:p w14:paraId="626F4424" w14:textId="77777777" w:rsidR="004F660A" w:rsidRPr="004F039C" w:rsidRDefault="004F660A">
      <w:pPr>
        <w:spacing w:line="240" w:lineRule="auto"/>
        <w:jc w:val="both"/>
        <w:rPr>
          <w:rFonts w:ascii="HelveticaNeueLT Std" w:hAnsi="HelveticaNeueLT Std"/>
        </w:rPr>
      </w:pPr>
    </w:p>
    <w:p w14:paraId="6195F204" w14:textId="77777777" w:rsidR="004F660A" w:rsidRPr="004F039C" w:rsidRDefault="004F660A">
      <w:pPr>
        <w:spacing w:line="240" w:lineRule="auto"/>
        <w:jc w:val="both"/>
        <w:rPr>
          <w:rFonts w:ascii="HelveticaNeueLT Std" w:hAnsi="HelveticaNeueLT Std"/>
        </w:rPr>
      </w:pPr>
    </w:p>
    <w:p w14:paraId="50727498" w14:textId="77777777" w:rsidR="004F660A" w:rsidRPr="004F039C" w:rsidRDefault="004F660A">
      <w:pPr>
        <w:spacing w:line="240" w:lineRule="auto"/>
        <w:jc w:val="both"/>
        <w:rPr>
          <w:rFonts w:ascii="HelveticaNeueLT Std" w:hAnsi="HelveticaNeueLT Std"/>
        </w:rPr>
      </w:pPr>
    </w:p>
    <w:p w14:paraId="51EFCFB2" w14:textId="77777777" w:rsidR="004F660A" w:rsidRPr="004F039C" w:rsidRDefault="004F660A">
      <w:pPr>
        <w:spacing w:line="240" w:lineRule="auto"/>
        <w:jc w:val="both"/>
        <w:rPr>
          <w:rFonts w:ascii="HelveticaNeueLT Std" w:hAnsi="HelveticaNeueLT Std"/>
        </w:rPr>
      </w:pPr>
    </w:p>
    <w:p w14:paraId="77FFCFC1" w14:textId="77777777" w:rsidR="004F660A" w:rsidRPr="004F039C" w:rsidRDefault="00EB41CD">
      <w:pPr>
        <w:numPr>
          <w:ilvl w:val="0"/>
          <w:numId w:val="7"/>
        </w:numPr>
        <w:spacing w:after="0" w:line="276" w:lineRule="auto"/>
        <w:ind w:left="851"/>
        <w:jc w:val="both"/>
        <w:rPr>
          <w:rFonts w:ascii="HelveticaNeueLT Std" w:hAnsi="HelveticaNeueLT Std"/>
        </w:rPr>
      </w:pPr>
      <w:r w:rsidRPr="004F039C">
        <w:rPr>
          <w:rFonts w:ascii="HelveticaNeueLT Std" w:hAnsi="HelveticaNeueLT Std"/>
          <w:b/>
        </w:rPr>
        <w:lastRenderedPageBreak/>
        <w:t>Calificaciones otorgadas</w:t>
      </w:r>
    </w:p>
    <w:p w14:paraId="2BD21520" w14:textId="77777777" w:rsidR="004F660A" w:rsidRPr="004F039C" w:rsidRDefault="00EB41CD">
      <w:pPr>
        <w:spacing w:before="240"/>
        <w:jc w:val="both"/>
        <w:rPr>
          <w:rFonts w:ascii="HelveticaNeueLT Std" w:hAnsi="HelveticaNeueLT Std"/>
        </w:rPr>
      </w:pPr>
      <w:r w:rsidRPr="004F039C">
        <w:rPr>
          <w:rFonts w:ascii="HelveticaNeueLT Std" w:hAnsi="HelveticaNeueLT Std"/>
        </w:rPr>
        <w:t xml:space="preserve">Las obligaciones contraídas en términos del Convenio Global Estabilizador, </w:t>
      </w:r>
      <w:r w:rsidRPr="004F039C">
        <w:rPr>
          <w:rFonts w:ascii="HelveticaNeueLT Std" w:hAnsi="HelveticaNeueLT Std"/>
        </w:rPr>
        <w:t xml:space="preserve">durante la vigencia de los Certificados Bursátiles, celebrar los contratos necesarios con 2 Agencias Calificadoras, con objeto de que se obtenga, por lo menos una vez cada año calendario, un reporte con una opinión sobre la calificación crediticia (México </w:t>
      </w:r>
      <w:r w:rsidRPr="004F039C">
        <w:rPr>
          <w:rFonts w:ascii="HelveticaNeueLT Std" w:hAnsi="HelveticaNeueLT Std"/>
        </w:rPr>
        <w:t>I. d., Contrato de Fideicomiso Irrevocable N° 80615, 2010, pág. 82), la cual, fue la siguiente:</w:t>
      </w:r>
    </w:p>
    <w:p w14:paraId="358149C3" w14:textId="77777777" w:rsidR="004F660A" w:rsidRPr="004F039C" w:rsidRDefault="00EB41CD">
      <w:pPr>
        <w:numPr>
          <w:ilvl w:val="0"/>
          <w:numId w:val="2"/>
        </w:numPr>
        <w:spacing w:before="160" w:after="0" w:line="252" w:lineRule="auto"/>
        <w:ind w:right="423"/>
        <w:jc w:val="both"/>
        <w:rPr>
          <w:rFonts w:ascii="HelveticaNeueLT Std" w:hAnsi="HelveticaNeueLT Std"/>
          <w:i/>
          <w:sz w:val="18"/>
          <w:szCs w:val="18"/>
        </w:rPr>
      </w:pPr>
      <w:r w:rsidRPr="004F039C">
        <w:rPr>
          <w:rFonts w:ascii="HelveticaNeueLT Std" w:hAnsi="HelveticaNeueLT Std"/>
          <w:i/>
          <w:sz w:val="18"/>
          <w:szCs w:val="18"/>
        </w:rPr>
        <w:t>“  S&amp;P Global Ratings, la Calificación de IFREM</w:t>
      </w:r>
    </w:p>
    <w:p w14:paraId="3BF78F36" w14:textId="77777777" w:rsidR="004F660A" w:rsidRPr="004F039C" w:rsidRDefault="004F660A">
      <w:pPr>
        <w:spacing w:after="0" w:line="252" w:lineRule="auto"/>
        <w:ind w:right="423"/>
        <w:jc w:val="both"/>
        <w:rPr>
          <w:rFonts w:ascii="HelveticaNeueLT Std" w:hAnsi="HelveticaNeueLT Std"/>
          <w:i/>
          <w:sz w:val="18"/>
          <w:szCs w:val="18"/>
        </w:rPr>
      </w:pPr>
    </w:p>
    <w:p w14:paraId="233DEE80" w14:textId="77777777" w:rsidR="004F660A" w:rsidRPr="004F039C" w:rsidRDefault="00EB41CD">
      <w:pPr>
        <w:spacing w:after="0" w:line="252" w:lineRule="auto"/>
        <w:ind w:left="567" w:right="423"/>
        <w:jc w:val="both"/>
        <w:rPr>
          <w:rFonts w:ascii="HelveticaNeueLT Std" w:hAnsi="HelveticaNeueLT Std"/>
          <w:i/>
          <w:sz w:val="18"/>
          <w:szCs w:val="18"/>
        </w:rPr>
      </w:pPr>
      <w:r w:rsidRPr="004F039C">
        <w:rPr>
          <w:rFonts w:ascii="HelveticaNeueLT Std" w:hAnsi="HelveticaNeueLT Std"/>
          <w:i/>
          <w:sz w:val="18"/>
          <w:szCs w:val="18"/>
        </w:rPr>
        <w:t>“El 20 de diciembre de 2022, S&amp;P Global Ratings confirmo su calificación crediticia de emisor de largo plazo en</w:t>
      </w:r>
      <w:r w:rsidRPr="004F039C">
        <w:rPr>
          <w:rFonts w:ascii="HelveticaNeueLT Std" w:hAnsi="HelveticaNeueLT Std"/>
          <w:i/>
          <w:sz w:val="18"/>
          <w:szCs w:val="18"/>
        </w:rPr>
        <w:t xml:space="preserve"> escala nacional-CaVal-de 'mxAA-'del Instituto de la Función Registral del Estado de México (IFREM). La perspectiva es estable.” </w:t>
      </w:r>
    </w:p>
    <w:p w14:paraId="19F35CD9" w14:textId="77777777" w:rsidR="004F660A" w:rsidRPr="004F039C" w:rsidRDefault="00EB41CD">
      <w:pPr>
        <w:spacing w:after="0" w:line="252" w:lineRule="auto"/>
        <w:ind w:left="567" w:right="423"/>
        <w:jc w:val="both"/>
        <w:rPr>
          <w:rFonts w:ascii="HelveticaNeueLT Std" w:hAnsi="HelveticaNeueLT Std"/>
          <w:i/>
          <w:sz w:val="18"/>
          <w:szCs w:val="18"/>
        </w:rPr>
      </w:pPr>
      <w:r w:rsidRPr="004F039C">
        <w:rPr>
          <w:rFonts w:ascii="HelveticaNeueLT Std" w:hAnsi="HelveticaNeueLT Std"/>
          <w:i/>
          <w:sz w:val="18"/>
          <w:szCs w:val="18"/>
        </w:rPr>
        <w:t xml:space="preserve">“La perspectiva estable refleja la calificación del Estado de México (mxAA-/Estable/--), así como nuestra expectativa de que, </w:t>
      </w:r>
      <w:r w:rsidRPr="004F039C">
        <w:rPr>
          <w:rFonts w:ascii="HelveticaNeueLT Std" w:hAnsi="HelveticaNeueLT Std"/>
          <w:i/>
          <w:sz w:val="18"/>
          <w:szCs w:val="18"/>
        </w:rPr>
        <w:t>en loe próximos 12 a 18 meses , se mantega la probabilidad casi cierta de apoyo extraordinario del Estado de México al IFREM. Esperamos que el instituto mantenga su vínculo integral y rol con el Estado , el cual consideramos el nivel de institucionalizació</w:t>
      </w:r>
      <w:r w:rsidRPr="004F039C">
        <w:rPr>
          <w:rFonts w:ascii="HelveticaNeueLT Std" w:hAnsi="HelveticaNeueLT Std"/>
          <w:i/>
          <w:sz w:val="18"/>
          <w:szCs w:val="18"/>
        </w:rPr>
        <w:t xml:space="preserve">n y la solidez del marco en el que opera el IFREM.” </w:t>
      </w:r>
    </w:p>
    <w:p w14:paraId="283DBB16" w14:textId="77777777" w:rsidR="004F660A" w:rsidRPr="004F039C" w:rsidRDefault="004F660A">
      <w:pPr>
        <w:spacing w:after="0" w:line="252" w:lineRule="auto"/>
        <w:ind w:left="360" w:right="423"/>
        <w:jc w:val="both"/>
        <w:rPr>
          <w:rFonts w:ascii="HelveticaNeueLT Std" w:hAnsi="HelveticaNeueLT Std"/>
          <w:i/>
          <w:sz w:val="18"/>
          <w:szCs w:val="18"/>
        </w:rPr>
      </w:pPr>
    </w:p>
    <w:p w14:paraId="633F150E" w14:textId="77777777" w:rsidR="004F660A" w:rsidRPr="004F039C" w:rsidRDefault="00EB41CD">
      <w:pPr>
        <w:spacing w:after="0" w:line="252" w:lineRule="auto"/>
        <w:ind w:left="567" w:right="423"/>
        <w:jc w:val="both"/>
        <w:rPr>
          <w:rFonts w:ascii="HelveticaNeueLT Std" w:hAnsi="HelveticaNeueLT Std"/>
          <w:i/>
          <w:sz w:val="18"/>
          <w:szCs w:val="18"/>
        </w:rPr>
      </w:pPr>
      <w:r w:rsidRPr="004F039C">
        <w:rPr>
          <w:rFonts w:ascii="HelveticaNeueLT Std" w:hAnsi="HelveticaNeueLT Std"/>
          <w:i/>
          <w:sz w:val="18"/>
          <w:szCs w:val="18"/>
        </w:rPr>
        <w:t>“El 20 de diciembre de 2022, S&amp;P Global Ratings confirmó sus calificaciones de deuda a largo plazo en escala nacional -CaVal-de 'mxAAA-' de los certificados bursátiles Serie A, con clave de pizarra PROI</w:t>
      </w:r>
      <w:r w:rsidRPr="004F039C">
        <w:rPr>
          <w:rFonts w:ascii="HelveticaNeueLT Std" w:hAnsi="HelveticaNeueLT Std"/>
          <w:i/>
          <w:sz w:val="18"/>
          <w:szCs w:val="18"/>
        </w:rPr>
        <w:t>N 10, y Serie B,con clave de pizarra PROIN 10-2, del Instituto de la Función Registral del Estado de México (IFREM:mxAA-/Estable/--). Al mismo tiempo, confirmamos la calificación de deuda en escala nacional de 'mxAA+ del crédito bancario que contrató  el I</w:t>
      </w:r>
      <w:r w:rsidRPr="004F039C">
        <w:rPr>
          <w:rFonts w:ascii="HelveticaNeueLT Std" w:hAnsi="HelveticaNeueLT Std"/>
          <w:i/>
          <w:sz w:val="18"/>
          <w:szCs w:val="18"/>
        </w:rPr>
        <w:t>FREM con el Banco Nacional de Obras y Servicios Publicos, S.N.C. (Banobras).</w:t>
      </w:r>
    </w:p>
    <w:p w14:paraId="0617A0AB" w14:textId="77777777" w:rsidR="004F660A" w:rsidRPr="004F039C" w:rsidRDefault="004F660A">
      <w:pPr>
        <w:spacing w:after="0" w:line="252" w:lineRule="auto"/>
        <w:ind w:left="567" w:right="423"/>
        <w:jc w:val="both"/>
        <w:rPr>
          <w:rFonts w:ascii="HelveticaNeueLT Std" w:hAnsi="HelveticaNeueLT Std"/>
          <w:i/>
          <w:sz w:val="18"/>
          <w:szCs w:val="18"/>
        </w:rPr>
      </w:pPr>
    </w:p>
    <w:p w14:paraId="537B66C9" w14:textId="77777777" w:rsidR="004F660A" w:rsidRPr="004F039C" w:rsidRDefault="004F660A">
      <w:pPr>
        <w:spacing w:after="0" w:line="252" w:lineRule="auto"/>
        <w:ind w:right="423"/>
        <w:jc w:val="both"/>
        <w:rPr>
          <w:rFonts w:ascii="HelveticaNeueLT Std" w:hAnsi="HelveticaNeueLT Std"/>
          <w:i/>
          <w:sz w:val="18"/>
          <w:szCs w:val="18"/>
        </w:rPr>
      </w:pPr>
    </w:p>
    <w:p w14:paraId="4022FC5E" w14:textId="77777777" w:rsidR="004F660A" w:rsidRPr="004F039C" w:rsidRDefault="00EB41CD">
      <w:pPr>
        <w:numPr>
          <w:ilvl w:val="0"/>
          <w:numId w:val="2"/>
        </w:numPr>
        <w:spacing w:after="0" w:line="252" w:lineRule="auto"/>
        <w:ind w:right="423"/>
        <w:jc w:val="both"/>
        <w:rPr>
          <w:rFonts w:ascii="HelveticaNeueLT Std" w:hAnsi="HelveticaNeueLT Std"/>
          <w:i/>
          <w:sz w:val="18"/>
          <w:szCs w:val="18"/>
        </w:rPr>
      </w:pPr>
      <w:r w:rsidRPr="004F039C">
        <w:rPr>
          <w:rFonts w:ascii="HelveticaNeueLT Std" w:hAnsi="HelveticaNeueLT Std"/>
          <w:i/>
          <w:sz w:val="18"/>
          <w:szCs w:val="18"/>
        </w:rPr>
        <w:t>“Fitch Ratifica la Calificación de IFREM</w:t>
      </w:r>
    </w:p>
    <w:p w14:paraId="193889B4" w14:textId="77777777" w:rsidR="004F660A" w:rsidRPr="004F039C" w:rsidRDefault="004F660A">
      <w:pPr>
        <w:spacing w:after="0" w:line="252" w:lineRule="auto"/>
        <w:ind w:right="423"/>
        <w:jc w:val="both"/>
        <w:rPr>
          <w:rFonts w:ascii="HelveticaNeueLT Std" w:hAnsi="HelveticaNeueLT Std"/>
          <w:i/>
          <w:sz w:val="18"/>
          <w:szCs w:val="18"/>
        </w:rPr>
      </w:pPr>
    </w:p>
    <w:p w14:paraId="290772EB" w14:textId="77777777" w:rsidR="004F660A" w:rsidRPr="004F039C" w:rsidRDefault="00EB41CD">
      <w:pPr>
        <w:spacing w:after="0" w:line="276" w:lineRule="auto"/>
        <w:ind w:left="567" w:right="423"/>
        <w:jc w:val="both"/>
        <w:rPr>
          <w:rFonts w:ascii="HelveticaNeueLT Std" w:hAnsi="HelveticaNeueLT Std"/>
          <w:i/>
          <w:sz w:val="18"/>
          <w:szCs w:val="18"/>
        </w:rPr>
      </w:pPr>
      <w:r w:rsidRPr="004F039C">
        <w:rPr>
          <w:rFonts w:ascii="HelveticaNeueLT Std" w:hAnsi="HelveticaNeueLT Std"/>
          <w:i/>
          <w:sz w:val="18"/>
          <w:szCs w:val="18"/>
        </w:rPr>
        <w:t>Tue 16 de Aug de 2022-14:58 ET</w:t>
      </w:r>
    </w:p>
    <w:p w14:paraId="1DD06183" w14:textId="77777777" w:rsidR="004F660A" w:rsidRPr="004F039C" w:rsidRDefault="00EB41CD">
      <w:pPr>
        <w:spacing w:after="0" w:line="276" w:lineRule="auto"/>
        <w:ind w:left="567" w:right="423"/>
        <w:jc w:val="both"/>
        <w:rPr>
          <w:rFonts w:ascii="HelveticaNeueLT Std" w:hAnsi="HelveticaNeueLT Std"/>
          <w:i/>
          <w:sz w:val="18"/>
          <w:szCs w:val="18"/>
        </w:rPr>
      </w:pPr>
      <w:r w:rsidRPr="004F039C">
        <w:rPr>
          <w:rFonts w:ascii="HelveticaNeueLT Std" w:hAnsi="HelveticaNeueLT Std"/>
          <w:i/>
          <w:sz w:val="18"/>
          <w:szCs w:val="18"/>
        </w:rPr>
        <w:t>Fitch Ratings –México City-16 Aug 2022: Fitch Ratings ratificó en 'AAA(mex)vra' las calificaciónes espec</w:t>
      </w:r>
      <w:r w:rsidRPr="004F039C">
        <w:rPr>
          <w:rFonts w:ascii="HelveticaNeueLT Std" w:hAnsi="HelveticaNeueLT Std"/>
          <w:i/>
          <w:sz w:val="18"/>
          <w:szCs w:val="18"/>
        </w:rPr>
        <w:t>íficas de los financiamentos que integran la deuda directa del Instituto de la Función Registral del Estado de México (IFREM).</w:t>
      </w:r>
      <w:r w:rsidRPr="004F039C">
        <w:rPr>
          <w:rFonts w:ascii="HelveticaNeueLT Std" w:hAnsi="HelveticaNeueLT Std"/>
          <w:sz w:val="18"/>
          <w:szCs w:val="18"/>
        </w:rPr>
        <w:t xml:space="preserve"> </w:t>
      </w:r>
      <w:r w:rsidRPr="004F039C">
        <w:rPr>
          <w:rFonts w:ascii="HelveticaNeueLT Std" w:hAnsi="HelveticaNeueLT Std"/>
          <w:i/>
          <w:sz w:val="18"/>
          <w:szCs w:val="18"/>
        </w:rPr>
        <w:t>[AA+(mex)].</w:t>
      </w:r>
      <w:r w:rsidRPr="004F039C">
        <w:rPr>
          <w:rFonts w:ascii="HelveticaNeueLT Std" w:hAnsi="HelveticaNeueLT Std"/>
          <w:sz w:val="18"/>
          <w:szCs w:val="18"/>
        </w:rPr>
        <w:t xml:space="preserve"> </w:t>
      </w:r>
      <w:r w:rsidRPr="004F039C">
        <w:rPr>
          <w:rFonts w:ascii="HelveticaNeueLT Std" w:hAnsi="HelveticaNeueLT Std"/>
          <w:i/>
          <w:sz w:val="18"/>
          <w:szCs w:val="18"/>
        </w:rPr>
        <w:t>como se detalla a continuación (saldos al cierre de 2021):</w:t>
      </w:r>
    </w:p>
    <w:p w14:paraId="5E39A4A5" w14:textId="77777777" w:rsidR="004F660A" w:rsidRPr="004F039C" w:rsidRDefault="004F660A">
      <w:pPr>
        <w:spacing w:after="0" w:line="276" w:lineRule="auto"/>
        <w:ind w:left="567" w:right="423"/>
        <w:jc w:val="both"/>
        <w:rPr>
          <w:rFonts w:ascii="HelveticaNeueLT Std" w:hAnsi="HelveticaNeueLT Std"/>
          <w:i/>
          <w:sz w:val="18"/>
          <w:szCs w:val="18"/>
        </w:rPr>
      </w:pPr>
    </w:p>
    <w:p w14:paraId="646E47C6" w14:textId="77777777" w:rsidR="004F660A" w:rsidRPr="004F039C" w:rsidRDefault="00EB41CD">
      <w:pPr>
        <w:spacing w:after="0" w:line="276" w:lineRule="auto"/>
        <w:ind w:left="567" w:right="423"/>
        <w:jc w:val="both"/>
        <w:rPr>
          <w:rFonts w:ascii="HelveticaNeueLT Std" w:hAnsi="HelveticaNeueLT Std"/>
          <w:i/>
          <w:sz w:val="18"/>
          <w:szCs w:val="18"/>
        </w:rPr>
      </w:pPr>
      <w:r w:rsidRPr="004F039C">
        <w:rPr>
          <w:rFonts w:ascii="HelveticaNeueLT Std" w:hAnsi="HelveticaNeueLT Std"/>
          <w:i/>
          <w:sz w:val="18"/>
          <w:szCs w:val="18"/>
        </w:rPr>
        <w:t>--Emisión PROIN 10, monto inicial: MXN2,765 millones y sa</w:t>
      </w:r>
      <w:r w:rsidRPr="004F039C">
        <w:rPr>
          <w:rFonts w:ascii="HelveticaNeueLT Std" w:hAnsi="HelveticaNeueLT Std"/>
          <w:i/>
          <w:sz w:val="18"/>
          <w:szCs w:val="18"/>
        </w:rPr>
        <w:t>ldo de MXN1,842.2 millones;</w:t>
      </w:r>
    </w:p>
    <w:p w14:paraId="75C45E1A" w14:textId="77777777" w:rsidR="004F660A" w:rsidRPr="004F039C" w:rsidRDefault="00EB41CD">
      <w:pPr>
        <w:spacing w:after="0" w:line="276" w:lineRule="auto"/>
        <w:ind w:left="567" w:right="423"/>
        <w:jc w:val="both"/>
        <w:rPr>
          <w:rFonts w:ascii="HelveticaNeueLT Std" w:hAnsi="HelveticaNeueLT Std"/>
          <w:i/>
          <w:sz w:val="18"/>
          <w:szCs w:val="18"/>
        </w:rPr>
      </w:pPr>
      <w:r w:rsidRPr="004F039C">
        <w:rPr>
          <w:rFonts w:ascii="HelveticaNeueLT Std" w:hAnsi="HelveticaNeueLT Std"/>
          <w:i/>
          <w:sz w:val="18"/>
          <w:szCs w:val="18"/>
        </w:rPr>
        <w:t>--Emisión PROIN 10-2, monto inicial de MXN1,300 millones y saldo MXN866.1 millones;</w:t>
      </w:r>
    </w:p>
    <w:p w14:paraId="095B1039" w14:textId="77777777" w:rsidR="004F660A" w:rsidRPr="004F039C" w:rsidRDefault="00EB41CD">
      <w:pPr>
        <w:spacing w:after="0" w:line="276" w:lineRule="auto"/>
        <w:ind w:left="567" w:right="423"/>
        <w:jc w:val="both"/>
        <w:rPr>
          <w:rFonts w:ascii="HelveticaNeueLT Std" w:hAnsi="HelveticaNeueLT Std"/>
          <w:i/>
          <w:sz w:val="18"/>
          <w:szCs w:val="18"/>
        </w:rPr>
      </w:pPr>
      <w:r w:rsidRPr="004F039C">
        <w:rPr>
          <w:rFonts w:ascii="HelveticaNeueLT Std" w:hAnsi="HelveticaNeueLT Std"/>
          <w:i/>
          <w:sz w:val="18"/>
          <w:szCs w:val="18"/>
        </w:rPr>
        <w:t>--Crédito Banobras 11 monto inicial de 654.2 millones de unidades de inversión (Udis) y saldo: 460.2 millones de Udis.</w:t>
      </w:r>
    </w:p>
    <w:p w14:paraId="058A0917" w14:textId="77777777" w:rsidR="004F660A" w:rsidRPr="004F039C" w:rsidRDefault="00EB41CD">
      <w:pPr>
        <w:spacing w:after="0" w:line="276" w:lineRule="auto"/>
        <w:ind w:right="423"/>
        <w:jc w:val="both"/>
        <w:rPr>
          <w:rFonts w:ascii="HelveticaNeueLT Std" w:hAnsi="HelveticaNeueLT Std"/>
          <w:i/>
          <w:sz w:val="18"/>
          <w:szCs w:val="18"/>
        </w:rPr>
      </w:pPr>
      <w:r w:rsidRPr="004F039C">
        <w:rPr>
          <w:rFonts w:ascii="HelveticaNeueLT Std" w:hAnsi="HelveticaNeueLT Std"/>
          <w:i/>
          <w:sz w:val="18"/>
          <w:szCs w:val="18"/>
        </w:rPr>
        <w:t xml:space="preserve">  </w:t>
      </w:r>
    </w:p>
    <w:p w14:paraId="1B8B7B8B" w14:textId="77777777" w:rsidR="004F660A" w:rsidRPr="004F039C" w:rsidRDefault="00EB41CD">
      <w:pPr>
        <w:spacing w:after="0" w:line="276" w:lineRule="auto"/>
        <w:ind w:left="567" w:right="423"/>
        <w:jc w:val="both"/>
        <w:rPr>
          <w:rFonts w:ascii="HelveticaNeueLT Std" w:hAnsi="HelveticaNeueLT Std"/>
          <w:i/>
          <w:sz w:val="18"/>
          <w:szCs w:val="18"/>
        </w:rPr>
      </w:pPr>
      <w:r w:rsidRPr="004F039C">
        <w:rPr>
          <w:rFonts w:ascii="HelveticaNeueLT Std" w:hAnsi="HelveticaNeueLT Std"/>
          <w:i/>
          <w:sz w:val="18"/>
          <w:szCs w:val="18"/>
        </w:rPr>
        <w:t>Fitch Ratings-México City- 16 Aug 2022: Fitch Ratings afirmó en ´AA+(mex)´ la calificación de la calidad crediticia del Instituto de la Función Registral del Estado de México (IFREM). La perspectiva es Estable.</w:t>
      </w:r>
    </w:p>
    <w:p w14:paraId="510F4236" w14:textId="77777777" w:rsidR="004F660A" w:rsidRPr="004F039C" w:rsidRDefault="004F660A">
      <w:pPr>
        <w:spacing w:line="259" w:lineRule="auto"/>
        <w:rPr>
          <w:rFonts w:ascii="HelveticaNeueLT Std" w:hAnsi="HelveticaNeueLT Std"/>
          <w:i/>
          <w:sz w:val="18"/>
          <w:szCs w:val="18"/>
        </w:rPr>
      </w:pPr>
    </w:p>
    <w:p w14:paraId="516BECBB" w14:textId="77777777" w:rsidR="004F660A" w:rsidRPr="004F039C" w:rsidRDefault="00EB41CD">
      <w:pPr>
        <w:spacing w:line="259" w:lineRule="auto"/>
        <w:rPr>
          <w:rFonts w:ascii="HelveticaNeueLT Std" w:hAnsi="HelveticaNeueLT Std"/>
          <w:i/>
          <w:color w:val="0000FF"/>
          <w:u w:val="single"/>
        </w:rPr>
      </w:pPr>
      <w:r w:rsidRPr="004F039C">
        <w:rPr>
          <w:rFonts w:ascii="HelveticaNeueLT Std" w:hAnsi="HelveticaNeueLT Std"/>
          <w:i/>
          <w:color w:val="0000FF"/>
          <w:u w:val="single"/>
        </w:rPr>
        <w:t>https://www.bmv.com.mx/docs-pub/eventoca/eventoca_1242658_2.pdf</w:t>
      </w:r>
    </w:p>
    <w:p w14:paraId="346596FA" w14:textId="77777777" w:rsidR="004F660A" w:rsidRPr="004F039C" w:rsidRDefault="00EB41CD">
      <w:pPr>
        <w:spacing w:line="259" w:lineRule="auto"/>
        <w:rPr>
          <w:rFonts w:ascii="HelveticaNeueLT Std" w:hAnsi="HelveticaNeueLT Std"/>
          <w:i/>
          <w:color w:val="0000FF"/>
          <w:u w:val="single"/>
        </w:rPr>
      </w:pPr>
      <w:hyperlink r:id="rId33">
        <w:r w:rsidRPr="004F039C">
          <w:rPr>
            <w:rFonts w:ascii="HelveticaNeueLT Std" w:hAnsi="HelveticaNeueLT Std"/>
            <w:i/>
            <w:color w:val="0000FF"/>
            <w:u w:val="single"/>
          </w:rPr>
          <w:t>https://www.fitchratings.com/research/es/internati</w:t>
        </w:r>
        <w:r w:rsidRPr="004F039C">
          <w:rPr>
            <w:rFonts w:ascii="HelveticaNeueLT Std" w:hAnsi="HelveticaNeueLT Std"/>
            <w:i/>
            <w:color w:val="0000FF"/>
            <w:u w:val="single"/>
          </w:rPr>
          <w:t>onal-public-finance/fitch-affirms-ifrems-loans-at-aaa-mex-vra-16-08-2022</w:t>
        </w:r>
      </w:hyperlink>
      <w:r w:rsidRPr="004F039C">
        <w:rPr>
          <w:rFonts w:ascii="HelveticaNeueLT Std" w:hAnsi="HelveticaNeueLT Std"/>
          <w:i/>
          <w:color w:val="0000FF"/>
          <w:u w:val="single"/>
        </w:rPr>
        <w:t xml:space="preserve"> </w:t>
      </w:r>
    </w:p>
    <w:p w14:paraId="16F9E97E" w14:textId="77777777" w:rsidR="004F660A" w:rsidRPr="004F039C" w:rsidRDefault="004F660A" w:rsidP="00FA4430">
      <w:pPr>
        <w:spacing w:after="0" w:line="276" w:lineRule="auto"/>
        <w:jc w:val="both"/>
        <w:rPr>
          <w:rFonts w:ascii="HelveticaNeueLT Std" w:hAnsi="HelveticaNeueLT Std"/>
          <w:b/>
        </w:rPr>
      </w:pPr>
    </w:p>
    <w:p w14:paraId="0C7F4DBD" w14:textId="77777777" w:rsidR="004F660A" w:rsidRPr="004F039C" w:rsidRDefault="00EB41CD">
      <w:pPr>
        <w:numPr>
          <w:ilvl w:val="0"/>
          <w:numId w:val="7"/>
        </w:numPr>
        <w:spacing w:after="0" w:line="276" w:lineRule="auto"/>
        <w:ind w:left="851"/>
        <w:jc w:val="both"/>
        <w:rPr>
          <w:rFonts w:ascii="HelveticaNeueLT Std" w:hAnsi="HelveticaNeueLT Std"/>
        </w:rPr>
      </w:pPr>
      <w:r w:rsidRPr="004F039C">
        <w:rPr>
          <w:rFonts w:ascii="HelveticaNeueLT Std" w:hAnsi="HelveticaNeueLT Std"/>
          <w:b/>
        </w:rPr>
        <w:t>Proceso de Mejora</w:t>
      </w:r>
    </w:p>
    <w:p w14:paraId="0AD5F04E" w14:textId="77777777" w:rsidR="004F660A" w:rsidRPr="004F039C" w:rsidRDefault="00EB41CD">
      <w:pPr>
        <w:spacing w:after="0" w:line="276" w:lineRule="auto"/>
        <w:jc w:val="both"/>
        <w:rPr>
          <w:rFonts w:ascii="HelveticaNeueLT Std" w:hAnsi="HelveticaNeueLT Std"/>
        </w:rPr>
      </w:pPr>
      <w:r w:rsidRPr="004F039C">
        <w:rPr>
          <w:rFonts w:ascii="HelveticaNeueLT Std" w:hAnsi="HelveticaNeueLT Std"/>
        </w:rPr>
        <w:t xml:space="preserve">En enero de 2020 la Unidad de Informática del IFREM, obtuvo la certificación en </w:t>
      </w:r>
      <w:r w:rsidRPr="004F039C">
        <w:rPr>
          <w:rFonts w:ascii="HelveticaNeueLT Std" w:hAnsi="HelveticaNeueLT Std"/>
          <w:b/>
        </w:rPr>
        <w:t>ISO/IEC 27001:2013</w:t>
      </w:r>
      <w:r w:rsidRPr="004F039C">
        <w:rPr>
          <w:rFonts w:ascii="HelveticaNeueLT Std" w:hAnsi="HelveticaNeueLT Std"/>
        </w:rPr>
        <w:t>, Sistema de Gestión de Seguridad de la Información (SGSI).</w:t>
      </w:r>
    </w:p>
    <w:p w14:paraId="4C708CFE" w14:textId="77777777" w:rsidR="004F660A" w:rsidRPr="004F039C" w:rsidRDefault="00EB41CD">
      <w:pPr>
        <w:spacing w:before="240" w:line="276" w:lineRule="auto"/>
        <w:jc w:val="both"/>
        <w:rPr>
          <w:rFonts w:ascii="HelveticaNeueLT Std" w:hAnsi="HelveticaNeueLT Std"/>
        </w:rPr>
      </w:pPr>
      <w:r w:rsidRPr="004F039C">
        <w:rPr>
          <w:rFonts w:ascii="HelveticaNeueLT Std" w:hAnsi="HelveticaNeueLT Std"/>
        </w:rPr>
        <w:lastRenderedPageBreak/>
        <w:t>En ab</w:t>
      </w:r>
      <w:r w:rsidRPr="004F039C">
        <w:rPr>
          <w:rFonts w:ascii="HelveticaNeueLT Std" w:hAnsi="HelveticaNeueLT Std"/>
        </w:rPr>
        <w:t xml:space="preserve">ril de 2022, fue aceptada la propuesta denominada </w:t>
      </w:r>
      <w:r w:rsidRPr="004F039C">
        <w:rPr>
          <w:rFonts w:ascii="HelveticaNeueLT Std" w:hAnsi="HelveticaNeueLT Std"/>
          <w:b/>
        </w:rPr>
        <w:t xml:space="preserve">“Sistema de Gestión de Seguridad de la Información Basada en la Norma Internacional ISO IEC 27001”, </w:t>
      </w:r>
      <w:r w:rsidRPr="004F039C">
        <w:rPr>
          <w:rFonts w:ascii="HelveticaNeueLT Std" w:hAnsi="HelveticaNeueLT Std"/>
        </w:rPr>
        <w:t xml:space="preserve">remitida al “ Catálogo de Mejores Prácticas de la Administración Pública Estatal 2021”, por el IFREM </w:t>
      </w:r>
      <w:r w:rsidRPr="004F039C">
        <w:rPr>
          <w:rFonts w:ascii="HelveticaNeueLT Std" w:hAnsi="HelveticaNeueLT Std"/>
          <w:b/>
        </w:rPr>
        <w:t xml:space="preserve"> </w:t>
      </w:r>
    </w:p>
    <w:p w14:paraId="14DDD002" w14:textId="77777777" w:rsidR="004F660A" w:rsidRPr="004F039C" w:rsidRDefault="00EB41CD">
      <w:pPr>
        <w:spacing w:before="240" w:line="276" w:lineRule="auto"/>
        <w:jc w:val="both"/>
        <w:rPr>
          <w:rFonts w:ascii="HelveticaNeueLT Std" w:hAnsi="HelveticaNeueLT Std"/>
        </w:rPr>
      </w:pPr>
      <w:r w:rsidRPr="004F039C">
        <w:rPr>
          <w:rFonts w:ascii="HelveticaNeueLT Std" w:hAnsi="HelveticaNeueLT Std"/>
        </w:rPr>
        <w:t>A l</w:t>
      </w:r>
      <w:r w:rsidRPr="004F039C">
        <w:rPr>
          <w:rFonts w:ascii="HelveticaNeueLT Std" w:hAnsi="HelveticaNeueLT Std"/>
        </w:rPr>
        <w:t xml:space="preserve">a fecha el Instituto ha mantenido la certificación bajo la norma </w:t>
      </w:r>
      <w:r w:rsidRPr="004F039C">
        <w:rPr>
          <w:rFonts w:ascii="HelveticaNeueLT Std" w:hAnsi="HelveticaNeueLT Std"/>
          <w:b/>
        </w:rPr>
        <w:t>ISO 9001:2015</w:t>
      </w:r>
      <w:r w:rsidRPr="004F039C">
        <w:rPr>
          <w:rFonts w:ascii="HelveticaNeueLT Std" w:hAnsi="HelveticaNeueLT Std"/>
        </w:rPr>
        <w:t>, se encuentra inmerso en el proceso de mejora continua y sigue modernizando sus procesos.</w:t>
      </w:r>
    </w:p>
    <w:p w14:paraId="1C818723" w14:textId="77777777" w:rsidR="004F660A" w:rsidRPr="004F039C" w:rsidRDefault="00EB41CD">
      <w:pPr>
        <w:spacing w:line="276" w:lineRule="auto"/>
        <w:jc w:val="both"/>
        <w:rPr>
          <w:rFonts w:ascii="HelveticaNeueLT Std" w:hAnsi="HelveticaNeueLT Std"/>
        </w:rPr>
      </w:pPr>
      <w:r w:rsidRPr="004F039C">
        <w:rPr>
          <w:rFonts w:ascii="HelveticaNeueLT Std" w:hAnsi="HelveticaNeueLT Std"/>
        </w:rPr>
        <w:t xml:space="preserve">El Estado de México ha pasado a mostrar un avance sobresaliente en la clasificación </w:t>
      </w:r>
      <w:r w:rsidRPr="004F039C">
        <w:rPr>
          <w:rFonts w:ascii="HelveticaNeueLT Std" w:hAnsi="HelveticaNeueLT Std"/>
          <w:b/>
        </w:rPr>
        <w:t>Doi</w:t>
      </w:r>
      <w:r w:rsidRPr="004F039C">
        <w:rPr>
          <w:rFonts w:ascii="HelveticaNeueLT Std" w:hAnsi="HelveticaNeueLT Std"/>
          <w:b/>
        </w:rPr>
        <w:t>ng Business en México</w:t>
      </w:r>
      <w:r w:rsidRPr="004F039C">
        <w:rPr>
          <w:rFonts w:ascii="HelveticaNeueLT Std" w:hAnsi="HelveticaNeueLT Std"/>
        </w:rPr>
        <w:t xml:space="preserve"> de 16 posiciones con respecto al año 2012, habiéndose clasificado en ese periodo en el lugar décimo octavo de 32 entidades económicas. A logrado posicionarse en el segundo lugar de acuerdo a los siguientes indicadores: apertura de una</w:t>
      </w:r>
      <w:r w:rsidRPr="004F039C">
        <w:rPr>
          <w:rFonts w:ascii="HelveticaNeueLT Std" w:hAnsi="HelveticaNeueLT Std"/>
        </w:rPr>
        <w:t xml:space="preserve"> empresa, obtención de permisos de construcción, registro de la propiedad y cumplimiento de contratos; lo que conlleva a que el Estado de México sea uno de los casos de mejor desempeño en todo el país.</w:t>
      </w:r>
    </w:p>
    <w:p w14:paraId="302A1C36" w14:textId="77777777" w:rsidR="004F660A" w:rsidRPr="004F039C" w:rsidRDefault="00EB41CD">
      <w:pPr>
        <w:numPr>
          <w:ilvl w:val="0"/>
          <w:numId w:val="7"/>
        </w:numPr>
        <w:spacing w:after="0" w:line="276" w:lineRule="auto"/>
        <w:ind w:left="851"/>
        <w:jc w:val="both"/>
        <w:rPr>
          <w:rFonts w:ascii="HelveticaNeueLT Std" w:hAnsi="HelveticaNeueLT Std"/>
          <w:b/>
        </w:rPr>
      </w:pPr>
      <w:r w:rsidRPr="004F039C">
        <w:rPr>
          <w:rFonts w:ascii="HelveticaNeueLT Std" w:hAnsi="HelveticaNeueLT Std"/>
          <w:b/>
        </w:rPr>
        <w:t>Información por Segmentos</w:t>
      </w:r>
    </w:p>
    <w:p w14:paraId="5A891CEE" w14:textId="77777777" w:rsidR="004F660A" w:rsidRPr="004F039C" w:rsidRDefault="00EB41CD">
      <w:pPr>
        <w:spacing w:line="276" w:lineRule="auto"/>
        <w:jc w:val="both"/>
        <w:rPr>
          <w:rFonts w:ascii="HelveticaNeueLT Std" w:hAnsi="HelveticaNeueLT Std"/>
        </w:rPr>
      </w:pPr>
      <w:r w:rsidRPr="004F039C">
        <w:rPr>
          <w:rFonts w:ascii="HelveticaNeueLT Std" w:hAnsi="HelveticaNeueLT Std"/>
        </w:rPr>
        <w:t>El Instituto no cuenta con i</w:t>
      </w:r>
      <w:r w:rsidRPr="004F039C">
        <w:rPr>
          <w:rFonts w:ascii="HelveticaNeueLT Std" w:hAnsi="HelveticaNeueLT Std"/>
        </w:rPr>
        <w:t>nformación por segmentos.</w:t>
      </w:r>
    </w:p>
    <w:p w14:paraId="5927C414" w14:textId="55B06CEC" w:rsidR="004F660A" w:rsidRPr="004F039C" w:rsidRDefault="00EB41CD">
      <w:pPr>
        <w:numPr>
          <w:ilvl w:val="0"/>
          <w:numId w:val="7"/>
        </w:numPr>
        <w:spacing w:after="0" w:line="276" w:lineRule="auto"/>
        <w:ind w:left="851"/>
        <w:jc w:val="both"/>
        <w:rPr>
          <w:rFonts w:ascii="HelveticaNeueLT Std" w:hAnsi="HelveticaNeueLT Std"/>
          <w:b/>
        </w:rPr>
      </w:pPr>
      <w:r w:rsidRPr="004F039C">
        <w:rPr>
          <w:rFonts w:ascii="HelveticaNeueLT Std" w:hAnsi="HelveticaNeueLT Std"/>
          <w:b/>
        </w:rPr>
        <w:t>Eventos Posteriores al Cierre</w:t>
      </w:r>
    </w:p>
    <w:p w14:paraId="6C4F71EC" w14:textId="77777777" w:rsidR="00F873F5" w:rsidRPr="004F039C" w:rsidRDefault="00F873F5" w:rsidP="00F873F5">
      <w:pPr>
        <w:spacing w:after="0" w:line="276" w:lineRule="auto"/>
        <w:jc w:val="both"/>
        <w:rPr>
          <w:rFonts w:ascii="HelveticaNeueLT Std" w:hAnsi="HelveticaNeueLT Std"/>
          <w:b/>
        </w:rPr>
      </w:pPr>
    </w:p>
    <w:p w14:paraId="659A2980" w14:textId="77777777" w:rsidR="004F660A" w:rsidRPr="004F039C" w:rsidRDefault="00EB41CD">
      <w:pPr>
        <w:spacing w:line="276" w:lineRule="auto"/>
        <w:jc w:val="both"/>
        <w:rPr>
          <w:rFonts w:ascii="HelveticaNeueLT Std" w:hAnsi="HelveticaNeueLT Std"/>
        </w:rPr>
      </w:pPr>
      <w:r w:rsidRPr="004F039C">
        <w:rPr>
          <w:rFonts w:ascii="HelveticaNeueLT Std" w:hAnsi="HelveticaNeueLT Std"/>
        </w:rPr>
        <w:t>El Instituto no presenta eventos posteriores al cierre que pudieran tener un efecto importante en su situación financiera y resultados de operación futuros.</w:t>
      </w:r>
    </w:p>
    <w:p w14:paraId="66370577" w14:textId="77777777" w:rsidR="004F660A" w:rsidRPr="004F039C" w:rsidRDefault="00EB41CD">
      <w:pPr>
        <w:numPr>
          <w:ilvl w:val="0"/>
          <w:numId w:val="7"/>
        </w:numPr>
        <w:spacing w:after="0" w:line="276" w:lineRule="auto"/>
        <w:ind w:left="851"/>
        <w:jc w:val="both"/>
        <w:rPr>
          <w:rFonts w:ascii="HelveticaNeueLT Std" w:hAnsi="HelveticaNeueLT Std"/>
          <w:b/>
        </w:rPr>
      </w:pPr>
      <w:r w:rsidRPr="004F039C">
        <w:rPr>
          <w:rFonts w:ascii="HelveticaNeueLT Std" w:hAnsi="HelveticaNeueLT Std"/>
          <w:b/>
        </w:rPr>
        <w:t>Partes Relacionadas</w:t>
      </w:r>
    </w:p>
    <w:p w14:paraId="67D98AA2" w14:textId="77777777" w:rsidR="004F660A" w:rsidRPr="004F039C" w:rsidRDefault="00EB41CD">
      <w:pPr>
        <w:spacing w:line="276" w:lineRule="auto"/>
        <w:jc w:val="both"/>
        <w:rPr>
          <w:rFonts w:ascii="HelveticaNeueLT Std" w:hAnsi="HelveticaNeueLT Std"/>
        </w:rPr>
      </w:pPr>
      <w:r w:rsidRPr="004F039C">
        <w:rPr>
          <w:rFonts w:ascii="HelveticaNeueLT Std" w:hAnsi="HelveticaNeueLT Std"/>
        </w:rPr>
        <w:t xml:space="preserve">No existen partes </w:t>
      </w:r>
      <w:r w:rsidRPr="004F039C">
        <w:rPr>
          <w:rFonts w:ascii="HelveticaNeueLT Std" w:hAnsi="HelveticaNeueLT Std"/>
        </w:rPr>
        <w:t>relacionadas que pudieran ejercer influencia significativa sobre la toma de decisiones financieras y operativas en este Instituto.</w:t>
      </w:r>
    </w:p>
    <w:p w14:paraId="1FA851FA" w14:textId="77777777" w:rsidR="004F660A" w:rsidRPr="004F039C" w:rsidRDefault="00EB41CD">
      <w:pPr>
        <w:numPr>
          <w:ilvl w:val="0"/>
          <w:numId w:val="7"/>
        </w:numPr>
        <w:spacing w:after="0" w:line="276" w:lineRule="auto"/>
        <w:ind w:left="851"/>
        <w:jc w:val="both"/>
        <w:rPr>
          <w:rFonts w:ascii="HelveticaNeueLT Std" w:hAnsi="HelveticaNeueLT Std"/>
          <w:b/>
        </w:rPr>
      </w:pPr>
      <w:r w:rsidRPr="004F039C">
        <w:rPr>
          <w:rFonts w:ascii="HelveticaNeueLT Std" w:hAnsi="HelveticaNeueLT Std"/>
          <w:b/>
        </w:rPr>
        <w:t>Responsabilidad Sobre la Presentación Razonable de los Estados Financieros</w:t>
      </w:r>
    </w:p>
    <w:p w14:paraId="0158F88C" w14:textId="7C8F3ED2" w:rsidR="004F660A" w:rsidRPr="004F039C" w:rsidRDefault="00EB41CD" w:rsidP="00FA4430">
      <w:pPr>
        <w:spacing w:line="276" w:lineRule="auto"/>
        <w:jc w:val="both"/>
        <w:rPr>
          <w:rFonts w:ascii="HelveticaNeueLT Std" w:hAnsi="HelveticaNeueLT Std"/>
        </w:rPr>
      </w:pPr>
      <w:r w:rsidRPr="004F039C">
        <w:rPr>
          <w:rFonts w:ascii="HelveticaNeueLT Std" w:hAnsi="HelveticaNeueLT Std"/>
        </w:rPr>
        <w:t xml:space="preserve">“Bajo protesta de decir verdad declaramos que los </w:t>
      </w:r>
      <w:r w:rsidRPr="004F039C">
        <w:rPr>
          <w:rFonts w:ascii="HelveticaNeueLT Std" w:hAnsi="HelveticaNeueLT Std"/>
        </w:rPr>
        <w:t>Estados Financieros y sus Notas, son razonablemente correctos y son responsabilidad del emisor”.</w:t>
      </w:r>
      <w:r w:rsidRPr="004F039C">
        <w:rPr>
          <w:rFonts w:ascii="HelveticaNeueLT Std" w:hAnsi="HelveticaNeueLT Std"/>
          <w:b/>
        </w:rPr>
        <w:t>Firmas:</w:t>
      </w:r>
    </w:p>
    <w:tbl>
      <w:tblPr>
        <w:tblStyle w:val="a1"/>
        <w:tblW w:w="102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gridCol w:w="3456"/>
        <w:gridCol w:w="3816"/>
      </w:tblGrid>
      <w:tr w:rsidR="004F660A" w:rsidRPr="004F039C" w14:paraId="4DE57883" w14:textId="77777777">
        <w:trPr>
          <w:trHeight w:val="617"/>
        </w:trPr>
        <w:tc>
          <w:tcPr>
            <w:tcW w:w="3006" w:type="dxa"/>
          </w:tcPr>
          <w:p w14:paraId="4D43BA6C" w14:textId="77777777" w:rsidR="004F660A" w:rsidRPr="004F039C" w:rsidRDefault="004F660A">
            <w:pPr>
              <w:spacing w:line="276" w:lineRule="auto"/>
              <w:jc w:val="both"/>
              <w:rPr>
                <w:rFonts w:ascii="HelveticaNeueLT Std" w:eastAsia="Helvetica Neue" w:hAnsi="HelveticaNeueLT Std" w:cs="Helvetica Neue"/>
                <w:sz w:val="18"/>
                <w:szCs w:val="18"/>
              </w:rPr>
            </w:pPr>
          </w:p>
          <w:p w14:paraId="3A53977B" w14:textId="77777777" w:rsidR="004F660A" w:rsidRPr="004F039C" w:rsidRDefault="004F660A">
            <w:pPr>
              <w:spacing w:line="276" w:lineRule="auto"/>
              <w:jc w:val="both"/>
              <w:rPr>
                <w:rFonts w:ascii="HelveticaNeueLT Std" w:eastAsia="Helvetica Neue" w:hAnsi="HelveticaNeueLT Std" w:cs="Helvetica Neue"/>
                <w:sz w:val="18"/>
                <w:szCs w:val="18"/>
              </w:rPr>
            </w:pPr>
          </w:p>
          <w:p w14:paraId="33E70B3F" w14:textId="77777777" w:rsidR="004F660A" w:rsidRPr="004F039C" w:rsidRDefault="004F660A">
            <w:pPr>
              <w:spacing w:line="276" w:lineRule="auto"/>
              <w:jc w:val="both"/>
              <w:rPr>
                <w:rFonts w:ascii="HelveticaNeueLT Std" w:eastAsia="Helvetica Neue" w:hAnsi="HelveticaNeueLT Std" w:cs="Helvetica Neue"/>
                <w:sz w:val="18"/>
                <w:szCs w:val="18"/>
              </w:rPr>
            </w:pPr>
          </w:p>
          <w:p w14:paraId="41A74741" w14:textId="77777777" w:rsidR="004F660A" w:rsidRPr="004F039C" w:rsidRDefault="00EB41CD">
            <w:pPr>
              <w:spacing w:line="276" w:lineRule="auto"/>
              <w:jc w:val="both"/>
              <w:rPr>
                <w:rFonts w:ascii="HelveticaNeueLT Std" w:eastAsia="Helvetica Neue" w:hAnsi="HelveticaNeueLT Std" w:cs="Helvetica Neue"/>
                <w:sz w:val="18"/>
                <w:szCs w:val="18"/>
              </w:rPr>
            </w:pPr>
            <w:r w:rsidRPr="004F039C">
              <w:rPr>
                <w:rFonts w:ascii="HelveticaNeueLT Std" w:eastAsia="Helvetica Neue" w:hAnsi="HelveticaNeueLT Std" w:cs="Helvetica Neue"/>
                <w:sz w:val="18"/>
                <w:szCs w:val="18"/>
              </w:rPr>
              <w:t>_______________________________</w:t>
            </w:r>
          </w:p>
          <w:p w14:paraId="49655A82" w14:textId="77777777" w:rsidR="004F660A" w:rsidRPr="004F039C" w:rsidRDefault="00EB41CD">
            <w:pPr>
              <w:spacing w:line="276" w:lineRule="auto"/>
              <w:jc w:val="center"/>
              <w:rPr>
                <w:rFonts w:ascii="HelveticaNeueLT Std" w:eastAsia="Helvetica Neue" w:hAnsi="HelveticaNeueLT Std" w:cs="Helvetica Neue"/>
                <w:sz w:val="18"/>
                <w:szCs w:val="18"/>
              </w:rPr>
            </w:pPr>
            <w:r w:rsidRPr="004F039C">
              <w:rPr>
                <w:rFonts w:ascii="HelveticaNeueLT Std" w:eastAsia="Helvetica Neue" w:hAnsi="HelveticaNeueLT Std" w:cs="Helvetica Neue"/>
                <w:sz w:val="18"/>
                <w:szCs w:val="18"/>
              </w:rPr>
              <w:t>M.A.P. Antonio Hernández Tenorio</w:t>
            </w:r>
          </w:p>
          <w:p w14:paraId="504E1B85" w14:textId="77777777" w:rsidR="004F660A" w:rsidRPr="004F039C" w:rsidRDefault="00EB41CD">
            <w:pPr>
              <w:tabs>
                <w:tab w:val="left" w:pos="3994"/>
              </w:tabs>
              <w:spacing w:line="276" w:lineRule="auto"/>
              <w:jc w:val="center"/>
              <w:rPr>
                <w:rFonts w:ascii="HelveticaNeueLT Std" w:eastAsia="Helvetica Neue" w:hAnsi="HelveticaNeueLT Std" w:cs="Helvetica Neue"/>
                <w:sz w:val="18"/>
                <w:szCs w:val="18"/>
              </w:rPr>
            </w:pPr>
            <w:r w:rsidRPr="004F039C">
              <w:rPr>
                <w:rFonts w:ascii="HelveticaNeueLT Std" w:eastAsia="Helvetica Neue" w:hAnsi="HelveticaNeueLT Std" w:cs="Helvetica Neue"/>
                <w:b/>
                <w:sz w:val="18"/>
                <w:szCs w:val="18"/>
              </w:rPr>
              <w:t>Subdirector de Finanzas</w:t>
            </w:r>
          </w:p>
        </w:tc>
        <w:tc>
          <w:tcPr>
            <w:tcW w:w="3456" w:type="dxa"/>
          </w:tcPr>
          <w:p w14:paraId="5F82A58A" w14:textId="77777777" w:rsidR="004F660A" w:rsidRPr="004F039C" w:rsidRDefault="004F660A">
            <w:pPr>
              <w:spacing w:line="276" w:lineRule="auto"/>
              <w:jc w:val="center"/>
              <w:rPr>
                <w:rFonts w:ascii="HelveticaNeueLT Std" w:eastAsia="Helvetica Neue" w:hAnsi="HelveticaNeueLT Std" w:cs="Helvetica Neue"/>
                <w:sz w:val="18"/>
                <w:szCs w:val="18"/>
              </w:rPr>
            </w:pPr>
          </w:p>
          <w:p w14:paraId="32159260" w14:textId="77777777" w:rsidR="004F660A" w:rsidRPr="004F039C" w:rsidRDefault="004F660A">
            <w:pPr>
              <w:spacing w:line="276" w:lineRule="auto"/>
              <w:jc w:val="center"/>
              <w:rPr>
                <w:rFonts w:ascii="HelveticaNeueLT Std" w:eastAsia="Helvetica Neue" w:hAnsi="HelveticaNeueLT Std" w:cs="Helvetica Neue"/>
                <w:sz w:val="18"/>
                <w:szCs w:val="18"/>
              </w:rPr>
            </w:pPr>
          </w:p>
          <w:p w14:paraId="009D2E4B" w14:textId="77777777" w:rsidR="004F660A" w:rsidRPr="004F039C" w:rsidRDefault="004F660A">
            <w:pPr>
              <w:spacing w:line="276" w:lineRule="auto"/>
              <w:jc w:val="center"/>
              <w:rPr>
                <w:rFonts w:ascii="HelveticaNeueLT Std" w:eastAsia="Helvetica Neue" w:hAnsi="HelveticaNeueLT Std" w:cs="Helvetica Neue"/>
                <w:sz w:val="18"/>
                <w:szCs w:val="18"/>
              </w:rPr>
            </w:pPr>
          </w:p>
          <w:p w14:paraId="29059650" w14:textId="77777777" w:rsidR="004F660A" w:rsidRPr="004F039C" w:rsidRDefault="00EB41CD">
            <w:pPr>
              <w:spacing w:line="276" w:lineRule="auto"/>
              <w:jc w:val="center"/>
              <w:rPr>
                <w:rFonts w:ascii="HelveticaNeueLT Std" w:eastAsia="Helvetica Neue" w:hAnsi="HelveticaNeueLT Std" w:cs="Helvetica Neue"/>
                <w:sz w:val="18"/>
                <w:szCs w:val="18"/>
              </w:rPr>
            </w:pPr>
            <w:r w:rsidRPr="004F039C">
              <w:rPr>
                <w:rFonts w:ascii="HelveticaNeueLT Std" w:eastAsia="Helvetica Neue" w:hAnsi="HelveticaNeueLT Std" w:cs="Helvetica Neue"/>
                <w:sz w:val="18"/>
                <w:szCs w:val="18"/>
              </w:rPr>
              <w:t>____________________________________</w:t>
            </w:r>
          </w:p>
          <w:p w14:paraId="56645534" w14:textId="77777777" w:rsidR="004F660A" w:rsidRPr="004F039C" w:rsidRDefault="00EB41CD">
            <w:pPr>
              <w:spacing w:line="276" w:lineRule="auto"/>
              <w:jc w:val="center"/>
              <w:rPr>
                <w:rFonts w:ascii="HelveticaNeueLT Std" w:eastAsia="Helvetica Neue" w:hAnsi="HelveticaNeueLT Std" w:cs="Helvetica Neue"/>
                <w:sz w:val="18"/>
                <w:szCs w:val="18"/>
              </w:rPr>
            </w:pPr>
            <w:r w:rsidRPr="004F039C">
              <w:rPr>
                <w:rFonts w:ascii="HelveticaNeueLT Std" w:eastAsia="Helvetica Neue" w:hAnsi="HelveticaNeueLT Std" w:cs="Helvetica Neue"/>
                <w:sz w:val="18"/>
                <w:szCs w:val="18"/>
              </w:rPr>
              <w:t>L.A.E. Raúl Napoleón</w:t>
            </w:r>
            <w:r w:rsidRPr="004F039C">
              <w:rPr>
                <w:rFonts w:ascii="HelveticaNeueLT Std" w:eastAsia="Helvetica Neue" w:hAnsi="HelveticaNeueLT Std" w:cs="Helvetica Neue"/>
                <w:sz w:val="18"/>
                <w:szCs w:val="18"/>
              </w:rPr>
              <w:t xml:space="preserve"> Lazcano Martínez</w:t>
            </w:r>
          </w:p>
          <w:p w14:paraId="62257E92" w14:textId="77777777" w:rsidR="004F660A" w:rsidRPr="004F039C" w:rsidRDefault="00EB41CD">
            <w:pPr>
              <w:tabs>
                <w:tab w:val="left" w:pos="3994"/>
              </w:tabs>
              <w:spacing w:line="276" w:lineRule="auto"/>
              <w:jc w:val="center"/>
              <w:rPr>
                <w:rFonts w:ascii="HelveticaNeueLT Std" w:eastAsia="Helvetica Neue" w:hAnsi="HelveticaNeueLT Std" w:cs="Helvetica Neue"/>
                <w:sz w:val="18"/>
                <w:szCs w:val="18"/>
              </w:rPr>
            </w:pPr>
            <w:r w:rsidRPr="004F039C">
              <w:rPr>
                <w:rFonts w:ascii="HelveticaNeueLT Std" w:eastAsia="Helvetica Neue" w:hAnsi="HelveticaNeueLT Std" w:cs="Helvetica Neue"/>
                <w:b/>
                <w:sz w:val="18"/>
                <w:szCs w:val="18"/>
              </w:rPr>
              <w:t>Director de Administración y Finanzas</w:t>
            </w:r>
          </w:p>
        </w:tc>
        <w:tc>
          <w:tcPr>
            <w:tcW w:w="3816" w:type="dxa"/>
          </w:tcPr>
          <w:p w14:paraId="5375A4EB" w14:textId="77777777" w:rsidR="004F660A" w:rsidRPr="004F039C" w:rsidRDefault="004F660A">
            <w:pPr>
              <w:spacing w:line="276" w:lineRule="auto"/>
              <w:jc w:val="both"/>
              <w:rPr>
                <w:rFonts w:ascii="HelveticaNeueLT Std" w:eastAsia="Helvetica Neue" w:hAnsi="HelveticaNeueLT Std" w:cs="Helvetica Neue"/>
                <w:sz w:val="18"/>
                <w:szCs w:val="18"/>
              </w:rPr>
            </w:pPr>
          </w:p>
          <w:p w14:paraId="6344AB34" w14:textId="77777777" w:rsidR="004F660A" w:rsidRPr="004F039C" w:rsidRDefault="004F660A">
            <w:pPr>
              <w:spacing w:line="276" w:lineRule="auto"/>
              <w:jc w:val="both"/>
              <w:rPr>
                <w:rFonts w:ascii="HelveticaNeueLT Std" w:eastAsia="Helvetica Neue" w:hAnsi="HelveticaNeueLT Std" w:cs="Helvetica Neue"/>
                <w:sz w:val="18"/>
                <w:szCs w:val="18"/>
              </w:rPr>
            </w:pPr>
          </w:p>
          <w:p w14:paraId="5C68CFF1" w14:textId="77777777" w:rsidR="004F660A" w:rsidRPr="004F039C" w:rsidRDefault="004F660A">
            <w:pPr>
              <w:spacing w:line="276" w:lineRule="auto"/>
              <w:jc w:val="both"/>
              <w:rPr>
                <w:rFonts w:ascii="HelveticaNeueLT Std" w:eastAsia="Helvetica Neue" w:hAnsi="HelveticaNeueLT Std" w:cs="Helvetica Neue"/>
                <w:sz w:val="18"/>
                <w:szCs w:val="18"/>
              </w:rPr>
            </w:pPr>
          </w:p>
          <w:p w14:paraId="3BFE3987" w14:textId="77777777" w:rsidR="004F660A" w:rsidRPr="004F039C" w:rsidRDefault="00EB41CD">
            <w:pPr>
              <w:spacing w:line="276" w:lineRule="auto"/>
              <w:jc w:val="center"/>
              <w:rPr>
                <w:rFonts w:ascii="HelveticaNeueLT Std" w:eastAsia="Helvetica Neue" w:hAnsi="HelveticaNeueLT Std" w:cs="Helvetica Neue"/>
                <w:sz w:val="18"/>
                <w:szCs w:val="18"/>
              </w:rPr>
            </w:pPr>
            <w:r w:rsidRPr="004F039C">
              <w:rPr>
                <w:rFonts w:ascii="HelveticaNeueLT Std" w:eastAsia="Helvetica Neue" w:hAnsi="HelveticaNeueLT Std" w:cs="Helvetica Neue"/>
                <w:sz w:val="18"/>
                <w:szCs w:val="18"/>
              </w:rPr>
              <w:t>________________________________________</w:t>
            </w:r>
          </w:p>
          <w:p w14:paraId="22F1B5E1" w14:textId="77777777" w:rsidR="004F660A" w:rsidRPr="004F039C" w:rsidRDefault="00EB41CD">
            <w:pPr>
              <w:spacing w:line="276" w:lineRule="auto"/>
              <w:jc w:val="center"/>
              <w:rPr>
                <w:rFonts w:ascii="HelveticaNeueLT Std" w:eastAsia="Helvetica Neue" w:hAnsi="HelveticaNeueLT Std" w:cs="Helvetica Neue"/>
                <w:sz w:val="18"/>
                <w:szCs w:val="18"/>
              </w:rPr>
            </w:pPr>
            <w:r w:rsidRPr="004F039C">
              <w:rPr>
                <w:rFonts w:ascii="HelveticaNeueLT Std" w:eastAsia="Helvetica Neue" w:hAnsi="HelveticaNeueLT Std" w:cs="Helvetica Neue"/>
                <w:sz w:val="18"/>
                <w:szCs w:val="18"/>
              </w:rPr>
              <w:t>L. en D. Christian Gerardo Gasca Droppert</w:t>
            </w:r>
          </w:p>
          <w:p w14:paraId="2DDB374E" w14:textId="77777777" w:rsidR="004F660A" w:rsidRPr="004F039C" w:rsidRDefault="00EB41CD">
            <w:pPr>
              <w:tabs>
                <w:tab w:val="left" w:pos="3994"/>
              </w:tabs>
              <w:spacing w:line="276" w:lineRule="auto"/>
              <w:jc w:val="center"/>
              <w:rPr>
                <w:rFonts w:ascii="HelveticaNeueLT Std" w:eastAsia="Helvetica Neue" w:hAnsi="HelveticaNeueLT Std" w:cs="Helvetica Neue"/>
                <w:sz w:val="18"/>
                <w:szCs w:val="18"/>
              </w:rPr>
            </w:pPr>
            <w:r w:rsidRPr="004F039C">
              <w:rPr>
                <w:rFonts w:ascii="HelveticaNeueLT Std" w:eastAsia="Helvetica Neue" w:hAnsi="HelveticaNeueLT Std" w:cs="Helvetica Neue"/>
                <w:b/>
                <w:sz w:val="18"/>
                <w:szCs w:val="18"/>
              </w:rPr>
              <w:t>Director General del IFREM</w:t>
            </w:r>
          </w:p>
        </w:tc>
      </w:tr>
    </w:tbl>
    <w:p w14:paraId="774D16DF" w14:textId="77777777" w:rsidR="004F660A" w:rsidRPr="004F039C" w:rsidRDefault="004F660A">
      <w:pPr>
        <w:spacing w:line="276" w:lineRule="auto"/>
        <w:jc w:val="both"/>
        <w:rPr>
          <w:rFonts w:ascii="HelveticaNeueLT Std" w:hAnsi="HelveticaNeueLT Std"/>
        </w:rPr>
      </w:pPr>
    </w:p>
    <w:sectPr w:rsidR="004F660A" w:rsidRPr="004F039C" w:rsidSect="0040555E">
      <w:headerReference w:type="default" r:id="rId34"/>
      <w:footerReference w:type="default" r:id="rId35"/>
      <w:pgSz w:w="12240" w:h="15840"/>
      <w:pgMar w:top="1418" w:right="616" w:bottom="1560" w:left="1276" w:header="0" w:footer="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9DF63B" w14:textId="77777777" w:rsidR="00EB41CD" w:rsidRDefault="00EB41CD">
      <w:pPr>
        <w:spacing w:after="0" w:line="240" w:lineRule="auto"/>
      </w:pPr>
      <w:r>
        <w:separator/>
      </w:r>
    </w:p>
  </w:endnote>
  <w:endnote w:type="continuationSeparator" w:id="0">
    <w:p w14:paraId="43C24A0D" w14:textId="77777777" w:rsidR="00EB41CD" w:rsidRDefault="00EB41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NeueLT Std">
    <w:altName w:val="Arial"/>
    <w:panose1 w:val="020B0604020202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3837D" w14:textId="6ABDD33B" w:rsidR="004F660A" w:rsidRDefault="004F660A">
    <w:pPr>
      <w:tabs>
        <w:tab w:val="left" w:pos="5685"/>
        <w:tab w:val="left" w:pos="8745"/>
        <w:tab w:val="right" w:pos="10062"/>
      </w:tabs>
    </w:pPr>
  </w:p>
  <w:p w14:paraId="34D815C6" w14:textId="59BE5B3D" w:rsidR="004F660A" w:rsidRDefault="008A4EA3">
    <w:pPr>
      <w:tabs>
        <w:tab w:val="left" w:pos="5685"/>
        <w:tab w:val="left" w:pos="8745"/>
        <w:tab w:val="right" w:pos="10062"/>
      </w:tabs>
    </w:pPr>
    <w:r>
      <w:rPr>
        <w:noProof/>
      </w:rPr>
      <w:drawing>
        <wp:anchor distT="0" distB="0" distL="0" distR="0" simplePos="0" relativeHeight="251659264" behindDoc="1" locked="0" layoutInCell="1" hidden="0" allowOverlap="1" wp14:anchorId="5364D14A" wp14:editId="1A243DE8">
          <wp:simplePos x="0" y="0"/>
          <wp:positionH relativeFrom="page">
            <wp:align>left</wp:align>
          </wp:positionH>
          <wp:positionV relativeFrom="paragraph">
            <wp:posOffset>288704</wp:posOffset>
          </wp:positionV>
          <wp:extent cx="7760970" cy="1419225"/>
          <wp:effectExtent l="0" t="0" r="0" b="9525"/>
          <wp:wrapNone/>
          <wp:docPr id="52" name="Imagen 52"/>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
                  <a:srcRect/>
                  <a:stretch>
                    <a:fillRect/>
                  </a:stretch>
                </pic:blipFill>
                <pic:spPr>
                  <a:xfrm>
                    <a:off x="0" y="0"/>
                    <a:ext cx="7760970" cy="1419225"/>
                  </a:xfrm>
                  <a:prstGeom prst="rect">
                    <a:avLst/>
                  </a:prstGeom>
                  <a:ln/>
                </pic:spPr>
              </pic:pic>
            </a:graphicData>
          </a:graphic>
        </wp:anchor>
      </w:drawing>
    </w:r>
    <w:r>
      <w:tab/>
    </w:r>
  </w:p>
  <w:p w14:paraId="60C80BB8" w14:textId="047E7467" w:rsidR="004F660A" w:rsidRDefault="00EB41CD">
    <w:pPr>
      <w:tabs>
        <w:tab w:val="left" w:pos="1635"/>
        <w:tab w:val="center" w:pos="5031"/>
        <w:tab w:val="left" w:pos="6360"/>
        <w:tab w:val="left" w:pos="8445"/>
        <w:tab w:val="right" w:pos="10062"/>
      </w:tabs>
    </w:pPr>
    <w:r>
      <w:tab/>
    </w:r>
    <w:r>
      <w:tab/>
    </w:r>
    <w:r>
      <w:rPr>
        <w:b/>
      </w:rPr>
      <w:fldChar w:fldCharType="begin"/>
    </w:r>
    <w:r>
      <w:rPr>
        <w:b/>
      </w:rPr>
      <w:instrText>PAGE</w:instrText>
    </w:r>
    <w:r>
      <w:rPr>
        <w:b/>
      </w:rPr>
      <w:fldChar w:fldCharType="separate"/>
    </w:r>
    <w:r w:rsidR="00974D78">
      <w:rPr>
        <w:b/>
        <w:noProof/>
      </w:rPr>
      <w:t>10</w:t>
    </w:r>
    <w:r>
      <w:rPr>
        <w:b/>
      </w:rPr>
      <w:fldChar w:fldCharType="end"/>
    </w:r>
    <w:r>
      <w:t xml:space="preserve"> de </w:t>
    </w:r>
    <w:r>
      <w:rPr>
        <w:b/>
      </w:rPr>
      <w:fldChar w:fldCharType="begin"/>
    </w:r>
    <w:r>
      <w:rPr>
        <w:b/>
      </w:rPr>
      <w:instrText>NUMPAGES</w:instrText>
    </w:r>
    <w:r>
      <w:rPr>
        <w:b/>
      </w:rPr>
      <w:fldChar w:fldCharType="separate"/>
    </w:r>
    <w:r w:rsidR="00974D78">
      <w:rPr>
        <w:b/>
        <w:noProof/>
      </w:rPr>
      <w:t>30</w:t>
    </w:r>
    <w:r>
      <w:rPr>
        <w:b/>
      </w:rPr>
      <w:fldChar w:fldCharType="end"/>
    </w:r>
  </w:p>
  <w:p w14:paraId="757673EC" w14:textId="77777777" w:rsidR="004F660A" w:rsidRDefault="00EB41CD">
    <w:pPr>
      <w:tabs>
        <w:tab w:val="left" w:pos="1635"/>
        <w:tab w:val="center" w:pos="5031"/>
        <w:tab w:val="left" w:pos="6360"/>
        <w:tab w:val="left" w:pos="8445"/>
        <w:tab w:val="right" w:pos="10062"/>
      </w:tabs>
    </w:pPr>
    <w:r>
      <w:tab/>
    </w:r>
    <w:r>
      <w:tab/>
    </w:r>
    <w:r>
      <w:tab/>
    </w:r>
  </w:p>
  <w:p w14:paraId="5C4A1C05" w14:textId="77777777" w:rsidR="004F660A" w:rsidRDefault="004F660A">
    <w:pPr>
      <w:pBdr>
        <w:top w:val="nil"/>
        <w:left w:val="nil"/>
        <w:bottom w:val="nil"/>
        <w:right w:val="nil"/>
        <w:between w:val="nil"/>
      </w:pBdr>
      <w:tabs>
        <w:tab w:val="center" w:pos="4419"/>
        <w:tab w:val="right" w:pos="8838"/>
      </w:tabs>
      <w:spacing w:after="0" w:line="240" w:lineRule="auto"/>
      <w:jc w:val="center"/>
      <w:rPr>
        <w:color w:val="000000"/>
      </w:rPr>
    </w:pPr>
  </w:p>
  <w:p w14:paraId="2221CC40" w14:textId="77777777" w:rsidR="004F660A" w:rsidRDefault="004F660A">
    <w:pPr>
      <w:pBdr>
        <w:top w:val="nil"/>
        <w:left w:val="nil"/>
        <w:bottom w:val="nil"/>
        <w:right w:val="nil"/>
        <w:between w:val="nil"/>
      </w:pBdr>
      <w:tabs>
        <w:tab w:val="center" w:pos="4419"/>
        <w:tab w:val="right" w:pos="8838"/>
      </w:tabs>
      <w:spacing w:after="0" w:line="240" w:lineRule="auto"/>
      <w:jc w:val="right"/>
      <w:rPr>
        <w:color w:val="000000"/>
      </w:rPr>
    </w:pPr>
  </w:p>
  <w:p w14:paraId="05A58454" w14:textId="77777777" w:rsidR="004F660A" w:rsidRDefault="004F660A">
    <w:pPr>
      <w:pBdr>
        <w:top w:val="nil"/>
        <w:left w:val="nil"/>
        <w:bottom w:val="nil"/>
        <w:right w:val="nil"/>
        <w:between w:val="nil"/>
      </w:pBdr>
      <w:tabs>
        <w:tab w:val="center" w:pos="4419"/>
        <w:tab w:val="right" w:pos="8838"/>
      </w:tabs>
      <w:spacing w:after="0" w:line="240" w:lineRule="auto"/>
      <w:jc w:val="center"/>
      <w:rPr>
        <w:color w:val="000000"/>
      </w:rPr>
    </w:pPr>
  </w:p>
  <w:p w14:paraId="39D22C29" w14:textId="77777777" w:rsidR="004F660A" w:rsidRDefault="00EB41CD">
    <w:pPr>
      <w:pBdr>
        <w:top w:val="nil"/>
        <w:left w:val="nil"/>
        <w:bottom w:val="nil"/>
        <w:right w:val="nil"/>
        <w:between w:val="nil"/>
      </w:pBdr>
      <w:tabs>
        <w:tab w:val="center" w:pos="4419"/>
        <w:tab w:val="right" w:pos="8838"/>
        <w:tab w:val="center" w:pos="5031"/>
        <w:tab w:val="left" w:pos="8520"/>
      </w:tabs>
      <w:spacing w:after="0" w:line="240" w:lineRule="auto"/>
      <w:rPr>
        <w:color w:val="000000"/>
      </w:rPr>
    </w:pPr>
    <w:r>
      <w:rPr>
        <w:color w:val="000000"/>
      </w:rPr>
      <w:tab/>
    </w:r>
    <w:r>
      <w:rPr>
        <w:color w:val="000000"/>
      </w:rPr>
      <w:tab/>
    </w:r>
    <w:r>
      <w:rPr>
        <w:color w:val="000000"/>
      </w:rPr>
      <w:tab/>
    </w:r>
  </w:p>
  <w:p w14:paraId="4EF4E9B9" w14:textId="77777777" w:rsidR="004F660A" w:rsidRDefault="00EB41CD">
    <w:pPr>
      <w:pBdr>
        <w:top w:val="nil"/>
        <w:left w:val="nil"/>
        <w:bottom w:val="nil"/>
        <w:right w:val="nil"/>
        <w:between w:val="nil"/>
      </w:pBdr>
      <w:tabs>
        <w:tab w:val="center" w:pos="4419"/>
        <w:tab w:val="right" w:pos="8838"/>
        <w:tab w:val="center" w:pos="4181"/>
        <w:tab w:val="left" w:pos="8838"/>
      </w:tabs>
      <w:spacing w:after="0" w:line="240" w:lineRule="auto"/>
      <w:ind w:left="-1701"/>
      <w:rPr>
        <w:color w:val="000000"/>
      </w:rPr>
    </w:pPr>
    <w:r>
      <w:rPr>
        <w:color w:val="000000"/>
      </w:rPr>
      <w:t xml:space="preserve"> </w:t>
    </w:r>
    <w:r>
      <w:rPr>
        <w:color w:val="000000"/>
      </w:rPr>
      <w:tab/>
    </w:r>
    <w:r>
      <w:rPr>
        <w:color w:val="000000"/>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6C9BB2" w14:textId="77777777" w:rsidR="00EB41CD" w:rsidRDefault="00EB41CD">
      <w:pPr>
        <w:spacing w:after="0" w:line="240" w:lineRule="auto"/>
      </w:pPr>
      <w:r>
        <w:separator/>
      </w:r>
    </w:p>
  </w:footnote>
  <w:footnote w:type="continuationSeparator" w:id="0">
    <w:p w14:paraId="639D290C" w14:textId="77777777" w:rsidR="00EB41CD" w:rsidRDefault="00EB41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D6611" w14:textId="77777777" w:rsidR="004F660A" w:rsidRDefault="00EB41CD">
    <w:pPr>
      <w:pBdr>
        <w:top w:val="nil"/>
        <w:left w:val="nil"/>
        <w:bottom w:val="nil"/>
        <w:right w:val="nil"/>
        <w:between w:val="nil"/>
      </w:pBdr>
      <w:tabs>
        <w:tab w:val="center" w:pos="4419"/>
        <w:tab w:val="right" w:pos="8838"/>
      </w:tabs>
      <w:spacing w:after="0" w:line="240" w:lineRule="auto"/>
      <w:ind w:left="-1560" w:right="-1652"/>
      <w:jc w:val="center"/>
      <w:rPr>
        <w:color w:val="000000"/>
      </w:rPr>
    </w:pPr>
    <w:r>
      <w:rPr>
        <w:noProof/>
        <w:color w:val="000000"/>
      </w:rPr>
      <w:drawing>
        <wp:anchor distT="0" distB="0" distL="0" distR="0" simplePos="0" relativeHeight="251658240" behindDoc="1" locked="0" layoutInCell="1" hidden="0" allowOverlap="1" wp14:anchorId="5121E33E" wp14:editId="1C17AD6C">
          <wp:simplePos x="0" y="0"/>
          <wp:positionH relativeFrom="page">
            <wp:posOffset>209550</wp:posOffset>
          </wp:positionH>
          <wp:positionV relativeFrom="page">
            <wp:posOffset>161925</wp:posOffset>
          </wp:positionV>
          <wp:extent cx="7356475" cy="657225"/>
          <wp:effectExtent l="0" t="0" r="0" b="0"/>
          <wp:wrapNone/>
          <wp:docPr id="51" name="Imagen 51" descr="C:\Users\Bruce\Google Drive\U - Informática_\Diseño Grafico\Diseño 2018\Hoja Membretada 2018\VertiUper.png"/>
          <wp:cNvGraphicFramePr/>
          <a:graphic xmlns:a="http://schemas.openxmlformats.org/drawingml/2006/main">
            <a:graphicData uri="http://schemas.openxmlformats.org/drawingml/2006/picture">
              <pic:pic xmlns:pic="http://schemas.openxmlformats.org/drawingml/2006/picture">
                <pic:nvPicPr>
                  <pic:cNvPr id="0" name="image1.png" descr="C:\Users\Bruce\Google Drive\U - Informática_\Diseño Grafico\Diseño 2018\Hoja Membretada 2018\VertiUper.png"/>
                  <pic:cNvPicPr preferRelativeResize="0"/>
                </pic:nvPicPr>
                <pic:blipFill>
                  <a:blip r:embed="rId1"/>
                  <a:srcRect/>
                  <a:stretch>
                    <a:fillRect/>
                  </a:stretch>
                </pic:blipFill>
                <pic:spPr>
                  <a:xfrm>
                    <a:off x="0" y="0"/>
                    <a:ext cx="7356475" cy="657225"/>
                  </a:xfrm>
                  <a:prstGeom prst="rect">
                    <a:avLst/>
                  </a:prstGeom>
                  <a:ln/>
                </pic:spPr>
              </pic:pic>
            </a:graphicData>
          </a:graphic>
        </wp:anchor>
      </w:drawing>
    </w:r>
  </w:p>
  <w:p w14:paraId="4D9192A9" w14:textId="77777777" w:rsidR="004F660A" w:rsidRDefault="004F660A">
    <w:pPr>
      <w:pBdr>
        <w:top w:val="nil"/>
        <w:left w:val="nil"/>
        <w:bottom w:val="nil"/>
        <w:right w:val="nil"/>
        <w:between w:val="nil"/>
      </w:pBdr>
      <w:tabs>
        <w:tab w:val="center" w:pos="4419"/>
        <w:tab w:val="right" w:pos="8838"/>
      </w:tabs>
      <w:spacing w:after="0" w:line="240" w:lineRule="auto"/>
      <w:ind w:left="-1560" w:right="-1652"/>
      <w:jc w:val="center"/>
      <w:rPr>
        <w:color w:val="000000"/>
      </w:rPr>
    </w:pPr>
  </w:p>
  <w:p w14:paraId="64B43A3B" w14:textId="77777777" w:rsidR="004F660A" w:rsidRDefault="004F660A">
    <w:pPr>
      <w:pBdr>
        <w:top w:val="nil"/>
        <w:left w:val="nil"/>
        <w:bottom w:val="nil"/>
        <w:right w:val="nil"/>
        <w:between w:val="nil"/>
      </w:pBdr>
      <w:tabs>
        <w:tab w:val="center" w:pos="4419"/>
        <w:tab w:val="right" w:pos="8838"/>
      </w:tabs>
      <w:spacing w:after="0" w:line="240" w:lineRule="auto"/>
      <w:ind w:left="-1560" w:right="-1652"/>
      <w:jc w:val="center"/>
      <w:rPr>
        <w:color w:val="000000"/>
      </w:rPr>
    </w:pPr>
  </w:p>
  <w:p w14:paraId="712AC54B" w14:textId="77777777" w:rsidR="004F660A" w:rsidRDefault="00EB41CD">
    <w:pPr>
      <w:pBdr>
        <w:top w:val="nil"/>
        <w:left w:val="nil"/>
        <w:bottom w:val="nil"/>
        <w:right w:val="nil"/>
        <w:between w:val="nil"/>
      </w:pBdr>
      <w:tabs>
        <w:tab w:val="center" w:pos="4419"/>
        <w:tab w:val="right" w:pos="8838"/>
        <w:tab w:val="left" w:pos="165"/>
        <w:tab w:val="left" w:pos="1710"/>
        <w:tab w:val="left" w:pos="5745"/>
      </w:tabs>
      <w:spacing w:after="0" w:line="240" w:lineRule="auto"/>
      <w:ind w:left="-1560" w:right="-1652"/>
      <w:rPr>
        <w:color w:val="000000"/>
      </w:rPr>
    </w:pPr>
    <w:r>
      <w:rPr>
        <w:color w:val="000000"/>
      </w:rPr>
      <w:tab/>
    </w:r>
    <w:r>
      <w:rPr>
        <w:color w:val="000000"/>
      </w:rPr>
      <w:tab/>
    </w:r>
    <w:r>
      <w:rPr>
        <w:color w:val="000000"/>
      </w:rPr>
      <w:tab/>
    </w:r>
  </w:p>
  <w:p w14:paraId="10DFC29D" w14:textId="77777777" w:rsidR="004F660A" w:rsidRDefault="00EB41CD">
    <w:pPr>
      <w:pBdr>
        <w:top w:val="nil"/>
        <w:left w:val="nil"/>
        <w:bottom w:val="nil"/>
        <w:right w:val="nil"/>
        <w:between w:val="nil"/>
      </w:pBdr>
      <w:tabs>
        <w:tab w:val="center" w:pos="4419"/>
        <w:tab w:val="right" w:pos="8838"/>
        <w:tab w:val="left" w:pos="6345"/>
      </w:tabs>
      <w:spacing w:after="0" w:line="240" w:lineRule="auto"/>
      <w:ind w:left="-1560" w:right="-1652"/>
      <w:rPr>
        <w:color w:val="000000"/>
      </w:rPr>
    </w:pPr>
    <w:r>
      <w:rPr>
        <w:color w:val="000000"/>
      </w:rPr>
      <w:tab/>
    </w:r>
  </w:p>
  <w:p w14:paraId="7339B7F4" w14:textId="77777777" w:rsidR="004F660A" w:rsidRDefault="00EB41CD">
    <w:pPr>
      <w:pBdr>
        <w:top w:val="nil"/>
        <w:left w:val="nil"/>
        <w:bottom w:val="nil"/>
        <w:right w:val="nil"/>
        <w:between w:val="nil"/>
      </w:pBdr>
      <w:tabs>
        <w:tab w:val="center" w:pos="4419"/>
        <w:tab w:val="right" w:pos="8838"/>
      </w:tabs>
      <w:spacing w:after="0" w:line="240" w:lineRule="auto"/>
      <w:jc w:val="center"/>
      <w:rPr>
        <w:b/>
        <w:color w:val="A6A6A6"/>
      </w:rPr>
    </w:pPr>
    <w:r>
      <w:rPr>
        <w:b/>
        <w:color w:val="000000"/>
      </w:rPr>
      <w:t>“2022. Año del Quincentenario de Toluca, Capital del Estado de México”.</w:t>
    </w:r>
  </w:p>
  <w:p w14:paraId="08531151" w14:textId="77777777" w:rsidR="004F660A" w:rsidRDefault="004F660A">
    <w:pPr>
      <w:pBdr>
        <w:top w:val="nil"/>
        <w:left w:val="nil"/>
        <w:bottom w:val="nil"/>
        <w:right w:val="nil"/>
        <w:between w:val="nil"/>
      </w:pBdr>
      <w:tabs>
        <w:tab w:val="center" w:pos="4419"/>
        <w:tab w:val="right" w:pos="8838"/>
      </w:tabs>
      <w:spacing w:after="0" w:line="240" w:lineRule="auto"/>
      <w:jc w:val="center"/>
      <w:rPr>
        <w:color w:val="000000"/>
        <w:sz w:val="14"/>
        <w:szCs w:val="1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65C87"/>
    <w:multiLevelType w:val="hybridMultilevel"/>
    <w:tmpl w:val="C758F8CC"/>
    <w:lvl w:ilvl="0" w:tplc="3CAE5246">
      <w:start w:val="13"/>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0E16F5"/>
    <w:multiLevelType w:val="multilevel"/>
    <w:tmpl w:val="ADE0074C"/>
    <w:lvl w:ilvl="0">
      <w:start w:val="1"/>
      <w:numFmt w:val="lowerLetter"/>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D161C4"/>
    <w:multiLevelType w:val="hybridMultilevel"/>
    <w:tmpl w:val="EFE266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BA25A10"/>
    <w:multiLevelType w:val="multilevel"/>
    <w:tmpl w:val="CEB23A52"/>
    <w:lvl w:ilvl="0">
      <w:numFmt w:val="decimal"/>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C4D6B77"/>
    <w:multiLevelType w:val="multilevel"/>
    <w:tmpl w:val="E9DEA86A"/>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35362DE"/>
    <w:multiLevelType w:val="multilevel"/>
    <w:tmpl w:val="55FE5718"/>
    <w:lvl w:ilvl="0">
      <w:start w:val="1"/>
      <w:numFmt w:val="upperRoman"/>
      <w:lvlText w:val="%1."/>
      <w:lvlJc w:val="righ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4A3D4116"/>
    <w:multiLevelType w:val="multilevel"/>
    <w:tmpl w:val="3EBC36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D07468E"/>
    <w:multiLevelType w:val="hybridMultilevel"/>
    <w:tmpl w:val="10C812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E974210"/>
    <w:multiLevelType w:val="multilevel"/>
    <w:tmpl w:val="6586410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566F2126"/>
    <w:multiLevelType w:val="multilevel"/>
    <w:tmpl w:val="C62CFD84"/>
    <w:lvl w:ilvl="0">
      <w:start w:val="1"/>
      <w:numFmt w:val="lowerLetter"/>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9743ACE"/>
    <w:multiLevelType w:val="multilevel"/>
    <w:tmpl w:val="7E7AAFE8"/>
    <w:lvl w:ilvl="0">
      <w:start w:val="1"/>
      <w:numFmt w:val="decimal"/>
      <w:lvlText w:val="%1."/>
      <w:lvlJc w:val="left"/>
      <w:pPr>
        <w:ind w:left="2487" w:hanging="360"/>
      </w:pPr>
      <w:rPr>
        <w:b/>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num w:numId="1">
    <w:abstractNumId w:val="9"/>
  </w:num>
  <w:num w:numId="2">
    <w:abstractNumId w:val="6"/>
  </w:num>
  <w:num w:numId="3">
    <w:abstractNumId w:val="5"/>
  </w:num>
  <w:num w:numId="4">
    <w:abstractNumId w:val="3"/>
  </w:num>
  <w:num w:numId="5">
    <w:abstractNumId w:val="8"/>
  </w:num>
  <w:num w:numId="6">
    <w:abstractNumId w:val="4"/>
  </w:num>
  <w:num w:numId="7">
    <w:abstractNumId w:val="10"/>
  </w:num>
  <w:num w:numId="8">
    <w:abstractNumId w:val="1"/>
  </w:num>
  <w:num w:numId="9">
    <w:abstractNumId w:val="7"/>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660A"/>
    <w:rsid w:val="000051CD"/>
    <w:rsid w:val="00057F24"/>
    <w:rsid w:val="00060A5F"/>
    <w:rsid w:val="0007575C"/>
    <w:rsid w:val="000A7500"/>
    <w:rsid w:val="000C0B1E"/>
    <w:rsid w:val="001107C7"/>
    <w:rsid w:val="00115F93"/>
    <w:rsid w:val="00191DB2"/>
    <w:rsid w:val="00196A01"/>
    <w:rsid w:val="001E57A5"/>
    <w:rsid w:val="002312D7"/>
    <w:rsid w:val="002323D6"/>
    <w:rsid w:val="002810EC"/>
    <w:rsid w:val="0029601D"/>
    <w:rsid w:val="002B35B7"/>
    <w:rsid w:val="002B42D1"/>
    <w:rsid w:val="00327755"/>
    <w:rsid w:val="00332C50"/>
    <w:rsid w:val="00336F44"/>
    <w:rsid w:val="00380953"/>
    <w:rsid w:val="0038321C"/>
    <w:rsid w:val="003A78D7"/>
    <w:rsid w:val="003B0FC1"/>
    <w:rsid w:val="003C641D"/>
    <w:rsid w:val="003D68C4"/>
    <w:rsid w:val="003F0EB5"/>
    <w:rsid w:val="0040555E"/>
    <w:rsid w:val="00416B86"/>
    <w:rsid w:val="00424EC5"/>
    <w:rsid w:val="00471F0E"/>
    <w:rsid w:val="004E1310"/>
    <w:rsid w:val="004F039C"/>
    <w:rsid w:val="004F660A"/>
    <w:rsid w:val="005010C4"/>
    <w:rsid w:val="00510329"/>
    <w:rsid w:val="00546184"/>
    <w:rsid w:val="00590D6E"/>
    <w:rsid w:val="005A11AB"/>
    <w:rsid w:val="005A7541"/>
    <w:rsid w:val="005B0B2E"/>
    <w:rsid w:val="005C3923"/>
    <w:rsid w:val="005C483A"/>
    <w:rsid w:val="005E6B70"/>
    <w:rsid w:val="005F17C5"/>
    <w:rsid w:val="005F18D1"/>
    <w:rsid w:val="005F2E22"/>
    <w:rsid w:val="00622304"/>
    <w:rsid w:val="00633076"/>
    <w:rsid w:val="00673C8C"/>
    <w:rsid w:val="0069085A"/>
    <w:rsid w:val="006A3228"/>
    <w:rsid w:val="006B294C"/>
    <w:rsid w:val="00721980"/>
    <w:rsid w:val="00727280"/>
    <w:rsid w:val="007309E8"/>
    <w:rsid w:val="00731755"/>
    <w:rsid w:val="00756433"/>
    <w:rsid w:val="00772A18"/>
    <w:rsid w:val="007D68C4"/>
    <w:rsid w:val="007F25AD"/>
    <w:rsid w:val="007F681B"/>
    <w:rsid w:val="00837FEE"/>
    <w:rsid w:val="00857712"/>
    <w:rsid w:val="008773A9"/>
    <w:rsid w:val="008830F9"/>
    <w:rsid w:val="008A4EA3"/>
    <w:rsid w:val="008A6D0D"/>
    <w:rsid w:val="008C4D7A"/>
    <w:rsid w:val="009222A8"/>
    <w:rsid w:val="0092538D"/>
    <w:rsid w:val="00974D78"/>
    <w:rsid w:val="009B0D67"/>
    <w:rsid w:val="009C7E34"/>
    <w:rsid w:val="009F0F54"/>
    <w:rsid w:val="00A61DE3"/>
    <w:rsid w:val="00A71528"/>
    <w:rsid w:val="00A84769"/>
    <w:rsid w:val="00A94558"/>
    <w:rsid w:val="00AE6D3B"/>
    <w:rsid w:val="00B048C6"/>
    <w:rsid w:val="00B22E30"/>
    <w:rsid w:val="00B33C06"/>
    <w:rsid w:val="00BA6140"/>
    <w:rsid w:val="00BB480D"/>
    <w:rsid w:val="00BB5BDD"/>
    <w:rsid w:val="00BC387A"/>
    <w:rsid w:val="00BD135B"/>
    <w:rsid w:val="00BF616E"/>
    <w:rsid w:val="00C54ED1"/>
    <w:rsid w:val="00CC1EB9"/>
    <w:rsid w:val="00CC568C"/>
    <w:rsid w:val="00CD467B"/>
    <w:rsid w:val="00D30FCA"/>
    <w:rsid w:val="00D34889"/>
    <w:rsid w:val="00DC49D1"/>
    <w:rsid w:val="00E04375"/>
    <w:rsid w:val="00E105DB"/>
    <w:rsid w:val="00E611FF"/>
    <w:rsid w:val="00E65C46"/>
    <w:rsid w:val="00E802AE"/>
    <w:rsid w:val="00E925E0"/>
    <w:rsid w:val="00EA46D7"/>
    <w:rsid w:val="00EB41CD"/>
    <w:rsid w:val="00EE3874"/>
    <w:rsid w:val="00EE483B"/>
    <w:rsid w:val="00EE7A89"/>
    <w:rsid w:val="00F22DD1"/>
    <w:rsid w:val="00F34A90"/>
    <w:rsid w:val="00F6585B"/>
    <w:rsid w:val="00F66FDD"/>
    <w:rsid w:val="00F71ECF"/>
    <w:rsid w:val="00F768C3"/>
    <w:rsid w:val="00F873F5"/>
    <w:rsid w:val="00FA4430"/>
    <w:rsid w:val="00FE31F0"/>
    <w:rsid w:val="00FE54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FE470"/>
  <w15:docId w15:val="{DDE0293A-CFED-460E-9BFE-476BC8CE5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Neue" w:eastAsia="Helvetica Neue" w:hAnsi="Helvetica Neue" w:cs="Helvetica Neue"/>
        <w:lang w:val="es-MX" w:eastAsia="es-MX" w:bidi="ar-SA"/>
      </w:rPr>
    </w:rPrDefault>
    <w:pPrDefault>
      <w:pPr>
        <w:spacing w:after="160" w:line="25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4FF2"/>
  </w:style>
  <w:style w:type="paragraph" w:styleId="Ttulo1">
    <w:name w:val="heading 1"/>
    <w:basedOn w:val="Normal"/>
    <w:next w:val="Normal"/>
    <w:link w:val="Ttulo1Car"/>
    <w:uiPriority w:val="9"/>
    <w:qFormat/>
    <w:rsid w:val="007300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33212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3212B"/>
  </w:style>
  <w:style w:type="paragraph" w:styleId="Piedepgina">
    <w:name w:val="footer"/>
    <w:basedOn w:val="Normal"/>
    <w:link w:val="PiedepginaCar"/>
    <w:uiPriority w:val="99"/>
    <w:unhideWhenUsed/>
    <w:rsid w:val="0033212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3212B"/>
  </w:style>
  <w:style w:type="paragraph" w:styleId="Prrafodelista">
    <w:name w:val="List Paragraph"/>
    <w:basedOn w:val="Normal"/>
    <w:uiPriority w:val="34"/>
    <w:qFormat/>
    <w:rsid w:val="00834FF2"/>
    <w:pPr>
      <w:spacing w:after="0" w:line="240" w:lineRule="auto"/>
      <w:ind w:left="720"/>
      <w:contextualSpacing/>
    </w:pPr>
    <w:rPr>
      <w:rFonts w:ascii="Times New Roman" w:eastAsia="Times New Roman" w:hAnsi="Times New Roman" w:cs="Times New Roman"/>
      <w:sz w:val="24"/>
      <w:szCs w:val="24"/>
    </w:rPr>
  </w:style>
  <w:style w:type="paragraph" w:customStyle="1" w:styleId="Texto">
    <w:name w:val="Texto"/>
    <w:basedOn w:val="Normal"/>
    <w:link w:val="TextoCar"/>
    <w:qFormat/>
    <w:rsid w:val="00834FF2"/>
    <w:pPr>
      <w:spacing w:after="101" w:line="216" w:lineRule="exact"/>
      <w:ind w:firstLine="288"/>
      <w:jc w:val="both"/>
    </w:pPr>
    <w:rPr>
      <w:rFonts w:ascii="Arial" w:eastAsia="Times New Roman" w:hAnsi="Arial" w:cs="Arial"/>
      <w:sz w:val="18"/>
      <w:lang w:val="es-ES" w:eastAsia="es-ES"/>
    </w:rPr>
  </w:style>
  <w:style w:type="character" w:customStyle="1" w:styleId="TextoCar">
    <w:name w:val="Texto Car"/>
    <w:link w:val="Texto"/>
    <w:locked/>
    <w:rsid w:val="00834FF2"/>
    <w:rPr>
      <w:rFonts w:ascii="Arial" w:eastAsia="Times New Roman" w:hAnsi="Arial" w:cs="Arial"/>
      <w:sz w:val="18"/>
      <w:szCs w:val="20"/>
      <w:lang w:val="es-ES" w:eastAsia="es-ES"/>
    </w:rPr>
  </w:style>
  <w:style w:type="character" w:styleId="Hipervnculo">
    <w:name w:val="Hyperlink"/>
    <w:uiPriority w:val="99"/>
    <w:unhideWhenUsed/>
    <w:rsid w:val="00834FF2"/>
    <w:rPr>
      <w:color w:val="0000FF"/>
      <w:u w:val="single"/>
    </w:rPr>
  </w:style>
  <w:style w:type="table" w:styleId="Tablaconcuadrcula">
    <w:name w:val="Table Grid"/>
    <w:basedOn w:val="Tablanormal"/>
    <w:rsid w:val="00834FF2"/>
    <w:pPr>
      <w:spacing w:after="0" w:line="240" w:lineRule="auto"/>
    </w:pPr>
    <w:rPr>
      <w:rFonts w:ascii="Cambria" w:eastAsia="MS Mincho" w:hAnsi="Cambria"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uiPriority w:val="99"/>
    <w:semiHidden/>
    <w:unhideWhenUsed/>
    <w:rsid w:val="00EA440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4400"/>
    <w:rPr>
      <w:rFonts w:ascii="Segoe UI" w:hAnsi="Segoe UI" w:cs="Segoe UI"/>
      <w:sz w:val="18"/>
      <w:szCs w:val="18"/>
    </w:rPr>
  </w:style>
  <w:style w:type="character" w:styleId="Hipervnculovisitado">
    <w:name w:val="FollowedHyperlink"/>
    <w:basedOn w:val="Fuentedeprrafopredeter"/>
    <w:uiPriority w:val="99"/>
    <w:semiHidden/>
    <w:unhideWhenUsed/>
    <w:rsid w:val="00725891"/>
    <w:rPr>
      <w:color w:val="954F72" w:themeColor="followedHyperlink"/>
      <w:u w:val="single"/>
    </w:rPr>
  </w:style>
  <w:style w:type="character" w:styleId="Refdecomentario">
    <w:name w:val="annotation reference"/>
    <w:basedOn w:val="Fuentedeprrafopredeter"/>
    <w:unhideWhenUsed/>
    <w:rsid w:val="000405AF"/>
    <w:rPr>
      <w:sz w:val="16"/>
      <w:szCs w:val="16"/>
    </w:rPr>
  </w:style>
  <w:style w:type="paragraph" w:styleId="Textocomentario">
    <w:name w:val="annotation text"/>
    <w:basedOn w:val="Normal"/>
    <w:link w:val="TextocomentarioCar"/>
    <w:unhideWhenUsed/>
    <w:rsid w:val="000405AF"/>
    <w:pPr>
      <w:spacing w:line="240" w:lineRule="auto"/>
    </w:pPr>
  </w:style>
  <w:style w:type="character" w:customStyle="1" w:styleId="TextocomentarioCar">
    <w:name w:val="Texto comentario Car"/>
    <w:basedOn w:val="Fuentedeprrafopredeter"/>
    <w:link w:val="Textocomentario"/>
    <w:rsid w:val="000405AF"/>
  </w:style>
  <w:style w:type="paragraph" w:styleId="Asuntodelcomentario">
    <w:name w:val="annotation subject"/>
    <w:basedOn w:val="Textocomentario"/>
    <w:next w:val="Textocomentario"/>
    <w:link w:val="AsuntodelcomentarioCar"/>
    <w:uiPriority w:val="99"/>
    <w:semiHidden/>
    <w:unhideWhenUsed/>
    <w:rsid w:val="000405AF"/>
    <w:rPr>
      <w:b/>
      <w:bCs/>
    </w:rPr>
  </w:style>
  <w:style w:type="character" w:customStyle="1" w:styleId="AsuntodelcomentarioCar">
    <w:name w:val="Asunto del comentario Car"/>
    <w:basedOn w:val="TextocomentarioCar"/>
    <w:link w:val="Asuntodelcomentario"/>
    <w:uiPriority w:val="99"/>
    <w:semiHidden/>
    <w:rsid w:val="000405AF"/>
    <w:rPr>
      <w:b/>
      <w:bCs/>
    </w:rPr>
  </w:style>
  <w:style w:type="paragraph" w:styleId="Sinespaciado">
    <w:name w:val="No Spacing"/>
    <w:uiPriority w:val="1"/>
    <w:qFormat/>
    <w:rsid w:val="00F175E7"/>
    <w:pPr>
      <w:spacing w:after="0" w:line="240" w:lineRule="auto"/>
    </w:pPr>
  </w:style>
  <w:style w:type="character" w:styleId="nfasis">
    <w:name w:val="Emphasis"/>
    <w:basedOn w:val="Fuentedeprrafopredeter"/>
    <w:uiPriority w:val="20"/>
    <w:qFormat/>
    <w:rsid w:val="00BA55A8"/>
    <w:rPr>
      <w:i/>
      <w:iCs/>
    </w:rPr>
  </w:style>
  <w:style w:type="paragraph" w:styleId="Textonotapie">
    <w:name w:val="footnote text"/>
    <w:basedOn w:val="Normal"/>
    <w:link w:val="TextonotapieCar"/>
    <w:uiPriority w:val="99"/>
    <w:semiHidden/>
    <w:unhideWhenUsed/>
    <w:rsid w:val="008641A6"/>
    <w:pPr>
      <w:spacing w:after="0" w:line="240" w:lineRule="auto"/>
    </w:pPr>
    <w:rPr>
      <w:rFonts w:ascii="Calibri" w:hAnsi="Calibri" w:cs="Calibri"/>
    </w:rPr>
  </w:style>
  <w:style w:type="character" w:customStyle="1" w:styleId="TextonotapieCar">
    <w:name w:val="Texto nota pie Car"/>
    <w:basedOn w:val="Fuentedeprrafopredeter"/>
    <w:link w:val="Textonotapie"/>
    <w:uiPriority w:val="99"/>
    <w:semiHidden/>
    <w:rsid w:val="008641A6"/>
    <w:rPr>
      <w:rFonts w:ascii="Calibri" w:hAnsi="Calibri" w:cs="Calibri"/>
    </w:rPr>
  </w:style>
  <w:style w:type="character" w:styleId="Refdenotaalpie">
    <w:name w:val="footnote reference"/>
    <w:basedOn w:val="Fuentedeprrafopredeter"/>
    <w:uiPriority w:val="99"/>
    <w:semiHidden/>
    <w:unhideWhenUsed/>
    <w:rsid w:val="008641A6"/>
    <w:rPr>
      <w:vertAlign w:val="superscript"/>
    </w:rPr>
  </w:style>
  <w:style w:type="table" w:customStyle="1" w:styleId="Tablaconcuadrcula1">
    <w:name w:val="Tabla con cuadrícula1"/>
    <w:basedOn w:val="Tablanormal"/>
    <w:next w:val="Tablaconcuadrcula"/>
    <w:rsid w:val="003E650B"/>
    <w:pPr>
      <w:spacing w:after="0" w:line="240" w:lineRule="auto"/>
    </w:pPr>
    <w:rPr>
      <w:rFonts w:ascii="Cambria" w:eastAsia="MS Mincho" w:hAnsi="Cambria"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rsid w:val="003E650B"/>
    <w:pPr>
      <w:spacing w:after="0" w:line="240" w:lineRule="auto"/>
    </w:pPr>
    <w:rPr>
      <w:rFonts w:ascii="Cambria" w:eastAsia="MS Mincho" w:hAnsi="Cambria"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
    <w:name w:val="Tabla con cuadrícula11"/>
    <w:basedOn w:val="Tablanormal"/>
    <w:next w:val="Tablaconcuadrcula"/>
    <w:rsid w:val="001F057C"/>
    <w:pPr>
      <w:spacing w:after="0" w:line="240" w:lineRule="auto"/>
    </w:pPr>
    <w:rPr>
      <w:rFonts w:ascii="Cambria" w:eastAsia="MS Mincho" w:hAnsi="Cambria"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rsid w:val="001F057C"/>
    <w:pPr>
      <w:spacing w:after="0" w:line="240" w:lineRule="auto"/>
    </w:pPr>
    <w:rPr>
      <w:rFonts w:ascii="Cambria" w:eastAsia="MS Mincho" w:hAnsi="Cambria"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rsid w:val="00C26D11"/>
    <w:pPr>
      <w:spacing w:after="0" w:line="240" w:lineRule="auto"/>
    </w:pPr>
    <w:rPr>
      <w:rFonts w:ascii="Cambria" w:eastAsia="MS Mincho" w:hAnsi="Cambria"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basedOn w:val="Fuentedeprrafopredeter"/>
    <w:link w:val="Ttulo1"/>
    <w:uiPriority w:val="9"/>
    <w:rsid w:val="007300C8"/>
    <w:rPr>
      <w:rFonts w:asciiTheme="majorHAnsi" w:eastAsiaTheme="majorEastAsia" w:hAnsiTheme="majorHAnsi" w:cstheme="majorBidi"/>
      <w:color w:val="2E74B5" w:themeColor="accent1" w:themeShade="BF"/>
      <w:sz w:val="32"/>
      <w:szCs w:val="32"/>
    </w:rPr>
  </w:style>
  <w:style w:type="table" w:customStyle="1" w:styleId="Tablaconcuadrcula111">
    <w:name w:val="Tabla con cuadrícula111"/>
    <w:basedOn w:val="Tablanormal"/>
    <w:next w:val="Tablaconcuadrcula"/>
    <w:rsid w:val="006E6801"/>
    <w:pPr>
      <w:spacing w:after="0" w:line="240" w:lineRule="auto"/>
    </w:pPr>
    <w:rPr>
      <w:rFonts w:ascii="Cambria" w:eastAsia="MS Mincho" w:hAnsi="Cambria"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
    <w:name w:val="Tabla con cuadrícula211"/>
    <w:basedOn w:val="Tablanormal"/>
    <w:next w:val="Tablaconcuadrcula"/>
    <w:rsid w:val="006E6801"/>
    <w:pPr>
      <w:spacing w:after="0" w:line="240" w:lineRule="auto"/>
    </w:pPr>
    <w:rPr>
      <w:rFonts w:ascii="Cambria" w:eastAsia="MS Mincho" w:hAnsi="Cambria"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rsid w:val="006E6801"/>
    <w:pPr>
      <w:spacing w:after="0" w:line="240" w:lineRule="auto"/>
    </w:pPr>
    <w:rPr>
      <w:rFonts w:ascii="Cambria" w:eastAsia="MS Mincho" w:hAnsi="Cambria"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1">
    <w:name w:val="Tabla con cuadrícula1111"/>
    <w:basedOn w:val="Tablanormal"/>
    <w:next w:val="Tablaconcuadrcula"/>
    <w:rsid w:val="00E924A8"/>
    <w:pPr>
      <w:spacing w:after="0" w:line="240" w:lineRule="auto"/>
    </w:pPr>
    <w:rPr>
      <w:rFonts w:ascii="Cambria" w:eastAsia="MS Mincho" w:hAnsi="Cambria"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1">
    <w:name w:val="Tabla con cuadrícula2111"/>
    <w:basedOn w:val="Tablanormal"/>
    <w:next w:val="Tablaconcuadrcula"/>
    <w:rsid w:val="00E924A8"/>
    <w:pPr>
      <w:spacing w:after="0" w:line="240" w:lineRule="auto"/>
    </w:pPr>
    <w:rPr>
      <w:rFonts w:ascii="Cambria" w:eastAsia="MS Mincho" w:hAnsi="Cambria"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
    <w:name w:val="Tabla con cuadrícula311"/>
    <w:basedOn w:val="Tablanormal"/>
    <w:next w:val="Tablaconcuadrcula"/>
    <w:rsid w:val="00E924A8"/>
    <w:pPr>
      <w:spacing w:after="0" w:line="240" w:lineRule="auto"/>
    </w:pPr>
    <w:rPr>
      <w:rFonts w:ascii="Cambria" w:eastAsia="MS Mincho" w:hAnsi="Cambria"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
    <w:name w:val="Estilo1"/>
    <w:uiPriority w:val="99"/>
    <w:rsid w:val="0009493B"/>
  </w:style>
  <w:style w:type="table" w:customStyle="1" w:styleId="Tablaconcuadrcula11111">
    <w:name w:val="Tabla con cuadrícula11111"/>
    <w:basedOn w:val="Tablanormal"/>
    <w:next w:val="Tablaconcuadrcula"/>
    <w:rsid w:val="00D8164E"/>
    <w:pPr>
      <w:spacing w:after="0" w:line="240" w:lineRule="auto"/>
    </w:pPr>
    <w:rPr>
      <w:rFonts w:ascii="Cambria" w:eastAsia="MS Mincho" w:hAnsi="Cambria"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11">
    <w:name w:val="Tabla con cuadrícula21111"/>
    <w:basedOn w:val="Tablanormal"/>
    <w:next w:val="Tablaconcuadrcula"/>
    <w:rsid w:val="00D8164E"/>
    <w:pPr>
      <w:spacing w:after="0" w:line="240" w:lineRule="auto"/>
    </w:pPr>
    <w:rPr>
      <w:rFonts w:ascii="Cambria" w:eastAsia="MS Mincho" w:hAnsi="Cambria"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1">
    <w:name w:val="Tabla con cuadrícula3111"/>
    <w:basedOn w:val="Tablanormal"/>
    <w:next w:val="Tablaconcuadrcula"/>
    <w:rsid w:val="00D8164E"/>
    <w:pPr>
      <w:spacing w:after="0" w:line="240" w:lineRule="auto"/>
    </w:pPr>
    <w:rPr>
      <w:rFonts w:ascii="Cambria" w:eastAsia="MS Mincho" w:hAnsi="Cambria"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111">
    <w:name w:val="Tabla con cuadrícula111111"/>
    <w:basedOn w:val="Tablanormal"/>
    <w:next w:val="Tablaconcuadrcula"/>
    <w:rsid w:val="00004A4C"/>
    <w:pPr>
      <w:spacing w:after="0" w:line="240" w:lineRule="auto"/>
    </w:pPr>
    <w:rPr>
      <w:rFonts w:ascii="Cambria" w:eastAsia="MS Mincho" w:hAnsi="Cambria"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111">
    <w:name w:val="Tabla con cuadrícula211111"/>
    <w:basedOn w:val="Tablanormal"/>
    <w:next w:val="Tablaconcuadrcula"/>
    <w:rsid w:val="00004A4C"/>
    <w:pPr>
      <w:spacing w:after="0" w:line="240" w:lineRule="auto"/>
    </w:pPr>
    <w:rPr>
      <w:rFonts w:ascii="Cambria" w:eastAsia="MS Mincho" w:hAnsi="Cambria"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11">
    <w:name w:val="Tabla con cuadrícula31111"/>
    <w:basedOn w:val="Tablanormal"/>
    <w:next w:val="Tablaconcuadrcula"/>
    <w:rsid w:val="00004A4C"/>
    <w:pPr>
      <w:spacing w:after="0" w:line="240" w:lineRule="auto"/>
    </w:pPr>
    <w:rPr>
      <w:rFonts w:ascii="Cambria" w:eastAsia="MS Mincho" w:hAnsi="Cambria"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1111">
    <w:name w:val="Tabla con cuadrícula1111111"/>
    <w:basedOn w:val="Tablanormal"/>
    <w:next w:val="Tablaconcuadrcula"/>
    <w:rsid w:val="00F67EDB"/>
    <w:pPr>
      <w:spacing w:after="0" w:line="240" w:lineRule="auto"/>
    </w:pPr>
    <w:rPr>
      <w:rFonts w:ascii="Cambria" w:eastAsia="MS Mincho" w:hAnsi="Cambria"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1111">
    <w:name w:val="Tabla con cuadrícula2111111"/>
    <w:basedOn w:val="Tablanormal"/>
    <w:next w:val="Tablaconcuadrcula"/>
    <w:rsid w:val="00F67EDB"/>
    <w:pPr>
      <w:spacing w:after="0" w:line="240" w:lineRule="auto"/>
    </w:pPr>
    <w:rPr>
      <w:rFonts w:ascii="Cambria" w:eastAsia="MS Mincho" w:hAnsi="Cambria"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1111">
    <w:name w:val="Tabla con cuadrícula311111"/>
    <w:basedOn w:val="Tablanormal"/>
    <w:next w:val="Tablaconcuadrcula"/>
    <w:rsid w:val="00F67EDB"/>
    <w:pPr>
      <w:spacing w:after="0" w:line="240" w:lineRule="auto"/>
    </w:pPr>
    <w:rPr>
      <w:rFonts w:ascii="Cambria" w:eastAsia="MS Mincho" w:hAnsi="Cambria"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E32953"/>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hyperlink" Target="http://ifrem.edomex.gob.mx/organigrama" TargetMode="External"/><Relationship Id="rId33" Type="http://schemas.openxmlformats.org/officeDocument/2006/relationships/hyperlink" Target="https://www.fitchratings.com/research/es/international-public-finance/fitch-affirms-ifrems-loans-at-aaa-mex-vra-16-08-2022"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5.jp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WeXbr6L7U+UnuVSAuDM1Uk0H+XA==">AMUW2mXDvYJ6WNoRQU83dGBNzoTrNN+M4Ivnjdm+S6gqrIbR7GM7C/TV5clal/2YfeG9wb7KWylxSAAvsKakWom0MZAfGsIMXvRNGTMXyY2kpedlP4FJHMgh0xveN3Fsi6QmyIKCQG0e5JNGSwJVVPcfSN7nAemu+A==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DCFE16D-456B-493D-9232-E86571F05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30</Pages>
  <Words>9581</Words>
  <Characters>52696</Characters>
  <Application>Microsoft Office Word</Application>
  <DocSecurity>0</DocSecurity>
  <Lines>439</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 rodriguez cruz</dc:creator>
  <cp:lastModifiedBy>IFREM</cp:lastModifiedBy>
  <cp:revision>43</cp:revision>
  <cp:lastPrinted>2023-03-22T16:46:00Z</cp:lastPrinted>
  <dcterms:created xsi:type="dcterms:W3CDTF">2023-03-14T21:41:00Z</dcterms:created>
  <dcterms:modified xsi:type="dcterms:W3CDTF">2023-03-23T00:36:00Z</dcterms:modified>
</cp:coreProperties>
</file>