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5FCC7" w14:textId="77777777" w:rsidR="00045553" w:rsidRPr="00BC337F" w:rsidRDefault="00045553" w:rsidP="00045553">
      <w:pPr>
        <w:spacing w:after="101" w:line="276" w:lineRule="auto"/>
        <w:ind w:left="648" w:right="-1"/>
        <w:jc w:val="center"/>
        <w:rPr>
          <w:rFonts w:eastAsia="Times New Roman" w:cs="Arial"/>
          <w:b/>
          <w:lang w:val="es-ES" w:eastAsia="es-ES"/>
        </w:rPr>
      </w:pPr>
      <w:bookmarkStart w:id="0" w:name="_Hlk100132469"/>
      <w:r w:rsidRPr="00BC337F">
        <w:rPr>
          <w:rFonts w:eastAsia="Times New Roman" w:cs="Arial"/>
          <w:b/>
          <w:lang w:val="es-ES" w:eastAsia="es-ES"/>
        </w:rPr>
        <w:t>NOTAS A LOS ESTADOS FINANCIEROS</w:t>
      </w:r>
    </w:p>
    <w:p w14:paraId="5B9F35BC" w14:textId="77777777" w:rsidR="00045553" w:rsidRPr="00F42B4B" w:rsidRDefault="00045553" w:rsidP="00045553">
      <w:pPr>
        <w:spacing w:line="276" w:lineRule="auto"/>
        <w:ind w:right="-1"/>
        <w:jc w:val="center"/>
        <w:outlineLvl w:val="0"/>
      </w:pPr>
      <w:r w:rsidRPr="00F42B4B">
        <w:rPr>
          <w:b/>
        </w:rPr>
        <w:t xml:space="preserve">Entidad: </w:t>
      </w:r>
      <w:r w:rsidRPr="00F42B4B">
        <w:rPr>
          <w:u w:val="single"/>
        </w:rPr>
        <w:t>Instituto de la Función Registral del Estado de México</w:t>
      </w:r>
      <w:r w:rsidRPr="00F42B4B">
        <w:t xml:space="preserve"> (IFREM).</w:t>
      </w:r>
    </w:p>
    <w:p w14:paraId="570D6FBE" w14:textId="3984BC57" w:rsidR="008049BC" w:rsidRDefault="00045553" w:rsidP="00045553">
      <w:pPr>
        <w:spacing w:line="276" w:lineRule="auto"/>
        <w:ind w:right="-1"/>
        <w:jc w:val="center"/>
        <w:outlineLvl w:val="0"/>
        <w:rPr>
          <w:u w:val="single"/>
        </w:rPr>
      </w:pPr>
      <w:r w:rsidRPr="00F42B4B">
        <w:rPr>
          <w:b/>
        </w:rPr>
        <w:t>Mes:</w:t>
      </w:r>
      <w:r w:rsidRPr="00F36030">
        <w:t xml:space="preserve"> </w:t>
      </w:r>
      <w:r w:rsidRPr="008049BC">
        <w:rPr>
          <w:u w:val="single"/>
        </w:rPr>
        <w:t xml:space="preserve">Marzo </w:t>
      </w:r>
      <w:r w:rsidRPr="00F42B4B">
        <w:rPr>
          <w:b/>
        </w:rPr>
        <w:t>de</w:t>
      </w:r>
      <w:r w:rsidRPr="00F42B4B">
        <w:t xml:space="preserve"> </w:t>
      </w:r>
      <w:r>
        <w:rPr>
          <w:u w:val="single"/>
        </w:rPr>
        <w:t>2022</w:t>
      </w:r>
    </w:p>
    <w:p w14:paraId="14D97D12" w14:textId="77777777" w:rsidR="00045553" w:rsidRDefault="00045553" w:rsidP="00045553">
      <w:pPr>
        <w:spacing w:line="276" w:lineRule="auto"/>
        <w:ind w:right="-1"/>
        <w:outlineLvl w:val="0"/>
        <w:rPr>
          <w:rFonts w:eastAsia="Times New Roman" w:cs="Arial"/>
          <w:b/>
          <w:lang w:eastAsia="es-MX"/>
        </w:rPr>
      </w:pPr>
    </w:p>
    <w:p w14:paraId="3630E7E4" w14:textId="77777777" w:rsidR="00F8319D" w:rsidRPr="007300C8" w:rsidRDefault="00F8319D" w:rsidP="00F8319D">
      <w:pPr>
        <w:numPr>
          <w:ilvl w:val="0"/>
          <w:numId w:val="7"/>
        </w:numPr>
        <w:tabs>
          <w:tab w:val="left" w:pos="3836"/>
          <w:tab w:val="left" w:pos="4395"/>
        </w:tabs>
        <w:spacing w:after="0" w:line="276" w:lineRule="auto"/>
        <w:ind w:right="-1"/>
        <w:contextualSpacing/>
        <w:outlineLvl w:val="0"/>
        <w:rPr>
          <w:rFonts w:eastAsia="Times New Roman" w:cs="Arial"/>
          <w:b/>
          <w:lang w:eastAsia="es-MX"/>
        </w:rPr>
      </w:pPr>
      <w:r w:rsidRPr="007300C8">
        <w:rPr>
          <w:rFonts w:eastAsia="Times New Roman" w:cs="Arial"/>
          <w:b/>
          <w:lang w:eastAsia="es-MX"/>
        </w:rPr>
        <w:t>NOTAS DE DESGLOSE</w:t>
      </w:r>
    </w:p>
    <w:p w14:paraId="6E0BE4A5" w14:textId="77777777" w:rsidR="00045553" w:rsidRPr="00F42B4B" w:rsidRDefault="00045553" w:rsidP="00045553">
      <w:pPr>
        <w:tabs>
          <w:tab w:val="left" w:pos="3836"/>
        </w:tabs>
        <w:spacing w:after="0" w:line="276" w:lineRule="auto"/>
        <w:ind w:left="714" w:right="-1"/>
        <w:contextualSpacing/>
        <w:outlineLvl w:val="0"/>
        <w:rPr>
          <w:rFonts w:eastAsia="Times New Roman" w:cs="Arial"/>
          <w:b/>
          <w:sz w:val="8"/>
          <w:lang w:eastAsia="es-MX"/>
        </w:rPr>
      </w:pPr>
    </w:p>
    <w:p w14:paraId="594F878C" w14:textId="77777777" w:rsidR="00045553" w:rsidRPr="00F42B4B" w:rsidRDefault="00045553" w:rsidP="00335251">
      <w:pPr>
        <w:numPr>
          <w:ilvl w:val="0"/>
          <w:numId w:val="14"/>
        </w:numPr>
        <w:spacing w:before="240" w:after="240" w:line="276" w:lineRule="auto"/>
        <w:ind w:left="1068" w:right="-1"/>
        <w:contextualSpacing/>
        <w:outlineLvl w:val="0"/>
        <w:rPr>
          <w:rFonts w:eastAsia="Times New Roman" w:cs="Arial"/>
          <w:b/>
          <w:lang w:eastAsia="es-MX"/>
        </w:rPr>
      </w:pPr>
      <w:r w:rsidRPr="00F42B4B">
        <w:rPr>
          <w:rFonts w:eastAsia="Times New Roman" w:cs="Arial"/>
          <w:b/>
          <w:lang w:eastAsia="es-MX"/>
        </w:rPr>
        <w:t xml:space="preserve">NOTAS AL ESTADO DE SITUACIÓN </w:t>
      </w:r>
      <w:r>
        <w:rPr>
          <w:rFonts w:eastAsia="Times New Roman" w:cs="Arial"/>
          <w:b/>
          <w:lang w:eastAsia="es-MX"/>
        </w:rPr>
        <w:t>FINANCIERA</w:t>
      </w:r>
    </w:p>
    <w:p w14:paraId="5B0FFE91" w14:textId="77777777" w:rsidR="00045553" w:rsidRPr="00F42B4B" w:rsidRDefault="00045553" w:rsidP="00045553">
      <w:pPr>
        <w:spacing w:before="240" w:after="240" w:line="276" w:lineRule="auto"/>
        <w:ind w:right="-1"/>
        <w:outlineLvl w:val="0"/>
        <w:rPr>
          <w:rFonts w:cs="Arial"/>
          <w:b/>
        </w:rPr>
      </w:pPr>
      <w:r w:rsidRPr="00F42B4B">
        <w:rPr>
          <w:rFonts w:cs="Arial"/>
          <w:b/>
        </w:rPr>
        <w:t>Activo Circulante</w:t>
      </w:r>
    </w:p>
    <w:p w14:paraId="0FA5F26C" w14:textId="77777777" w:rsidR="00045553" w:rsidRPr="00F42B4B" w:rsidRDefault="00045553" w:rsidP="00045553">
      <w:pPr>
        <w:tabs>
          <w:tab w:val="left" w:pos="3836"/>
        </w:tabs>
        <w:spacing w:line="276" w:lineRule="auto"/>
        <w:ind w:right="-1"/>
        <w:jc w:val="both"/>
        <w:rPr>
          <w:rFonts w:cs="Arial"/>
        </w:rPr>
      </w:pPr>
      <w:r w:rsidRPr="00F42B4B">
        <w:rPr>
          <w:rFonts w:cs="Arial"/>
          <w:b/>
          <w:bCs/>
        </w:rPr>
        <w:t xml:space="preserve">Efectivo y Equivalentes. - </w:t>
      </w:r>
      <w:r w:rsidRPr="00F42B4B">
        <w:rPr>
          <w:rFonts w:cs="Arial"/>
        </w:rPr>
        <w:t xml:space="preserve">El saldo de </w:t>
      </w:r>
      <w:r w:rsidRPr="00726594">
        <w:rPr>
          <w:rFonts w:eastAsia="HelveticaNeueLT Std" w:cs="HelveticaNeueLT Std"/>
        </w:rPr>
        <w:t>216</w:t>
      </w:r>
      <w:r>
        <w:rPr>
          <w:rFonts w:eastAsia="HelveticaNeueLT Std" w:cs="HelveticaNeueLT Std"/>
        </w:rPr>
        <w:t>,</w:t>
      </w:r>
      <w:r w:rsidRPr="00726594">
        <w:rPr>
          <w:rFonts w:eastAsia="HelveticaNeueLT Std" w:cs="HelveticaNeueLT Std"/>
        </w:rPr>
        <w:t>600</w:t>
      </w:r>
      <w:r>
        <w:rPr>
          <w:rFonts w:eastAsia="HelveticaNeueLT Std" w:cs="HelveticaNeueLT Std"/>
        </w:rPr>
        <w:t>,</w:t>
      </w:r>
      <w:r w:rsidRPr="00726594">
        <w:rPr>
          <w:rFonts w:eastAsia="HelveticaNeueLT Std" w:cs="HelveticaNeueLT Std"/>
        </w:rPr>
        <w:t>091.55</w:t>
      </w:r>
      <w:r>
        <w:rPr>
          <w:rFonts w:eastAsia="HelveticaNeueLT Std" w:cs="HelveticaNeueLT Std"/>
          <w:sz w:val="22"/>
          <w:szCs w:val="22"/>
        </w:rPr>
        <w:t xml:space="preserve">, </w:t>
      </w:r>
      <w:r w:rsidRPr="00F42B4B">
        <w:rPr>
          <w:rFonts w:cs="Arial"/>
        </w:rPr>
        <w:t>se integra con las siguientes cuentas:</w:t>
      </w:r>
    </w:p>
    <w:p w14:paraId="6C51C25E" w14:textId="77777777" w:rsidR="00045553" w:rsidRPr="00F42B4B" w:rsidRDefault="00045553" w:rsidP="00045553">
      <w:pPr>
        <w:numPr>
          <w:ilvl w:val="0"/>
          <w:numId w:val="1"/>
        </w:numPr>
        <w:spacing w:line="276" w:lineRule="auto"/>
        <w:ind w:right="-1"/>
        <w:jc w:val="both"/>
        <w:rPr>
          <w:rFonts w:cs="Arial"/>
        </w:rPr>
      </w:pPr>
      <w:r w:rsidRPr="00F42B4B">
        <w:rPr>
          <w:rFonts w:cs="Arial"/>
          <w:b/>
        </w:rPr>
        <w:t xml:space="preserve">Efectivo. - </w:t>
      </w:r>
      <w:r w:rsidRPr="00F42B4B">
        <w:rPr>
          <w:rFonts w:cs="Arial"/>
        </w:rPr>
        <w:t xml:space="preserve">El saldo de </w:t>
      </w:r>
      <w:r w:rsidRPr="00130799">
        <w:rPr>
          <w:rFonts w:eastAsia="HelveticaNeueLT Std" w:cs="HelveticaNeueLT Std"/>
        </w:rPr>
        <w:t>33,000.00</w:t>
      </w:r>
      <w:r w:rsidRPr="00130799">
        <w:rPr>
          <w:rFonts w:cs="Arial"/>
          <w:color w:val="000000" w:themeColor="text1"/>
        </w:rPr>
        <w:t>,</w:t>
      </w:r>
      <w:r w:rsidRPr="00F42B4B">
        <w:rPr>
          <w:rFonts w:cs="Arial"/>
          <w:color w:val="000000" w:themeColor="text1"/>
        </w:rPr>
        <w:t xml:space="preserve"> </w:t>
      </w:r>
      <w:r w:rsidRPr="00F42B4B">
        <w:rPr>
          <w:rFonts w:cs="Arial"/>
        </w:rPr>
        <w:t>es el importe de efectivo disponible para solventar gastos menores y cubrir necesidades urgentes de gasto corriente que se requieran en las oficinas administrativas de la Dirección General.</w:t>
      </w:r>
      <w:r w:rsidRPr="00F42B4B">
        <w:t xml:space="preserve"> </w:t>
      </w:r>
    </w:p>
    <w:p w14:paraId="179A85A4" w14:textId="77777777" w:rsidR="00045553" w:rsidRPr="008049BC" w:rsidRDefault="00045553" w:rsidP="00045553">
      <w:pPr>
        <w:numPr>
          <w:ilvl w:val="0"/>
          <w:numId w:val="1"/>
        </w:numPr>
        <w:spacing w:after="0" w:line="276" w:lineRule="auto"/>
        <w:ind w:right="-1"/>
        <w:jc w:val="both"/>
        <w:rPr>
          <w:rFonts w:eastAsia="HelveticaNeueLT Std" w:cs="HelveticaNeueLT Std"/>
          <w:b/>
          <w:bCs/>
        </w:rPr>
      </w:pPr>
      <w:r w:rsidRPr="00942948">
        <w:rPr>
          <w:rFonts w:cs="Arial"/>
          <w:b/>
          <w:bCs/>
        </w:rPr>
        <w:t xml:space="preserve">Bancos/Tesorería. - </w:t>
      </w:r>
      <w:r w:rsidRPr="00942948">
        <w:rPr>
          <w:rFonts w:cs="Arial"/>
        </w:rPr>
        <w:t xml:space="preserve">El saldo </w:t>
      </w:r>
      <w:r>
        <w:rPr>
          <w:rFonts w:cs="Arial"/>
          <w:color w:val="000000" w:themeColor="text1"/>
        </w:rPr>
        <w:t>de</w:t>
      </w:r>
      <w:r w:rsidRPr="004D2D73">
        <w:rPr>
          <w:rFonts w:eastAsia="HelveticaNeueLT Std" w:cs="HelveticaNeueLT Std"/>
          <w:sz w:val="22"/>
          <w:szCs w:val="22"/>
        </w:rPr>
        <w:t xml:space="preserve"> </w:t>
      </w:r>
      <w:r w:rsidRPr="00726594">
        <w:rPr>
          <w:rFonts w:eastAsia="HelveticaNeueLT Std" w:cs="HelveticaNeueLT Std"/>
        </w:rPr>
        <w:t>11</w:t>
      </w:r>
      <w:r>
        <w:rPr>
          <w:rFonts w:eastAsia="HelveticaNeueLT Std" w:cs="HelveticaNeueLT Std"/>
        </w:rPr>
        <w:t>,</w:t>
      </w:r>
      <w:r w:rsidRPr="00726594">
        <w:rPr>
          <w:rFonts w:eastAsia="HelveticaNeueLT Std" w:cs="HelveticaNeueLT Std"/>
        </w:rPr>
        <w:t>867</w:t>
      </w:r>
      <w:r>
        <w:rPr>
          <w:rFonts w:eastAsia="HelveticaNeueLT Std" w:cs="HelveticaNeueLT Std"/>
        </w:rPr>
        <w:t>,</w:t>
      </w:r>
      <w:r w:rsidRPr="00726594">
        <w:rPr>
          <w:rFonts w:eastAsia="HelveticaNeueLT Std" w:cs="HelveticaNeueLT Std"/>
        </w:rPr>
        <w:t>883.68</w:t>
      </w:r>
      <w:r w:rsidRPr="001B5DCF">
        <w:rPr>
          <w:rFonts w:eastAsia="HelveticaNeueLT Std" w:cs="HelveticaNeueLT Std"/>
        </w:rPr>
        <w:t>,</w:t>
      </w:r>
      <w:r>
        <w:rPr>
          <w:rFonts w:eastAsia="HelveticaNeueLT Std" w:cs="HelveticaNeueLT Std"/>
        </w:rPr>
        <w:t xml:space="preserve"> </w:t>
      </w:r>
      <w:r w:rsidRPr="00942948">
        <w:rPr>
          <w:rFonts w:eastAsia="HelveticaNeueLT Std" w:cs="HelveticaNeueLT Std"/>
          <w:sz w:val="22"/>
          <w:szCs w:val="22"/>
        </w:rPr>
        <w:t>r</w:t>
      </w:r>
      <w:r w:rsidRPr="00942948">
        <w:rPr>
          <w:rFonts w:cs="Arial"/>
        </w:rPr>
        <w:t>efleja la disponibilidad financiera para cubrir los gastos por las necesidades de la operación y de inversión, con la finalidad de cumplir con los compromisos de pago en tiempo y forma. La relación de cuentas producti</w:t>
      </w:r>
      <w:r>
        <w:rPr>
          <w:rFonts w:cs="Arial"/>
        </w:rPr>
        <w:t>vas especificas es la siguiente:</w:t>
      </w:r>
    </w:p>
    <w:p w14:paraId="343A3A29" w14:textId="77777777" w:rsidR="008049BC" w:rsidRPr="00D656C3" w:rsidRDefault="008049BC" w:rsidP="008049BC">
      <w:pPr>
        <w:spacing w:after="0" w:line="276" w:lineRule="auto"/>
        <w:ind w:left="502" w:right="-1"/>
        <w:jc w:val="both"/>
        <w:rPr>
          <w:rFonts w:eastAsia="HelveticaNeueLT Std" w:cs="HelveticaNeueLT Std"/>
          <w:b/>
          <w:bCs/>
        </w:rPr>
      </w:pPr>
    </w:p>
    <w:p w14:paraId="1E0590DD" w14:textId="77777777" w:rsidR="00045553" w:rsidRDefault="00045553" w:rsidP="00045553">
      <w:pPr>
        <w:spacing w:line="259" w:lineRule="auto"/>
        <w:jc w:val="center"/>
        <w:rPr>
          <w:rFonts w:eastAsia="HelveticaNeueLT Std" w:cs="HelveticaNeueLT Std"/>
        </w:rPr>
      </w:pPr>
      <w:r w:rsidRPr="00726594">
        <w:rPr>
          <w:noProof/>
          <w:lang w:eastAsia="es-MX"/>
        </w:rPr>
        <w:drawing>
          <wp:inline distT="0" distB="0" distL="0" distR="0" wp14:anchorId="15BD0299" wp14:editId="0F1955F7">
            <wp:extent cx="6249670" cy="3611245"/>
            <wp:effectExtent l="0" t="0" r="0"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9670" cy="3611245"/>
                    </a:xfrm>
                    <a:prstGeom prst="rect">
                      <a:avLst/>
                    </a:prstGeom>
                    <a:noFill/>
                    <a:ln>
                      <a:noFill/>
                    </a:ln>
                  </pic:spPr>
                </pic:pic>
              </a:graphicData>
            </a:graphic>
          </wp:inline>
        </w:drawing>
      </w:r>
    </w:p>
    <w:p w14:paraId="56932F2C" w14:textId="77777777" w:rsidR="00045553" w:rsidRPr="00D47620" w:rsidRDefault="00045553" w:rsidP="00045553">
      <w:pPr>
        <w:numPr>
          <w:ilvl w:val="0"/>
          <w:numId w:val="1"/>
        </w:numPr>
        <w:tabs>
          <w:tab w:val="left" w:pos="639"/>
          <w:tab w:val="left" w:pos="3836"/>
        </w:tabs>
        <w:spacing w:before="240" w:after="0" w:line="276" w:lineRule="auto"/>
        <w:jc w:val="both"/>
        <w:rPr>
          <w:noProof/>
          <w:lang w:eastAsia="es-MX"/>
        </w:rPr>
      </w:pPr>
      <w:r w:rsidRPr="00003AD6">
        <w:rPr>
          <w:rFonts w:eastAsia="Times New Roman" w:cs="Arial"/>
          <w:b/>
          <w:bCs/>
          <w:lang w:eastAsia="es-MX"/>
        </w:rPr>
        <w:lastRenderedPageBreak/>
        <w:t xml:space="preserve">Inversiones Temporales (Hasta 3 meses). - </w:t>
      </w:r>
      <w:r w:rsidRPr="00003AD6">
        <w:rPr>
          <w:rFonts w:eastAsia="Times New Roman" w:cs="Arial"/>
          <w:lang w:eastAsia="es-MX"/>
        </w:rPr>
        <w:t xml:space="preserve">El saldo </w:t>
      </w:r>
      <w:r w:rsidRPr="00003AD6">
        <w:rPr>
          <w:rFonts w:eastAsia="Times New Roman" w:cs="Arial"/>
          <w:color w:val="000000" w:themeColor="text1"/>
          <w:lang w:eastAsia="es-MX"/>
        </w:rPr>
        <w:t>de</w:t>
      </w:r>
      <w:r w:rsidRPr="00003AD6">
        <w:rPr>
          <w:rFonts w:eastAsia="HelveticaNeueLT Std" w:cs="HelveticaNeueLT Std"/>
        </w:rPr>
        <w:t xml:space="preserve"> </w:t>
      </w:r>
      <w:r w:rsidRPr="00726594">
        <w:rPr>
          <w:rFonts w:eastAsia="HelveticaNeueLT Std" w:cs="HelveticaNeueLT Std"/>
        </w:rPr>
        <w:t>204</w:t>
      </w:r>
      <w:r>
        <w:rPr>
          <w:rFonts w:eastAsia="HelveticaNeueLT Std" w:cs="HelveticaNeueLT Std"/>
        </w:rPr>
        <w:t>,</w:t>
      </w:r>
      <w:r w:rsidRPr="00726594">
        <w:rPr>
          <w:rFonts w:eastAsia="HelveticaNeueLT Std" w:cs="HelveticaNeueLT Std"/>
        </w:rPr>
        <w:t>699</w:t>
      </w:r>
      <w:r>
        <w:rPr>
          <w:rFonts w:eastAsia="HelveticaNeueLT Std" w:cs="HelveticaNeueLT Std"/>
        </w:rPr>
        <w:t>,</w:t>
      </w:r>
      <w:r w:rsidRPr="00726594">
        <w:rPr>
          <w:rFonts w:eastAsia="HelveticaNeueLT Std" w:cs="HelveticaNeueLT Std"/>
        </w:rPr>
        <w:t>207.87</w:t>
      </w:r>
      <w:r>
        <w:rPr>
          <w:rFonts w:eastAsia="HelveticaNeueLT Std" w:cs="HelveticaNeueLT Std"/>
        </w:rPr>
        <w:t xml:space="preserve">, </w:t>
      </w:r>
      <w:r w:rsidRPr="00003AD6">
        <w:rPr>
          <w:rFonts w:eastAsia="Times New Roman" w:cs="Arial"/>
          <w:lang w:eastAsia="es-MX"/>
        </w:rPr>
        <w:t>refleja los depósitos bancarios a la vista para tener disponibilidades financieras en instrumentos de renta fija y poder cubrir con oportunidad los gastos de operación y de inversión del Instituto. Los intereses se registran en Otros Ingresos Financieros.</w:t>
      </w:r>
    </w:p>
    <w:p w14:paraId="6785905C" w14:textId="77777777" w:rsidR="00045553" w:rsidRDefault="00045553" w:rsidP="00045553">
      <w:pPr>
        <w:rPr>
          <w:noProof/>
          <w:lang w:eastAsia="es-MX"/>
        </w:rPr>
      </w:pPr>
    </w:p>
    <w:p w14:paraId="0A001069" w14:textId="77777777" w:rsidR="00045553" w:rsidRDefault="00045553" w:rsidP="00045553">
      <w:pPr>
        <w:rPr>
          <w:noProof/>
          <w:lang w:eastAsia="es-MX"/>
        </w:rPr>
      </w:pPr>
      <w:r w:rsidRPr="00D47620">
        <w:rPr>
          <w:noProof/>
          <w:lang w:eastAsia="es-MX"/>
        </w:rPr>
        <w:t>De enero 2021 al mes que se comenta se tiene el siguiente desglose que permite identificar la integración en la cuenta ******813 del banco Scotiabank:</w:t>
      </w:r>
    </w:p>
    <w:p w14:paraId="3F8250B4" w14:textId="77777777" w:rsidR="00045553" w:rsidRDefault="00045553" w:rsidP="00045553">
      <w:pPr>
        <w:jc w:val="center"/>
        <w:rPr>
          <w:noProof/>
          <w:lang w:eastAsia="es-MX"/>
        </w:rPr>
      </w:pPr>
      <w:r w:rsidRPr="007B1062">
        <w:rPr>
          <w:noProof/>
          <w:lang w:eastAsia="es-MX"/>
        </w:rPr>
        <w:drawing>
          <wp:inline distT="0" distB="0" distL="0" distR="0" wp14:anchorId="5A03A8EA" wp14:editId="5973FE16">
            <wp:extent cx="3966845" cy="1591945"/>
            <wp:effectExtent l="0" t="0" r="0" b="825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6845" cy="1591945"/>
                    </a:xfrm>
                    <a:prstGeom prst="rect">
                      <a:avLst/>
                    </a:prstGeom>
                    <a:noFill/>
                    <a:ln>
                      <a:noFill/>
                    </a:ln>
                  </pic:spPr>
                </pic:pic>
              </a:graphicData>
            </a:graphic>
          </wp:inline>
        </w:drawing>
      </w:r>
    </w:p>
    <w:p w14:paraId="256832C9" w14:textId="77777777" w:rsidR="00045553" w:rsidRPr="00726594" w:rsidRDefault="00045553" w:rsidP="00396F02">
      <w:pPr>
        <w:numPr>
          <w:ilvl w:val="0"/>
          <w:numId w:val="1"/>
        </w:numPr>
        <w:tabs>
          <w:tab w:val="left" w:pos="639"/>
          <w:tab w:val="left" w:pos="3836"/>
        </w:tabs>
        <w:spacing w:before="240" w:after="0" w:line="276" w:lineRule="auto"/>
        <w:jc w:val="both"/>
        <w:rPr>
          <w:rFonts w:cs="Arial"/>
          <w:b/>
        </w:rPr>
      </w:pPr>
      <w:r w:rsidRPr="00726594">
        <w:rPr>
          <w:rFonts w:cs="Arial"/>
          <w:b/>
          <w:bCs/>
        </w:rPr>
        <w:t xml:space="preserve">Deudores Diversos por Cobrar a Corto Plazo. </w:t>
      </w:r>
      <w:r w:rsidRPr="00726594">
        <w:rPr>
          <w:rFonts w:cs="Arial"/>
          <w:bCs/>
        </w:rPr>
        <w:t xml:space="preserve">El saldo de 318.78, corresponde a </w:t>
      </w:r>
      <w:r>
        <w:rPr>
          <w:rFonts w:cs="Arial"/>
          <w:bCs/>
        </w:rPr>
        <w:t>finiquito de Jorge Clemente Serrano el cual será aclarado en el mes siguiente.</w:t>
      </w:r>
    </w:p>
    <w:p w14:paraId="29711FF0" w14:textId="77777777" w:rsidR="00045553" w:rsidRPr="00726594" w:rsidRDefault="00045553" w:rsidP="00045553">
      <w:pPr>
        <w:pStyle w:val="Prrafodelista"/>
        <w:tabs>
          <w:tab w:val="left" w:pos="639"/>
          <w:tab w:val="left" w:pos="3836"/>
        </w:tabs>
        <w:spacing w:before="240" w:line="276" w:lineRule="auto"/>
        <w:ind w:left="502" w:right="-1"/>
        <w:jc w:val="both"/>
        <w:rPr>
          <w:rFonts w:cs="Arial"/>
          <w:b/>
        </w:rPr>
      </w:pPr>
    </w:p>
    <w:p w14:paraId="73E308A2" w14:textId="77777777" w:rsidR="00045553" w:rsidRPr="00F42B4B" w:rsidRDefault="00045553" w:rsidP="00045553">
      <w:pPr>
        <w:spacing w:after="0" w:line="276" w:lineRule="auto"/>
        <w:ind w:right="-1"/>
        <w:jc w:val="both"/>
        <w:rPr>
          <w:rFonts w:cs="Arial"/>
          <w:b/>
        </w:rPr>
      </w:pPr>
      <w:r w:rsidRPr="00F42B4B">
        <w:rPr>
          <w:rFonts w:cs="Arial"/>
          <w:b/>
        </w:rPr>
        <w:t>Activo No Circulante</w:t>
      </w:r>
    </w:p>
    <w:p w14:paraId="67CF35DF" w14:textId="77777777" w:rsidR="00045553" w:rsidRPr="00F42B4B" w:rsidRDefault="00045553" w:rsidP="00045553">
      <w:pPr>
        <w:spacing w:after="0" w:line="276" w:lineRule="auto"/>
        <w:ind w:right="-1"/>
        <w:jc w:val="both"/>
        <w:rPr>
          <w:rFonts w:cs="Arial"/>
          <w:b/>
          <w:sz w:val="12"/>
        </w:rPr>
      </w:pPr>
    </w:p>
    <w:p w14:paraId="13529224" w14:textId="77777777" w:rsidR="00045553" w:rsidRPr="00DE16F2" w:rsidRDefault="00045553" w:rsidP="00045553">
      <w:pPr>
        <w:tabs>
          <w:tab w:val="left" w:pos="3836"/>
        </w:tabs>
        <w:spacing w:line="276" w:lineRule="auto"/>
        <w:ind w:right="-1"/>
        <w:jc w:val="both"/>
        <w:rPr>
          <w:rFonts w:cs="Arial"/>
          <w:b/>
        </w:rPr>
      </w:pPr>
      <w:r w:rsidRPr="00DE16F2">
        <w:rPr>
          <w:rFonts w:cs="Arial"/>
          <w:b/>
        </w:rPr>
        <w:t xml:space="preserve">Inversiones Financieras a Largo Plazo. - </w:t>
      </w:r>
      <w:r w:rsidRPr="00DE16F2">
        <w:rPr>
          <w:rFonts w:cs="Arial"/>
        </w:rPr>
        <w:t>El saldo se integra con la siguiente cuenta</w:t>
      </w:r>
      <w:r w:rsidRPr="00DE16F2">
        <w:rPr>
          <w:rFonts w:cs="Arial"/>
          <w:b/>
        </w:rPr>
        <w:t>:</w:t>
      </w:r>
      <w:r w:rsidRPr="00DE16F2">
        <w:t xml:space="preserve"> </w:t>
      </w:r>
    </w:p>
    <w:p w14:paraId="61BD38A8" w14:textId="77777777" w:rsidR="00045553" w:rsidRPr="00A7703F" w:rsidRDefault="00045553" w:rsidP="00396F02">
      <w:pPr>
        <w:numPr>
          <w:ilvl w:val="0"/>
          <w:numId w:val="1"/>
        </w:numPr>
        <w:tabs>
          <w:tab w:val="left" w:pos="639"/>
          <w:tab w:val="left" w:pos="3836"/>
        </w:tabs>
        <w:spacing w:before="240" w:after="0" w:line="276" w:lineRule="auto"/>
        <w:jc w:val="both"/>
        <w:rPr>
          <w:rFonts w:cs="Arial"/>
          <w:b/>
        </w:rPr>
      </w:pPr>
      <w:r w:rsidRPr="00A7703F">
        <w:rPr>
          <w:rFonts w:eastAsiaTheme="minorEastAsia" w:cs="Arial"/>
          <w:b/>
          <w:bCs/>
          <w:color w:val="000000" w:themeColor="text1"/>
        </w:rPr>
        <w:t xml:space="preserve">Fideicomisos, Mandatos y Contratos Análogos. - </w:t>
      </w:r>
      <w:r w:rsidRPr="00A7703F">
        <w:rPr>
          <w:rFonts w:eastAsiaTheme="minorEastAsia" w:cs="Arial"/>
          <w:color w:val="000000" w:themeColor="text1"/>
        </w:rPr>
        <w:t xml:space="preserve">El saldo por las aportaciones realizadas al Fideicomiso de Cobranza de esta cuenta al mes que se analiza es por </w:t>
      </w:r>
      <w:r w:rsidRPr="00726594">
        <w:rPr>
          <w:rFonts w:eastAsiaTheme="minorEastAsia" w:cs="Arial"/>
          <w:color w:val="000000" w:themeColor="text1"/>
        </w:rPr>
        <w:t>7</w:t>
      </w:r>
      <w:r>
        <w:rPr>
          <w:rFonts w:eastAsiaTheme="minorEastAsia" w:cs="Arial"/>
          <w:color w:val="000000" w:themeColor="text1"/>
        </w:rPr>
        <w:t>,</w:t>
      </w:r>
      <w:r w:rsidRPr="00726594">
        <w:rPr>
          <w:rFonts w:eastAsiaTheme="minorEastAsia" w:cs="Arial"/>
          <w:color w:val="000000" w:themeColor="text1"/>
        </w:rPr>
        <w:t>154</w:t>
      </w:r>
      <w:r>
        <w:rPr>
          <w:rFonts w:eastAsiaTheme="minorEastAsia" w:cs="Arial"/>
          <w:color w:val="000000" w:themeColor="text1"/>
        </w:rPr>
        <w:t>,</w:t>
      </w:r>
      <w:r w:rsidRPr="00726594">
        <w:rPr>
          <w:rFonts w:eastAsiaTheme="minorEastAsia" w:cs="Arial"/>
          <w:color w:val="000000" w:themeColor="text1"/>
        </w:rPr>
        <w:t>567</w:t>
      </w:r>
      <w:r>
        <w:rPr>
          <w:rFonts w:eastAsiaTheme="minorEastAsia" w:cs="Arial"/>
          <w:color w:val="000000" w:themeColor="text1"/>
        </w:rPr>
        <w:t>,</w:t>
      </w:r>
      <w:r w:rsidRPr="00726594">
        <w:rPr>
          <w:rFonts w:eastAsiaTheme="minorEastAsia" w:cs="Arial"/>
          <w:color w:val="000000" w:themeColor="text1"/>
        </w:rPr>
        <w:t>400.91</w:t>
      </w:r>
      <w:r w:rsidRPr="00A7703F">
        <w:rPr>
          <w:rFonts w:eastAsiaTheme="minorEastAsia" w:cs="Arial"/>
          <w:color w:val="000000" w:themeColor="text1"/>
        </w:rPr>
        <w:t xml:space="preserve">, que refleja los recursos transferidos a la fiduciaria, menos los pagos por amortización de capital y las remesas al Instituto, que corresponden a las siguientes cantidades, al RPP por </w:t>
      </w:r>
      <w:r w:rsidRPr="00726594">
        <w:rPr>
          <w:rFonts w:eastAsia="HelveticaNeueLT Std" w:cs="HelveticaNeueLT Std"/>
        </w:rPr>
        <w:t>7,143,162,052.06</w:t>
      </w:r>
      <w:r w:rsidRPr="00A7703F">
        <w:rPr>
          <w:rFonts w:eastAsiaTheme="minorEastAsia" w:cs="Arial"/>
          <w:color w:val="000000" w:themeColor="text1"/>
        </w:rPr>
        <w:t xml:space="preserve">, y al RPC por </w:t>
      </w:r>
      <w:r w:rsidRPr="00726594">
        <w:rPr>
          <w:rFonts w:eastAsiaTheme="minorEastAsia" w:cs="Arial"/>
          <w:color w:val="000000" w:themeColor="text1"/>
        </w:rPr>
        <w:t>11,405,348.85</w:t>
      </w:r>
      <w:r w:rsidRPr="00A7703F">
        <w:rPr>
          <w:rFonts w:eastAsia="HelveticaNeueLT Std" w:cs="HelveticaNeueLT Std"/>
        </w:rPr>
        <w:t>.</w:t>
      </w:r>
    </w:p>
    <w:p w14:paraId="33336D1C" w14:textId="77777777" w:rsidR="00045553" w:rsidRPr="00410DEE" w:rsidRDefault="00045553" w:rsidP="00045553">
      <w:pPr>
        <w:spacing w:after="0" w:line="259" w:lineRule="auto"/>
        <w:ind w:left="502" w:right="-1"/>
        <w:contextualSpacing/>
        <w:jc w:val="both"/>
        <w:rPr>
          <w:rFonts w:cs="Arial"/>
          <w:b/>
        </w:rPr>
      </w:pPr>
    </w:p>
    <w:p w14:paraId="56ED8A1C" w14:textId="77777777" w:rsidR="00045553" w:rsidRDefault="00045553" w:rsidP="00045553">
      <w:pPr>
        <w:tabs>
          <w:tab w:val="left" w:pos="7909"/>
        </w:tabs>
        <w:spacing w:line="259" w:lineRule="auto"/>
        <w:rPr>
          <w:rFonts w:cs="Arial"/>
        </w:rPr>
      </w:pPr>
      <w:r w:rsidRPr="00F42B4B">
        <w:rPr>
          <w:rFonts w:cs="Arial"/>
          <w:b/>
        </w:rPr>
        <w:t>Bienes Inmuebles, Infraestructura y Construcciones en Proceso</w:t>
      </w:r>
      <w:r>
        <w:rPr>
          <w:rFonts w:cs="Arial"/>
          <w:b/>
        </w:rPr>
        <w:t>.-</w:t>
      </w:r>
      <w:r w:rsidRPr="00DE16F2">
        <w:rPr>
          <w:rFonts w:cs="Arial"/>
        </w:rPr>
        <w:t>El saldo se integra con la siguiente cuenta</w:t>
      </w:r>
      <w:r>
        <w:rPr>
          <w:rFonts w:cs="Arial"/>
        </w:rPr>
        <w:t>:</w:t>
      </w:r>
    </w:p>
    <w:p w14:paraId="71D84430" w14:textId="77777777" w:rsidR="00045553" w:rsidRPr="00F42B4B" w:rsidRDefault="00045553" w:rsidP="00045553">
      <w:pPr>
        <w:tabs>
          <w:tab w:val="left" w:pos="7909"/>
        </w:tabs>
        <w:spacing w:line="259" w:lineRule="auto"/>
        <w:rPr>
          <w:rFonts w:cs="Arial"/>
          <w:b/>
        </w:rPr>
      </w:pPr>
    </w:p>
    <w:p w14:paraId="10BCD47C" w14:textId="77777777" w:rsidR="00045553" w:rsidRPr="00500985" w:rsidRDefault="00045553" w:rsidP="00396F02">
      <w:pPr>
        <w:numPr>
          <w:ilvl w:val="0"/>
          <w:numId w:val="1"/>
        </w:numPr>
        <w:tabs>
          <w:tab w:val="left" w:pos="639"/>
          <w:tab w:val="left" w:pos="3836"/>
        </w:tabs>
        <w:spacing w:before="240" w:after="0" w:line="276" w:lineRule="auto"/>
        <w:jc w:val="both"/>
        <w:rPr>
          <w:rFonts w:cs="Arial"/>
          <w:b/>
          <w:color w:val="000000" w:themeColor="text1"/>
        </w:rPr>
      </w:pPr>
      <w:r w:rsidRPr="00D057B1">
        <w:rPr>
          <w:rFonts w:cs="Arial"/>
          <w:b/>
          <w:color w:val="000000" w:themeColor="text1"/>
        </w:rPr>
        <w:t xml:space="preserve">Terrenos. – </w:t>
      </w:r>
      <w:r w:rsidRPr="00D057B1">
        <w:rPr>
          <w:rFonts w:cs="Arial"/>
          <w:color w:val="000000" w:themeColor="text1"/>
        </w:rPr>
        <w:t xml:space="preserve">A la fecha se cuenta con un valor de 2,793,209.00 los cuales incluye donaciones al Instituto </w:t>
      </w:r>
      <w:r>
        <w:rPr>
          <w:rFonts w:cs="Arial"/>
          <w:color w:val="000000" w:themeColor="text1"/>
        </w:rPr>
        <w:t>en las Oficinas Registrales de Tenango del Valle, Otumba, Ixtlahuaca y el Oro.</w:t>
      </w:r>
    </w:p>
    <w:p w14:paraId="37305404" w14:textId="77777777" w:rsidR="00045553" w:rsidRPr="00D057B1" w:rsidRDefault="00045553" w:rsidP="00045553">
      <w:pPr>
        <w:spacing w:after="0" w:line="276" w:lineRule="auto"/>
        <w:ind w:left="862" w:right="-1"/>
        <w:jc w:val="both"/>
        <w:rPr>
          <w:rFonts w:cs="Arial"/>
          <w:b/>
          <w:color w:val="000000" w:themeColor="text1"/>
        </w:rPr>
      </w:pPr>
    </w:p>
    <w:p w14:paraId="5413F56B" w14:textId="77777777" w:rsidR="00045553" w:rsidRPr="00D044B8" w:rsidRDefault="00045553" w:rsidP="00396F02">
      <w:pPr>
        <w:numPr>
          <w:ilvl w:val="0"/>
          <w:numId w:val="1"/>
        </w:numPr>
        <w:tabs>
          <w:tab w:val="left" w:pos="639"/>
          <w:tab w:val="left" w:pos="3836"/>
        </w:tabs>
        <w:spacing w:before="240" w:after="0" w:line="276" w:lineRule="auto"/>
        <w:jc w:val="both"/>
        <w:rPr>
          <w:rFonts w:cs="Arial"/>
          <w:color w:val="000000" w:themeColor="text1"/>
        </w:rPr>
      </w:pPr>
      <w:r w:rsidRPr="00D044B8">
        <w:rPr>
          <w:rFonts w:cs="Arial"/>
          <w:b/>
          <w:bCs/>
        </w:rPr>
        <w:t xml:space="preserve">Edificios no Habitacionales. - </w:t>
      </w:r>
      <w:r w:rsidRPr="00D044B8">
        <w:rPr>
          <w:rFonts w:cs="Arial"/>
        </w:rPr>
        <w:t xml:space="preserve">A la fecha de estas notas presentaron un valor histórico de </w:t>
      </w:r>
      <w:r w:rsidRPr="00D044B8">
        <w:rPr>
          <w:rFonts w:eastAsia="HelveticaNeueLT Std" w:cs="HelveticaNeueLT Std"/>
        </w:rPr>
        <w:t>86,325,735.19,</w:t>
      </w:r>
      <w:r w:rsidRPr="00D044B8">
        <w:rPr>
          <w:rFonts w:cs="Arial"/>
        </w:rPr>
        <w:t xml:space="preserve"> l</w:t>
      </w:r>
      <w:r w:rsidRPr="00D044B8">
        <w:rPr>
          <w:rFonts w:cs="Arial"/>
          <w:color w:val="000000" w:themeColor="text1"/>
        </w:rPr>
        <w:t xml:space="preserve">a depreciación acumulada al mes actual fue de </w:t>
      </w:r>
      <w:r w:rsidRPr="00500985">
        <w:rPr>
          <w:rFonts w:eastAsia="HelveticaNeueLT Std" w:cs="HelveticaNeueLT Std"/>
        </w:rPr>
        <w:t>11</w:t>
      </w:r>
      <w:r>
        <w:rPr>
          <w:rFonts w:eastAsia="HelveticaNeueLT Std" w:cs="HelveticaNeueLT Std"/>
        </w:rPr>
        <w:t>,</w:t>
      </w:r>
      <w:r w:rsidRPr="00500985">
        <w:rPr>
          <w:rFonts w:eastAsia="HelveticaNeueLT Std" w:cs="HelveticaNeueLT Std"/>
        </w:rPr>
        <w:t>031</w:t>
      </w:r>
      <w:r>
        <w:rPr>
          <w:rFonts w:eastAsia="HelveticaNeueLT Std" w:cs="HelveticaNeueLT Std"/>
        </w:rPr>
        <w:t>,</w:t>
      </w:r>
      <w:r w:rsidRPr="00500985">
        <w:rPr>
          <w:rFonts w:eastAsia="HelveticaNeueLT Std" w:cs="HelveticaNeueLT Std"/>
        </w:rPr>
        <w:t>530.61</w:t>
      </w:r>
      <w:r w:rsidRPr="00D044B8">
        <w:rPr>
          <w:rFonts w:eastAsia="HelveticaNeueLT Std" w:cs="HelveticaNeueLT Std"/>
        </w:rPr>
        <w:t xml:space="preserve">, se afecta contra el resultado del ejercicio por lo que se determinó un valor neto en libros de </w:t>
      </w:r>
      <w:r w:rsidRPr="00500985">
        <w:rPr>
          <w:rFonts w:eastAsia="HelveticaNeueLT Std" w:cs="HelveticaNeueLT Std"/>
        </w:rPr>
        <w:t>75</w:t>
      </w:r>
      <w:r>
        <w:rPr>
          <w:rFonts w:eastAsia="HelveticaNeueLT Std" w:cs="HelveticaNeueLT Std"/>
        </w:rPr>
        <w:t>,</w:t>
      </w:r>
      <w:r w:rsidRPr="00500985">
        <w:rPr>
          <w:rFonts w:eastAsia="HelveticaNeueLT Std" w:cs="HelveticaNeueLT Std"/>
        </w:rPr>
        <w:t>294</w:t>
      </w:r>
      <w:r>
        <w:rPr>
          <w:rFonts w:eastAsia="HelveticaNeueLT Std" w:cs="HelveticaNeueLT Std"/>
        </w:rPr>
        <w:t>,</w:t>
      </w:r>
      <w:r w:rsidRPr="00500985">
        <w:rPr>
          <w:rFonts w:eastAsia="HelveticaNeueLT Std" w:cs="HelveticaNeueLT Std"/>
        </w:rPr>
        <w:t>204.58</w:t>
      </w:r>
      <w:r w:rsidRPr="00D044B8">
        <w:rPr>
          <w:rFonts w:eastAsia="HelveticaNeueLT Std" w:cs="HelveticaNeueLT Std"/>
        </w:rPr>
        <w:t>.</w:t>
      </w:r>
    </w:p>
    <w:p w14:paraId="1CBAED27" w14:textId="77777777" w:rsidR="00045553" w:rsidRDefault="00045553" w:rsidP="00045553">
      <w:pPr>
        <w:spacing w:after="0" w:line="276" w:lineRule="auto"/>
        <w:ind w:right="-1"/>
        <w:jc w:val="both"/>
        <w:rPr>
          <w:rFonts w:cs="Arial"/>
          <w:color w:val="000000" w:themeColor="text1"/>
        </w:rPr>
      </w:pPr>
    </w:p>
    <w:p w14:paraId="4A28BE7E" w14:textId="77777777" w:rsidR="00045553" w:rsidRDefault="00045553" w:rsidP="00045553">
      <w:pPr>
        <w:spacing w:after="0" w:line="276" w:lineRule="auto"/>
        <w:ind w:left="502" w:right="-1"/>
        <w:jc w:val="both"/>
        <w:rPr>
          <w:rFonts w:cs="Arial"/>
          <w:color w:val="000000" w:themeColor="text1"/>
        </w:rPr>
      </w:pPr>
    </w:p>
    <w:p w14:paraId="3A779C4D" w14:textId="77777777" w:rsidR="008049BC" w:rsidRDefault="008049BC" w:rsidP="00045553">
      <w:pPr>
        <w:spacing w:line="259" w:lineRule="auto"/>
        <w:rPr>
          <w:rFonts w:cs="Arial"/>
          <w:b/>
          <w:bCs/>
        </w:rPr>
      </w:pPr>
    </w:p>
    <w:p w14:paraId="1820D300" w14:textId="77777777" w:rsidR="00045553" w:rsidRPr="0035174E" w:rsidRDefault="00045553" w:rsidP="00045553">
      <w:pPr>
        <w:spacing w:line="259" w:lineRule="auto"/>
        <w:rPr>
          <w:rFonts w:cs="Arial"/>
        </w:rPr>
      </w:pPr>
      <w:r w:rsidRPr="00F42B4B">
        <w:rPr>
          <w:rFonts w:cs="Arial"/>
          <w:b/>
          <w:bCs/>
        </w:rPr>
        <w:t xml:space="preserve">Bienes Muebles.- </w:t>
      </w:r>
      <w:r w:rsidRPr="00F42B4B">
        <w:rPr>
          <w:rFonts w:cs="Arial"/>
        </w:rPr>
        <w:t xml:space="preserve">De acuerdo con el Análisis de Movimientos del Activo No Circulante y su Depreciación:  </w:t>
      </w:r>
    </w:p>
    <w:p w14:paraId="3E4B57B4" w14:textId="77777777" w:rsidR="00045553" w:rsidRDefault="00045553" w:rsidP="00045553">
      <w:pPr>
        <w:spacing w:after="0" w:line="276" w:lineRule="auto"/>
        <w:ind w:right="-1"/>
        <w:jc w:val="both"/>
        <w:rPr>
          <w:bCs/>
          <w:color w:val="000000" w:themeColor="text1"/>
        </w:rPr>
      </w:pPr>
    </w:p>
    <w:p w14:paraId="6B7070C6" w14:textId="77777777" w:rsidR="00045553" w:rsidRDefault="00045553" w:rsidP="00045553">
      <w:pPr>
        <w:spacing w:after="0" w:line="276" w:lineRule="auto"/>
        <w:ind w:right="-1"/>
        <w:jc w:val="both"/>
        <w:rPr>
          <w:bCs/>
          <w:color w:val="000000" w:themeColor="text1"/>
        </w:rPr>
      </w:pPr>
      <w:r w:rsidRPr="00500985">
        <w:rPr>
          <w:noProof/>
          <w:lang w:eastAsia="es-MX"/>
        </w:rPr>
        <w:drawing>
          <wp:inline distT="0" distB="0" distL="0" distR="0" wp14:anchorId="51E76D1B" wp14:editId="18DF2BCD">
            <wp:extent cx="6387465" cy="2941320"/>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94799" cy="2944697"/>
                    </a:xfrm>
                    <a:prstGeom prst="rect">
                      <a:avLst/>
                    </a:prstGeom>
                    <a:noFill/>
                    <a:ln>
                      <a:noFill/>
                    </a:ln>
                  </pic:spPr>
                </pic:pic>
              </a:graphicData>
            </a:graphic>
          </wp:inline>
        </w:drawing>
      </w:r>
    </w:p>
    <w:p w14:paraId="53A35AB5" w14:textId="77777777" w:rsidR="00045553" w:rsidRDefault="00045553" w:rsidP="00045553">
      <w:pPr>
        <w:spacing w:after="0" w:line="276" w:lineRule="auto"/>
        <w:ind w:right="-1"/>
        <w:jc w:val="both"/>
        <w:rPr>
          <w:rFonts w:cs="Arial"/>
          <w:b/>
        </w:rPr>
      </w:pPr>
    </w:p>
    <w:p w14:paraId="544121A5" w14:textId="77777777" w:rsidR="00045553" w:rsidRPr="00F8510D" w:rsidRDefault="00045553" w:rsidP="00396F02">
      <w:pPr>
        <w:numPr>
          <w:ilvl w:val="0"/>
          <w:numId w:val="1"/>
        </w:numPr>
        <w:tabs>
          <w:tab w:val="left" w:pos="639"/>
          <w:tab w:val="left" w:pos="3836"/>
        </w:tabs>
        <w:spacing w:before="240" w:after="0" w:line="276" w:lineRule="auto"/>
        <w:jc w:val="both"/>
        <w:rPr>
          <w:rFonts w:cs="Arial"/>
        </w:rPr>
      </w:pPr>
      <w:r w:rsidRPr="00F8510D">
        <w:rPr>
          <w:rFonts w:cs="Arial"/>
          <w:b/>
        </w:rPr>
        <w:t>Construcciones en Proceso en Bienes Propios</w:t>
      </w:r>
      <w:r w:rsidRPr="00821BC1">
        <w:rPr>
          <w:rFonts w:cs="Arial"/>
          <w:b/>
        </w:rPr>
        <w:t xml:space="preserve">.- </w:t>
      </w:r>
      <w:r w:rsidRPr="00F8510D">
        <w:rPr>
          <w:rFonts w:cs="Arial"/>
        </w:rPr>
        <w:t>El saldo es de 28</w:t>
      </w:r>
      <w:proofErr w:type="gramStart"/>
      <w:r w:rsidRPr="00F8510D">
        <w:rPr>
          <w:rFonts w:cs="Arial"/>
        </w:rPr>
        <w:t>,950,953.52</w:t>
      </w:r>
      <w:proofErr w:type="gramEnd"/>
      <w:r w:rsidRPr="00F8510D">
        <w:rPr>
          <w:rFonts w:cs="Arial"/>
        </w:rPr>
        <w:t xml:space="preserve"> las cuales corresponden a las estimaciones de Obra en Proceso de la número 5 a la 10.</w:t>
      </w:r>
    </w:p>
    <w:p w14:paraId="61B4A469" w14:textId="77777777" w:rsidR="00045553" w:rsidRPr="00F8510D" w:rsidRDefault="00045553" w:rsidP="00045553">
      <w:pPr>
        <w:spacing w:after="0" w:line="276" w:lineRule="auto"/>
        <w:ind w:right="-1"/>
        <w:rPr>
          <w:rFonts w:cs="Arial"/>
        </w:rPr>
      </w:pPr>
    </w:p>
    <w:p w14:paraId="6A143871" w14:textId="77777777" w:rsidR="00045553" w:rsidRPr="00F42B4B" w:rsidRDefault="00045553" w:rsidP="00045553">
      <w:pPr>
        <w:spacing w:after="0" w:line="276" w:lineRule="auto"/>
        <w:ind w:right="-1"/>
        <w:rPr>
          <w:rFonts w:cs="Arial"/>
          <w:b/>
        </w:rPr>
      </w:pPr>
      <w:r w:rsidRPr="00F42B4B">
        <w:rPr>
          <w:rFonts w:cs="Arial"/>
          <w:b/>
        </w:rPr>
        <w:t>Activos Diferidos.-</w:t>
      </w:r>
      <w:r w:rsidRPr="00F42B4B">
        <w:rPr>
          <w:rFonts w:cs="Arial"/>
        </w:rPr>
        <w:t xml:space="preserve"> El saldo de </w:t>
      </w:r>
      <w:r w:rsidRPr="00F42B4B">
        <w:rPr>
          <w:rFonts w:cs="Arial"/>
          <w:color w:val="000000" w:themeColor="text1"/>
        </w:rPr>
        <w:t xml:space="preserve">61,839.00, </w:t>
      </w:r>
      <w:r w:rsidRPr="00F42B4B">
        <w:rPr>
          <w:rFonts w:cs="Arial"/>
        </w:rPr>
        <w:t>se integra por la siguiente cuenta:</w:t>
      </w:r>
    </w:p>
    <w:p w14:paraId="24C64143" w14:textId="77777777" w:rsidR="00045553" w:rsidRPr="00F42B4B" w:rsidRDefault="00045553" w:rsidP="00045553">
      <w:pPr>
        <w:spacing w:after="0" w:line="276" w:lineRule="auto"/>
        <w:ind w:right="-1"/>
        <w:jc w:val="both"/>
        <w:rPr>
          <w:rFonts w:cs="Arial"/>
        </w:rPr>
      </w:pPr>
    </w:p>
    <w:p w14:paraId="64C264A1" w14:textId="77777777" w:rsidR="00045553" w:rsidRDefault="00045553" w:rsidP="00396F02">
      <w:pPr>
        <w:numPr>
          <w:ilvl w:val="0"/>
          <w:numId w:val="1"/>
        </w:numPr>
        <w:tabs>
          <w:tab w:val="left" w:pos="639"/>
          <w:tab w:val="left" w:pos="3836"/>
        </w:tabs>
        <w:spacing w:before="240" w:after="0" w:line="276" w:lineRule="auto"/>
        <w:jc w:val="both"/>
        <w:rPr>
          <w:rFonts w:eastAsiaTheme="minorEastAsia" w:cs="Arial"/>
        </w:rPr>
      </w:pPr>
      <w:r w:rsidRPr="00F42B4B">
        <w:rPr>
          <w:rFonts w:eastAsiaTheme="minorEastAsia" w:cs="Arial"/>
          <w:b/>
          <w:bCs/>
        </w:rPr>
        <w:t>Otros Activos Diferidos. -</w:t>
      </w:r>
      <w:r w:rsidRPr="00F42B4B">
        <w:rPr>
          <w:rFonts w:eastAsiaTheme="minorEastAsia" w:cs="Arial"/>
        </w:rPr>
        <w:t xml:space="preserve"> Su saldo representa los depósitos en garantía que se han otorgado a la Comisión Federal de Electricidad (CFE) para prestar el servicio de energía eléctrica.</w:t>
      </w:r>
    </w:p>
    <w:p w14:paraId="109B64A9" w14:textId="77777777" w:rsidR="00045553" w:rsidRPr="00F42B4B" w:rsidRDefault="00045553" w:rsidP="00045553">
      <w:pPr>
        <w:pStyle w:val="Prrafodelista"/>
        <w:spacing w:line="276" w:lineRule="auto"/>
        <w:ind w:left="502" w:right="-1"/>
        <w:jc w:val="both"/>
        <w:outlineLvl w:val="0"/>
        <w:rPr>
          <w:rFonts w:ascii="HelveticaNeueLT Std" w:eastAsiaTheme="minorEastAsia" w:hAnsi="HelveticaNeueLT Std" w:cs="Arial"/>
          <w:sz w:val="20"/>
          <w:szCs w:val="20"/>
          <w:lang w:eastAsia="en-US"/>
        </w:rPr>
      </w:pPr>
    </w:p>
    <w:p w14:paraId="347157A6" w14:textId="77777777" w:rsidR="00045553" w:rsidRPr="00F42B4B" w:rsidRDefault="00045553" w:rsidP="00045553">
      <w:pPr>
        <w:spacing w:after="0" w:line="276" w:lineRule="auto"/>
        <w:ind w:right="-1"/>
        <w:jc w:val="both"/>
        <w:rPr>
          <w:rFonts w:cs="Arial"/>
          <w:b/>
        </w:rPr>
      </w:pPr>
    </w:p>
    <w:p w14:paraId="7B3C543E" w14:textId="77777777" w:rsidR="00045553" w:rsidRPr="00F42B4B" w:rsidRDefault="00045553" w:rsidP="00045553">
      <w:pPr>
        <w:spacing w:line="276" w:lineRule="auto"/>
        <w:ind w:right="-1"/>
        <w:jc w:val="both"/>
        <w:outlineLvl w:val="0"/>
        <w:rPr>
          <w:rFonts w:cs="Arial"/>
          <w:b/>
        </w:rPr>
      </w:pPr>
      <w:r w:rsidRPr="00F42B4B">
        <w:rPr>
          <w:rFonts w:cs="Arial"/>
          <w:b/>
        </w:rPr>
        <w:t>Pasivo Circulante</w:t>
      </w:r>
    </w:p>
    <w:p w14:paraId="5478BFAA" w14:textId="77777777" w:rsidR="00045553" w:rsidRDefault="00045553" w:rsidP="00045553">
      <w:pPr>
        <w:spacing w:line="276" w:lineRule="auto"/>
        <w:ind w:right="-1"/>
        <w:jc w:val="both"/>
        <w:outlineLvl w:val="0"/>
        <w:rPr>
          <w:rFonts w:eastAsiaTheme="minorEastAsia" w:cs="Arial"/>
        </w:rPr>
      </w:pPr>
      <w:r w:rsidRPr="00D27374">
        <w:rPr>
          <w:rFonts w:eastAsiaTheme="minorEastAsia" w:cs="Arial"/>
          <w:b/>
          <w:bCs/>
        </w:rPr>
        <w:t>Cuentas por Pagar a Corto Plazo</w:t>
      </w:r>
      <w:r w:rsidRPr="00D27374">
        <w:rPr>
          <w:rFonts w:cs="Arial"/>
          <w:b/>
          <w:bCs/>
        </w:rPr>
        <w:t>.-</w:t>
      </w:r>
      <w:r w:rsidRPr="00D27374">
        <w:rPr>
          <w:rFonts w:cs="Arial"/>
          <w:b/>
          <w:bCs/>
          <w:sz w:val="22"/>
          <w:szCs w:val="22"/>
        </w:rPr>
        <w:t xml:space="preserve"> </w:t>
      </w:r>
      <w:r w:rsidRPr="00D27374">
        <w:rPr>
          <w:rFonts w:eastAsiaTheme="minorEastAsia" w:cs="Arial"/>
        </w:rPr>
        <w:t xml:space="preserve">El saldo de este rubro por </w:t>
      </w:r>
      <w:r w:rsidRPr="00500985">
        <w:rPr>
          <w:rFonts w:eastAsiaTheme="minorEastAsia" w:cs="Arial"/>
        </w:rPr>
        <w:t>4</w:t>
      </w:r>
      <w:proofErr w:type="gramStart"/>
      <w:r>
        <w:rPr>
          <w:rFonts w:eastAsiaTheme="minorEastAsia" w:cs="Arial"/>
        </w:rPr>
        <w:t>,</w:t>
      </w:r>
      <w:r w:rsidRPr="00500985">
        <w:rPr>
          <w:rFonts w:eastAsiaTheme="minorEastAsia" w:cs="Arial"/>
        </w:rPr>
        <w:t>857</w:t>
      </w:r>
      <w:r>
        <w:rPr>
          <w:rFonts w:eastAsiaTheme="minorEastAsia" w:cs="Arial"/>
        </w:rPr>
        <w:t>,</w:t>
      </w:r>
      <w:r w:rsidRPr="00500985">
        <w:rPr>
          <w:rFonts w:eastAsiaTheme="minorEastAsia" w:cs="Arial"/>
        </w:rPr>
        <w:t>785.47</w:t>
      </w:r>
      <w:proofErr w:type="gramEnd"/>
      <w:r>
        <w:rPr>
          <w:rFonts w:eastAsiaTheme="minorEastAsia" w:cs="Arial"/>
        </w:rPr>
        <w:t>,</w:t>
      </w:r>
      <w:r w:rsidRPr="00D27374">
        <w:rPr>
          <w:rFonts w:eastAsiaTheme="minorEastAsia" w:cs="Arial"/>
        </w:rPr>
        <w:t xml:space="preserve"> se integra de la forma y con la antigüedad de saldos siguientes:</w:t>
      </w:r>
    </w:p>
    <w:p w14:paraId="375DC163" w14:textId="77777777" w:rsidR="00045553" w:rsidRDefault="00045553" w:rsidP="00045553">
      <w:pPr>
        <w:tabs>
          <w:tab w:val="left" w:pos="1626"/>
        </w:tabs>
        <w:spacing w:line="276" w:lineRule="auto"/>
        <w:ind w:right="-1"/>
        <w:jc w:val="center"/>
        <w:outlineLvl w:val="0"/>
        <w:rPr>
          <w:rFonts w:eastAsiaTheme="minorEastAsia" w:cs="Arial"/>
        </w:rPr>
      </w:pPr>
      <w:r w:rsidRPr="00E16B62">
        <w:rPr>
          <w:noProof/>
          <w:lang w:eastAsia="es-MX"/>
        </w:rPr>
        <w:lastRenderedPageBreak/>
        <w:drawing>
          <wp:inline distT="0" distB="0" distL="0" distR="0" wp14:anchorId="6EBC8040" wp14:editId="50911235">
            <wp:extent cx="6389370" cy="7034578"/>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9370" cy="7034578"/>
                    </a:xfrm>
                    <a:prstGeom prst="rect">
                      <a:avLst/>
                    </a:prstGeom>
                    <a:noFill/>
                    <a:ln>
                      <a:noFill/>
                    </a:ln>
                  </pic:spPr>
                </pic:pic>
              </a:graphicData>
            </a:graphic>
          </wp:inline>
        </w:drawing>
      </w:r>
    </w:p>
    <w:p w14:paraId="22D0CAA2" w14:textId="77777777" w:rsidR="00045553" w:rsidRDefault="00045553" w:rsidP="00045553">
      <w:pPr>
        <w:spacing w:line="276" w:lineRule="auto"/>
        <w:ind w:right="-1"/>
        <w:jc w:val="both"/>
        <w:outlineLvl w:val="0"/>
        <w:rPr>
          <w:rFonts w:cs="Arial"/>
        </w:rPr>
      </w:pPr>
      <w:r w:rsidRPr="00F42B4B">
        <w:rPr>
          <w:rFonts w:cs="Arial"/>
        </w:rPr>
        <w:lastRenderedPageBreak/>
        <w:t xml:space="preserve">El importe a más de 365 días se debe a la </w:t>
      </w:r>
      <w:r w:rsidRPr="007C2D07">
        <w:rPr>
          <w:rFonts w:cs="Arial"/>
        </w:rPr>
        <w:t xml:space="preserve">cancelación </w:t>
      </w:r>
      <w:r w:rsidRPr="00F42B4B">
        <w:rPr>
          <w:rFonts w:cs="Arial"/>
        </w:rPr>
        <w:t xml:space="preserve">de cheques en tránsito </w:t>
      </w:r>
      <w:r>
        <w:rPr>
          <w:rFonts w:cs="Arial"/>
        </w:rPr>
        <w:t xml:space="preserve">(por devolución de ingresos indebidos), </w:t>
      </w:r>
      <w:r w:rsidRPr="00F42B4B">
        <w:rPr>
          <w:rFonts w:cs="Arial"/>
        </w:rPr>
        <w:t>los cuales deben de permanecer en cuentas por pagar de acuerdo con la normatividad vigente.</w:t>
      </w:r>
    </w:p>
    <w:p w14:paraId="3A6715BE" w14:textId="77777777" w:rsidR="00045553" w:rsidRPr="003F02B2" w:rsidRDefault="00045553" w:rsidP="00396F02">
      <w:pPr>
        <w:numPr>
          <w:ilvl w:val="0"/>
          <w:numId w:val="1"/>
        </w:numPr>
        <w:tabs>
          <w:tab w:val="left" w:pos="639"/>
          <w:tab w:val="left" w:pos="3836"/>
        </w:tabs>
        <w:spacing w:before="240" w:after="0" w:line="276" w:lineRule="auto"/>
        <w:jc w:val="both"/>
        <w:rPr>
          <w:rFonts w:eastAsiaTheme="minorEastAsia" w:cs="Arial"/>
          <w:b/>
          <w:bCs/>
        </w:rPr>
      </w:pPr>
      <w:r w:rsidRPr="003F02B2">
        <w:rPr>
          <w:rFonts w:eastAsiaTheme="minorEastAsia" w:cs="Arial"/>
          <w:b/>
          <w:bCs/>
        </w:rPr>
        <w:t xml:space="preserve">Proveedores por Pagar a Corto Plazo. </w:t>
      </w:r>
      <w:r w:rsidRPr="003F02B2">
        <w:rPr>
          <w:rFonts w:eastAsiaTheme="minorEastAsia" w:cs="Arial"/>
        </w:rPr>
        <w:t xml:space="preserve">- El saldo es de </w:t>
      </w:r>
      <w:r w:rsidRPr="00500985">
        <w:rPr>
          <w:rFonts w:eastAsiaTheme="minorEastAsia" w:cs="Arial"/>
        </w:rPr>
        <w:t>459</w:t>
      </w:r>
      <w:r>
        <w:rPr>
          <w:rFonts w:eastAsiaTheme="minorEastAsia" w:cs="Arial"/>
        </w:rPr>
        <w:t>,</w:t>
      </w:r>
      <w:r w:rsidRPr="00500985">
        <w:rPr>
          <w:rFonts w:eastAsiaTheme="minorEastAsia" w:cs="Arial"/>
        </w:rPr>
        <w:t>980.68</w:t>
      </w:r>
      <w:r w:rsidRPr="003F02B2">
        <w:rPr>
          <w:rFonts w:eastAsiaTheme="minorEastAsia" w:cs="Arial"/>
        </w:rPr>
        <w:t xml:space="preserve">, el cual se le deben a </w:t>
      </w:r>
      <w:r w:rsidRPr="00500985">
        <w:rPr>
          <w:rFonts w:eastAsiaTheme="minorEastAsia" w:cs="Arial"/>
        </w:rPr>
        <w:t xml:space="preserve">Diego Aguilar Mercado </w:t>
      </w:r>
      <w:r>
        <w:rPr>
          <w:rFonts w:eastAsiaTheme="minorEastAsia" w:cs="Arial"/>
        </w:rPr>
        <w:t xml:space="preserve">un monto de 4,176.00, </w:t>
      </w:r>
      <w:r w:rsidRPr="00500985">
        <w:rPr>
          <w:rFonts w:eastAsiaTheme="minorEastAsia" w:cs="Arial"/>
        </w:rPr>
        <w:t xml:space="preserve">ATM </w:t>
      </w:r>
      <w:proofErr w:type="spellStart"/>
      <w:r w:rsidRPr="00500985">
        <w:rPr>
          <w:rFonts w:eastAsiaTheme="minorEastAsia" w:cs="Arial"/>
        </w:rPr>
        <w:t>Purity</w:t>
      </w:r>
      <w:proofErr w:type="spellEnd"/>
      <w:r w:rsidRPr="00500985">
        <w:rPr>
          <w:rFonts w:eastAsiaTheme="minorEastAsia" w:cs="Arial"/>
        </w:rPr>
        <w:t xml:space="preserve"> S</w:t>
      </w:r>
      <w:r>
        <w:rPr>
          <w:rFonts w:eastAsiaTheme="minorEastAsia" w:cs="Arial"/>
        </w:rPr>
        <w:t>.</w:t>
      </w:r>
      <w:r w:rsidRPr="00500985">
        <w:rPr>
          <w:rFonts w:eastAsiaTheme="minorEastAsia" w:cs="Arial"/>
        </w:rPr>
        <w:t>A</w:t>
      </w:r>
      <w:r>
        <w:rPr>
          <w:rFonts w:eastAsiaTheme="minorEastAsia" w:cs="Arial"/>
        </w:rPr>
        <w:t>.</w:t>
      </w:r>
      <w:r w:rsidRPr="00500985">
        <w:rPr>
          <w:rFonts w:eastAsiaTheme="minorEastAsia" w:cs="Arial"/>
        </w:rPr>
        <w:t xml:space="preserve"> de C</w:t>
      </w:r>
      <w:r>
        <w:rPr>
          <w:rFonts w:eastAsiaTheme="minorEastAsia" w:cs="Arial"/>
        </w:rPr>
        <w:t>.</w:t>
      </w:r>
      <w:r w:rsidRPr="00500985">
        <w:rPr>
          <w:rFonts w:eastAsiaTheme="minorEastAsia" w:cs="Arial"/>
        </w:rPr>
        <w:t>V</w:t>
      </w:r>
      <w:r>
        <w:rPr>
          <w:rFonts w:eastAsiaTheme="minorEastAsia" w:cs="Arial"/>
        </w:rPr>
        <w:t xml:space="preserve">. un monto de </w:t>
      </w:r>
      <w:r w:rsidRPr="00571A93">
        <w:rPr>
          <w:rFonts w:eastAsiaTheme="minorEastAsia" w:cs="Arial"/>
        </w:rPr>
        <w:t>455</w:t>
      </w:r>
      <w:r>
        <w:rPr>
          <w:rFonts w:eastAsiaTheme="minorEastAsia" w:cs="Arial"/>
        </w:rPr>
        <w:t>,</w:t>
      </w:r>
      <w:r w:rsidRPr="00571A93">
        <w:rPr>
          <w:rFonts w:eastAsiaTheme="minorEastAsia" w:cs="Arial"/>
        </w:rPr>
        <w:t>804.68</w:t>
      </w:r>
      <w:r>
        <w:rPr>
          <w:rFonts w:eastAsiaTheme="minorEastAsia" w:cs="Arial"/>
        </w:rPr>
        <w:t>.</w:t>
      </w:r>
    </w:p>
    <w:p w14:paraId="1FB9FF2E" w14:textId="77777777" w:rsidR="00045553" w:rsidRPr="003F02B2" w:rsidRDefault="00045553" w:rsidP="00045553">
      <w:pPr>
        <w:pStyle w:val="Prrafodelista"/>
        <w:spacing w:line="276" w:lineRule="auto"/>
        <w:ind w:left="862" w:right="-1"/>
        <w:jc w:val="both"/>
        <w:outlineLvl w:val="0"/>
        <w:rPr>
          <w:rFonts w:eastAsiaTheme="minorEastAsia" w:cs="Arial"/>
          <w:b/>
          <w:bCs/>
        </w:rPr>
      </w:pPr>
    </w:p>
    <w:p w14:paraId="3D7F436E" w14:textId="77777777" w:rsidR="00045553" w:rsidRPr="00E54543" w:rsidRDefault="00045553" w:rsidP="00396F02">
      <w:pPr>
        <w:numPr>
          <w:ilvl w:val="0"/>
          <w:numId w:val="1"/>
        </w:numPr>
        <w:tabs>
          <w:tab w:val="left" w:pos="639"/>
          <w:tab w:val="left" w:pos="3836"/>
        </w:tabs>
        <w:spacing w:before="240" w:after="0" w:line="276" w:lineRule="auto"/>
        <w:jc w:val="both"/>
        <w:rPr>
          <w:rFonts w:eastAsiaTheme="minorEastAsia" w:cs="Arial"/>
        </w:rPr>
      </w:pPr>
      <w:r w:rsidRPr="00E54543">
        <w:rPr>
          <w:rFonts w:eastAsiaTheme="minorEastAsia" w:cs="Arial"/>
          <w:b/>
          <w:bCs/>
        </w:rPr>
        <w:t xml:space="preserve">Retenciones y Contribuciones por Pagar a Corto Plazo. – </w:t>
      </w:r>
      <w:r w:rsidRPr="00E54543">
        <w:rPr>
          <w:rFonts w:eastAsiaTheme="minorEastAsia" w:cs="Arial"/>
        </w:rPr>
        <w:t xml:space="preserve">El saldo de </w:t>
      </w:r>
      <w:r w:rsidRPr="00571A93">
        <w:rPr>
          <w:rFonts w:eastAsiaTheme="minorEastAsia" w:cs="Arial"/>
        </w:rPr>
        <w:t>1</w:t>
      </w:r>
      <w:r>
        <w:rPr>
          <w:rFonts w:eastAsiaTheme="minorEastAsia" w:cs="Arial"/>
        </w:rPr>
        <w:t>,</w:t>
      </w:r>
      <w:r w:rsidRPr="00571A93">
        <w:rPr>
          <w:rFonts w:eastAsiaTheme="minorEastAsia" w:cs="Arial"/>
        </w:rPr>
        <w:t>195</w:t>
      </w:r>
      <w:r>
        <w:rPr>
          <w:rFonts w:eastAsiaTheme="minorEastAsia" w:cs="Arial"/>
        </w:rPr>
        <w:t>,</w:t>
      </w:r>
      <w:r w:rsidRPr="00571A93">
        <w:rPr>
          <w:rFonts w:eastAsiaTheme="minorEastAsia" w:cs="Arial"/>
        </w:rPr>
        <w:t>844.88</w:t>
      </w:r>
      <w:r w:rsidRPr="00E54543">
        <w:rPr>
          <w:rFonts w:eastAsiaTheme="minorEastAsia" w:cs="Arial"/>
        </w:rPr>
        <w:t>, en este mes representa</w:t>
      </w:r>
      <w:r>
        <w:rPr>
          <w:rFonts w:eastAsiaTheme="minorEastAsia" w:cs="Arial"/>
        </w:rPr>
        <w:t xml:space="preserve"> </w:t>
      </w:r>
      <w:r w:rsidRPr="003F02B2">
        <w:rPr>
          <w:rFonts w:eastAsiaTheme="minorEastAsia" w:cs="Arial"/>
        </w:rPr>
        <w:t>Retenciones SUTEYM</w:t>
      </w:r>
      <w:r>
        <w:rPr>
          <w:rFonts w:eastAsiaTheme="minorEastAsia" w:cs="Arial"/>
        </w:rPr>
        <w:t xml:space="preserve"> por 19.41, ISR por Sueldos y Salarios por </w:t>
      </w:r>
      <w:r w:rsidRPr="00571A93">
        <w:rPr>
          <w:rFonts w:eastAsiaTheme="minorEastAsia" w:cs="Arial"/>
        </w:rPr>
        <w:t>1,170,396.58</w:t>
      </w:r>
      <w:r>
        <w:rPr>
          <w:rFonts w:eastAsiaTheme="minorEastAsia" w:cs="Arial"/>
        </w:rPr>
        <w:t xml:space="preserve">, y también </w:t>
      </w:r>
      <w:r w:rsidRPr="00C9010B">
        <w:rPr>
          <w:rFonts w:eastAsiaTheme="minorEastAsia" w:cs="Arial"/>
        </w:rPr>
        <w:t>Otras Retenciones a Favor de Terceros</w:t>
      </w:r>
      <w:r>
        <w:rPr>
          <w:rFonts w:eastAsiaTheme="minorEastAsia" w:cs="Arial"/>
        </w:rPr>
        <w:t xml:space="preserve"> por </w:t>
      </w:r>
      <w:r w:rsidRPr="00571A93">
        <w:rPr>
          <w:rFonts w:eastAsiaTheme="minorEastAsia" w:cs="Arial"/>
        </w:rPr>
        <w:t>25,427.54</w:t>
      </w:r>
      <w:r w:rsidRPr="00E54543">
        <w:rPr>
          <w:rFonts w:eastAsiaTheme="minorEastAsia" w:cs="Arial"/>
        </w:rPr>
        <w:t>.</w:t>
      </w:r>
    </w:p>
    <w:p w14:paraId="564AA3E2" w14:textId="77777777" w:rsidR="00045553" w:rsidRDefault="00045553" w:rsidP="00045553">
      <w:pPr>
        <w:spacing w:after="0" w:line="240" w:lineRule="auto"/>
        <w:ind w:left="502" w:right="-1"/>
        <w:contextualSpacing/>
        <w:jc w:val="both"/>
        <w:outlineLvl w:val="0"/>
        <w:rPr>
          <w:rFonts w:eastAsia="Times New Roman" w:cs="Arial"/>
          <w:lang w:eastAsia="es-MX"/>
        </w:rPr>
      </w:pPr>
    </w:p>
    <w:p w14:paraId="087DF58A" w14:textId="77777777" w:rsidR="00045553" w:rsidRPr="00FF007A" w:rsidRDefault="00045553" w:rsidP="00396F02">
      <w:pPr>
        <w:numPr>
          <w:ilvl w:val="0"/>
          <w:numId w:val="1"/>
        </w:numPr>
        <w:tabs>
          <w:tab w:val="left" w:pos="639"/>
          <w:tab w:val="left" w:pos="3836"/>
        </w:tabs>
        <w:spacing w:before="240" w:after="0" w:line="276" w:lineRule="auto"/>
        <w:jc w:val="both"/>
        <w:rPr>
          <w:rFonts w:eastAsia="Times New Roman" w:cs="Arial"/>
          <w:lang w:eastAsia="es-MX"/>
        </w:rPr>
      </w:pPr>
      <w:r w:rsidRPr="007B58DE">
        <w:rPr>
          <w:rFonts w:eastAsiaTheme="minorEastAsia" w:cs="Arial"/>
          <w:b/>
          <w:bCs/>
        </w:rPr>
        <w:t xml:space="preserve">Otras Cuentas por Pagar a Corto Plazo. </w:t>
      </w:r>
      <w:r w:rsidRPr="007B58DE">
        <w:rPr>
          <w:rFonts w:eastAsiaTheme="minorEastAsia" w:cs="Arial"/>
        </w:rPr>
        <w:t xml:space="preserve">- El saldo de </w:t>
      </w:r>
      <w:r w:rsidRPr="00571A93">
        <w:rPr>
          <w:rFonts w:eastAsia="HelveticaNeueLT Std" w:cs="HelveticaNeueLT Std"/>
        </w:rPr>
        <w:t>3</w:t>
      </w:r>
      <w:r>
        <w:rPr>
          <w:rFonts w:eastAsia="HelveticaNeueLT Std" w:cs="HelveticaNeueLT Std"/>
        </w:rPr>
        <w:t>,</w:t>
      </w:r>
      <w:r w:rsidRPr="00571A93">
        <w:rPr>
          <w:rFonts w:eastAsia="HelveticaNeueLT Std" w:cs="HelveticaNeueLT Std"/>
        </w:rPr>
        <w:t>201</w:t>
      </w:r>
      <w:r>
        <w:rPr>
          <w:rFonts w:eastAsia="HelveticaNeueLT Std" w:cs="HelveticaNeueLT Std"/>
        </w:rPr>
        <w:t>,</w:t>
      </w:r>
      <w:r w:rsidRPr="00571A93">
        <w:rPr>
          <w:rFonts w:eastAsia="HelveticaNeueLT Std" w:cs="HelveticaNeueLT Std"/>
        </w:rPr>
        <w:t>959.91</w:t>
      </w:r>
      <w:r w:rsidRPr="007B58DE">
        <w:rPr>
          <w:rFonts w:eastAsiaTheme="minorEastAsia" w:cs="Arial"/>
        </w:rPr>
        <w:t xml:space="preserve">, en este mes representa principalmente, </w:t>
      </w:r>
      <w:r w:rsidRPr="00C65349">
        <w:rPr>
          <w:rFonts w:eastAsiaTheme="minorEastAsia" w:cs="Arial"/>
        </w:rPr>
        <w:t>Contaduría General del GEM</w:t>
      </w:r>
      <w:r w:rsidRPr="007B58DE">
        <w:rPr>
          <w:rFonts w:eastAsiaTheme="minorEastAsia" w:cs="Arial"/>
        </w:rPr>
        <w:t xml:space="preserve"> por </w:t>
      </w:r>
      <w:r w:rsidRPr="00C65349">
        <w:rPr>
          <w:rFonts w:eastAsiaTheme="minorEastAsia" w:cs="Arial"/>
        </w:rPr>
        <w:t>1</w:t>
      </w:r>
      <w:r>
        <w:rPr>
          <w:rFonts w:eastAsiaTheme="minorEastAsia" w:cs="Arial"/>
        </w:rPr>
        <w:t>,</w:t>
      </w:r>
      <w:r w:rsidRPr="00C65349">
        <w:rPr>
          <w:rFonts w:eastAsiaTheme="minorEastAsia" w:cs="Arial"/>
        </w:rPr>
        <w:t>167</w:t>
      </w:r>
      <w:r>
        <w:rPr>
          <w:rFonts w:eastAsiaTheme="minorEastAsia" w:cs="Arial"/>
        </w:rPr>
        <w:t>,</w:t>
      </w:r>
      <w:r w:rsidRPr="00C65349">
        <w:rPr>
          <w:rFonts w:eastAsiaTheme="minorEastAsia" w:cs="Arial"/>
        </w:rPr>
        <w:t>748.2</w:t>
      </w:r>
      <w:r w:rsidRPr="007B58DE">
        <w:rPr>
          <w:rFonts w:eastAsiaTheme="minorEastAsia" w:cs="Arial"/>
        </w:rPr>
        <w:t>0,</w:t>
      </w:r>
      <w:r>
        <w:rPr>
          <w:rFonts w:eastAsiaTheme="minorEastAsia" w:cs="Arial"/>
        </w:rPr>
        <w:t xml:space="preserve"> </w:t>
      </w:r>
      <w:r w:rsidRPr="00C9010B">
        <w:rPr>
          <w:rFonts w:eastAsiaTheme="minorEastAsia" w:cs="Arial"/>
        </w:rPr>
        <w:t>ISERTP 3% Sobre Nóminas</w:t>
      </w:r>
      <w:r>
        <w:rPr>
          <w:rFonts w:eastAsiaTheme="minorEastAsia" w:cs="Arial"/>
        </w:rPr>
        <w:t xml:space="preserve"> </w:t>
      </w:r>
      <w:r w:rsidRPr="00571A93">
        <w:rPr>
          <w:rFonts w:eastAsiaTheme="minorEastAsia" w:cs="Arial"/>
        </w:rPr>
        <w:t>327,972.00</w:t>
      </w:r>
      <w:r>
        <w:rPr>
          <w:rFonts w:eastAsiaTheme="minorEastAsia" w:cs="Arial"/>
        </w:rPr>
        <w:t>,</w:t>
      </w:r>
      <w:r w:rsidRPr="007B58DE">
        <w:rPr>
          <w:rFonts w:eastAsiaTheme="minorEastAsia" w:cs="Arial"/>
        </w:rPr>
        <w:t xml:space="preserve"> Servicios Personales por Pagar a Corto Plazo por </w:t>
      </w:r>
      <w:r w:rsidRPr="00571A93">
        <w:rPr>
          <w:rFonts w:eastAsiaTheme="minorEastAsia" w:cs="Arial"/>
        </w:rPr>
        <w:t>811,140.04</w:t>
      </w:r>
      <w:r w:rsidRPr="00FF007A">
        <w:rPr>
          <w:rFonts w:eastAsiaTheme="minorEastAsia" w:cs="Arial"/>
        </w:rPr>
        <w:t xml:space="preserve"> </w:t>
      </w:r>
      <w:r w:rsidRPr="007B58DE">
        <w:rPr>
          <w:rFonts w:eastAsiaTheme="minorEastAsia" w:cs="Arial"/>
        </w:rPr>
        <w:t xml:space="preserve">y cheques en tránsito cancelados y devoluciones de ingresos indebidos por </w:t>
      </w:r>
      <w:r w:rsidRPr="00571A93">
        <w:rPr>
          <w:rFonts w:eastAsiaTheme="minorEastAsia" w:cs="Arial"/>
        </w:rPr>
        <w:t>895,099.67</w:t>
      </w:r>
      <w:r w:rsidRPr="007B58DE">
        <w:rPr>
          <w:rFonts w:eastAsiaTheme="minorEastAsia" w:cs="Arial"/>
        </w:rPr>
        <w:t>.</w:t>
      </w:r>
    </w:p>
    <w:p w14:paraId="634159D7" w14:textId="77777777" w:rsidR="00045553" w:rsidRDefault="00045553" w:rsidP="00045553">
      <w:pPr>
        <w:pStyle w:val="Prrafodelista"/>
        <w:rPr>
          <w:rFonts w:cs="Arial"/>
        </w:rPr>
      </w:pPr>
    </w:p>
    <w:p w14:paraId="5D207B79" w14:textId="77777777" w:rsidR="00045553" w:rsidRPr="00FF007A" w:rsidRDefault="00045553" w:rsidP="00396F02">
      <w:pPr>
        <w:numPr>
          <w:ilvl w:val="0"/>
          <w:numId w:val="1"/>
        </w:numPr>
        <w:tabs>
          <w:tab w:val="left" w:pos="639"/>
          <w:tab w:val="left" w:pos="3836"/>
        </w:tabs>
        <w:spacing w:before="240" w:after="0" w:line="276" w:lineRule="auto"/>
        <w:jc w:val="both"/>
        <w:rPr>
          <w:rFonts w:eastAsia="Times New Roman" w:cs="Arial"/>
          <w:b/>
          <w:lang w:eastAsia="es-MX"/>
        </w:rPr>
      </w:pPr>
      <w:r w:rsidRPr="00FF007A">
        <w:rPr>
          <w:rFonts w:eastAsia="Times New Roman" w:cs="Arial"/>
          <w:b/>
          <w:lang w:eastAsia="es-MX"/>
        </w:rPr>
        <w:t>Porción a Corto Plazo de la Deuda Pública Interna</w:t>
      </w:r>
      <w:r>
        <w:rPr>
          <w:rFonts w:eastAsia="Times New Roman" w:cs="Arial"/>
          <w:b/>
          <w:lang w:eastAsia="es-MX"/>
        </w:rPr>
        <w:t xml:space="preserve">. </w:t>
      </w:r>
      <w:r>
        <w:rPr>
          <w:rFonts w:eastAsia="Times New Roman" w:cs="Arial"/>
          <w:lang w:eastAsia="es-MX"/>
        </w:rPr>
        <w:t xml:space="preserve">– El saldo de </w:t>
      </w:r>
      <w:r w:rsidRPr="00571A93">
        <w:rPr>
          <w:rFonts w:eastAsia="Times New Roman" w:cs="Arial"/>
          <w:lang w:eastAsia="es-MX"/>
        </w:rPr>
        <w:t>226</w:t>
      </w:r>
      <w:r>
        <w:rPr>
          <w:rFonts w:eastAsia="Times New Roman" w:cs="Arial"/>
          <w:lang w:eastAsia="es-MX"/>
        </w:rPr>
        <w:t>,</w:t>
      </w:r>
      <w:r w:rsidRPr="00571A93">
        <w:rPr>
          <w:rFonts w:eastAsia="Times New Roman" w:cs="Arial"/>
          <w:lang w:eastAsia="es-MX"/>
        </w:rPr>
        <w:t>094</w:t>
      </w:r>
      <w:r>
        <w:rPr>
          <w:rFonts w:eastAsia="Times New Roman" w:cs="Arial"/>
          <w:lang w:eastAsia="es-MX"/>
        </w:rPr>
        <w:t>,</w:t>
      </w:r>
      <w:r w:rsidRPr="00571A93">
        <w:rPr>
          <w:rFonts w:eastAsia="Times New Roman" w:cs="Arial"/>
          <w:lang w:eastAsia="es-MX"/>
        </w:rPr>
        <w:t>308.28</w:t>
      </w:r>
      <w:r>
        <w:rPr>
          <w:rFonts w:eastAsia="Times New Roman" w:cs="Arial"/>
          <w:lang w:eastAsia="es-MX"/>
        </w:rPr>
        <w:t xml:space="preserve"> en este mes representa </w:t>
      </w:r>
      <w:r w:rsidRPr="00FF007A">
        <w:rPr>
          <w:rFonts w:eastAsia="Times New Roman" w:cs="Arial"/>
          <w:lang w:eastAsia="es-MX"/>
        </w:rPr>
        <w:t xml:space="preserve">Certificados Bursátiles Fiduciarios Serie A </w:t>
      </w:r>
      <w:r>
        <w:rPr>
          <w:rFonts w:eastAsia="Times New Roman" w:cs="Arial"/>
          <w:lang w:eastAsia="es-MX"/>
        </w:rPr>
        <w:t xml:space="preserve">por </w:t>
      </w:r>
      <w:r w:rsidRPr="00014E69">
        <w:rPr>
          <w:rFonts w:eastAsia="Times New Roman" w:cs="Arial"/>
          <w:lang w:eastAsia="es-MX"/>
        </w:rPr>
        <w:t>66,894,833.95</w:t>
      </w:r>
      <w:r>
        <w:rPr>
          <w:rFonts w:eastAsia="Times New Roman" w:cs="Arial"/>
          <w:lang w:eastAsia="es-MX"/>
        </w:rPr>
        <w:t xml:space="preserve">, </w:t>
      </w:r>
      <w:r w:rsidRPr="00FF007A">
        <w:rPr>
          <w:rFonts w:eastAsia="Times New Roman" w:cs="Arial"/>
          <w:lang w:eastAsia="es-MX"/>
        </w:rPr>
        <w:t>Certificados Bursátiles Fiduciarios Serie B</w:t>
      </w:r>
      <w:r>
        <w:rPr>
          <w:rFonts w:eastAsia="Times New Roman" w:cs="Arial"/>
          <w:lang w:eastAsia="es-MX"/>
        </w:rPr>
        <w:t xml:space="preserve"> por </w:t>
      </w:r>
      <w:r w:rsidRPr="00014E69">
        <w:rPr>
          <w:rFonts w:eastAsia="Times New Roman" w:cs="Arial"/>
          <w:lang w:eastAsia="es-MX"/>
        </w:rPr>
        <w:t>31,451,459.00</w:t>
      </w:r>
      <w:r>
        <w:rPr>
          <w:rFonts w:eastAsia="Times New Roman" w:cs="Arial"/>
          <w:lang w:eastAsia="es-MX"/>
        </w:rPr>
        <w:t xml:space="preserve">, </w:t>
      </w:r>
      <w:r w:rsidRPr="00D44C3F">
        <w:rPr>
          <w:rFonts w:eastAsia="Times New Roman" w:cs="Arial"/>
          <w:lang w:eastAsia="es-MX"/>
        </w:rPr>
        <w:t>Certificados Bursátiles Fiduciarios Subordinado Serie C</w:t>
      </w:r>
      <w:r w:rsidRPr="00FF007A">
        <w:rPr>
          <w:rFonts w:eastAsia="Times New Roman" w:cs="Arial"/>
          <w:lang w:eastAsia="es-MX"/>
        </w:rPr>
        <w:t xml:space="preserve"> </w:t>
      </w:r>
      <w:r w:rsidRPr="0098614C">
        <w:rPr>
          <w:rFonts w:eastAsia="Times New Roman" w:cs="Arial"/>
          <w:lang w:eastAsia="es-MX"/>
        </w:rPr>
        <w:t>127,748,015.33</w:t>
      </w:r>
      <w:r>
        <w:rPr>
          <w:rFonts w:eastAsia="Times New Roman" w:cs="Arial"/>
          <w:lang w:eastAsia="es-MX"/>
        </w:rPr>
        <w:t>.</w:t>
      </w:r>
    </w:p>
    <w:p w14:paraId="422DC027" w14:textId="77777777" w:rsidR="00045553" w:rsidRPr="00245FE2" w:rsidRDefault="00045553" w:rsidP="00045553">
      <w:pPr>
        <w:pStyle w:val="Prrafodelista"/>
        <w:rPr>
          <w:rFonts w:cs="Arial"/>
        </w:rPr>
      </w:pPr>
    </w:p>
    <w:p w14:paraId="703160EC" w14:textId="77777777" w:rsidR="00045553" w:rsidRDefault="00045553" w:rsidP="00045553">
      <w:pPr>
        <w:spacing w:line="276" w:lineRule="auto"/>
        <w:ind w:right="-1"/>
        <w:jc w:val="both"/>
        <w:outlineLvl w:val="0"/>
        <w:rPr>
          <w:rFonts w:eastAsiaTheme="minorEastAsia" w:cs="Arial"/>
          <w:b/>
          <w:bCs/>
        </w:rPr>
      </w:pPr>
    </w:p>
    <w:p w14:paraId="316025E3" w14:textId="77777777" w:rsidR="00045553" w:rsidRPr="002E3F40" w:rsidRDefault="00045553" w:rsidP="00045553">
      <w:pPr>
        <w:spacing w:line="276" w:lineRule="auto"/>
        <w:ind w:right="-1"/>
        <w:jc w:val="both"/>
        <w:outlineLvl w:val="0"/>
        <w:rPr>
          <w:rFonts w:eastAsiaTheme="minorEastAsia" w:cs="Arial"/>
          <w:b/>
          <w:bCs/>
        </w:rPr>
      </w:pPr>
      <w:r w:rsidRPr="002E3F40">
        <w:rPr>
          <w:rFonts w:eastAsiaTheme="minorEastAsia" w:cs="Arial"/>
          <w:b/>
          <w:bCs/>
        </w:rPr>
        <w:t>Pasivo No Circulante</w:t>
      </w:r>
    </w:p>
    <w:p w14:paraId="509A3B86" w14:textId="77777777" w:rsidR="00045553" w:rsidRPr="000F432A" w:rsidRDefault="00045553" w:rsidP="00045553">
      <w:pPr>
        <w:spacing w:line="276" w:lineRule="auto"/>
        <w:ind w:right="-1"/>
        <w:jc w:val="both"/>
        <w:outlineLvl w:val="0"/>
        <w:rPr>
          <w:rFonts w:eastAsiaTheme="minorEastAsia" w:cs="Arial"/>
          <w:b/>
          <w:bCs/>
        </w:rPr>
      </w:pPr>
      <w:r w:rsidRPr="000F432A">
        <w:rPr>
          <w:rFonts w:eastAsiaTheme="minorEastAsia" w:cs="Arial"/>
          <w:b/>
          <w:bCs/>
        </w:rPr>
        <w:t xml:space="preserve">Documentos por Pagar a Largo Plazo. - </w:t>
      </w:r>
      <w:r w:rsidRPr="000F432A">
        <w:rPr>
          <w:rFonts w:eastAsiaTheme="minorEastAsia" w:cs="Arial"/>
          <w:bCs/>
        </w:rPr>
        <w:t>Se integra por:</w:t>
      </w:r>
    </w:p>
    <w:p w14:paraId="47EA5726" w14:textId="77777777" w:rsidR="00045553" w:rsidRPr="00F632D9" w:rsidRDefault="00045553" w:rsidP="00396F02">
      <w:pPr>
        <w:numPr>
          <w:ilvl w:val="0"/>
          <w:numId w:val="1"/>
        </w:numPr>
        <w:tabs>
          <w:tab w:val="left" w:pos="639"/>
          <w:tab w:val="left" w:pos="3836"/>
        </w:tabs>
        <w:spacing w:before="240" w:after="0" w:line="276" w:lineRule="auto"/>
        <w:jc w:val="both"/>
        <w:rPr>
          <w:rFonts w:eastAsiaTheme="minorEastAsia" w:cs="Arial"/>
        </w:rPr>
      </w:pPr>
      <w:r w:rsidRPr="00F632D9">
        <w:rPr>
          <w:rFonts w:eastAsiaTheme="minorEastAsia" w:cs="Arial"/>
          <w:b/>
          <w:bCs/>
        </w:rPr>
        <w:t>Documentos Comerciales por Pagar a Largo Plazo.-</w:t>
      </w:r>
      <w:r w:rsidRPr="00F632D9">
        <w:rPr>
          <w:rFonts w:eastAsiaTheme="minorEastAsia" w:cs="Arial"/>
        </w:rPr>
        <w:t xml:space="preserve"> El saldo de </w:t>
      </w:r>
      <w:r w:rsidRPr="00D44C3F">
        <w:rPr>
          <w:rFonts w:eastAsiaTheme="minorEastAsia" w:cs="Arial"/>
        </w:rPr>
        <w:t>5</w:t>
      </w:r>
      <w:r>
        <w:rPr>
          <w:rFonts w:eastAsiaTheme="minorEastAsia" w:cs="Arial"/>
        </w:rPr>
        <w:t>,</w:t>
      </w:r>
      <w:r w:rsidRPr="00D44C3F">
        <w:rPr>
          <w:rFonts w:eastAsiaTheme="minorEastAsia" w:cs="Arial"/>
        </w:rPr>
        <w:t>423</w:t>
      </w:r>
      <w:r>
        <w:rPr>
          <w:rFonts w:eastAsiaTheme="minorEastAsia" w:cs="Arial"/>
        </w:rPr>
        <w:t>,</w:t>
      </w:r>
      <w:r w:rsidRPr="00D44C3F">
        <w:rPr>
          <w:rFonts w:eastAsiaTheme="minorEastAsia" w:cs="Arial"/>
        </w:rPr>
        <w:t>995</w:t>
      </w:r>
      <w:r>
        <w:rPr>
          <w:rFonts w:eastAsiaTheme="minorEastAsia" w:cs="Arial"/>
        </w:rPr>
        <w:t>,</w:t>
      </w:r>
      <w:r w:rsidRPr="00D44C3F">
        <w:rPr>
          <w:rFonts w:eastAsiaTheme="minorEastAsia" w:cs="Arial"/>
        </w:rPr>
        <w:t>129.63</w:t>
      </w:r>
      <w:r w:rsidRPr="00F632D9">
        <w:rPr>
          <w:rFonts w:eastAsiaTheme="minorEastAsia" w:cs="Arial"/>
        </w:rPr>
        <w:t xml:space="preserve">, corresponde al pasivo,  en los que se comprometen los ingresos presentes y futuros por concepto de Registro Público de la Propiedad (RPP) del IFREM, de acuerdo al Decreto de Autorización No. 79 publicado en la Gaceta del Gobierno de fecha 12 de mayo del 2010; por el Fideicomiso de Cobranza con el contrato irrevocable </w:t>
      </w:r>
      <w:bookmarkStart w:id="1" w:name="_Hlk62665902"/>
      <w:r w:rsidRPr="00F632D9">
        <w:rPr>
          <w:rFonts w:eastAsiaTheme="minorEastAsia" w:cs="Arial"/>
        </w:rPr>
        <w:t xml:space="preserve">número </w:t>
      </w:r>
      <w:bookmarkEnd w:id="1"/>
      <w:r w:rsidRPr="00F632D9">
        <w:rPr>
          <w:rFonts w:eastAsiaTheme="minorEastAsia" w:cs="Arial"/>
        </w:rPr>
        <w:t xml:space="preserve">80615, de fecha 29 de julio en el ejercicio 2010; correspondiente a los Certificados Bursátiles Fiduciarios Serie A por </w:t>
      </w:r>
      <w:r w:rsidRPr="00D44C3F">
        <w:rPr>
          <w:rFonts w:eastAsiaTheme="minorEastAsia" w:cs="Arial"/>
        </w:rPr>
        <w:t>1,705,543,023.80</w:t>
      </w:r>
      <w:r w:rsidRPr="00F632D9">
        <w:rPr>
          <w:rFonts w:eastAsiaTheme="minorEastAsia" w:cs="Arial"/>
        </w:rPr>
        <w:t xml:space="preserve"> y Certificados Bursátiles Fiduciarios Serie B por </w:t>
      </w:r>
      <w:r w:rsidRPr="00D44C3F">
        <w:rPr>
          <w:rFonts w:eastAsiaTheme="minorEastAsia" w:cs="Arial"/>
        </w:rPr>
        <w:t>801,882,796.00</w:t>
      </w:r>
      <w:r w:rsidRPr="00F632D9">
        <w:rPr>
          <w:rFonts w:eastAsiaTheme="minorEastAsia" w:cs="Arial"/>
        </w:rPr>
        <w:t xml:space="preserve">, así mismo por el contrato del Fideicomiso Irrevocable número F/1426, de fecha 10 de marzo de 2011, con un saldo por pagar </w:t>
      </w:r>
      <w:r w:rsidRPr="00C7237B">
        <w:rPr>
          <w:rFonts w:eastAsiaTheme="minorEastAsia" w:cs="Arial"/>
        </w:rPr>
        <w:t xml:space="preserve">de </w:t>
      </w:r>
      <w:r w:rsidRPr="00D44C3F">
        <w:rPr>
          <w:rFonts w:eastAsiaTheme="minorEastAsia" w:cs="Arial"/>
        </w:rPr>
        <w:t>2,916,569,309.83</w:t>
      </w:r>
      <w:r w:rsidRPr="00C7237B">
        <w:rPr>
          <w:rFonts w:eastAsiaTheme="minorEastAsia" w:cs="Arial"/>
        </w:rPr>
        <w:t>.</w:t>
      </w:r>
      <w:r w:rsidRPr="00F632D9">
        <w:rPr>
          <w:rFonts w:eastAsiaTheme="minorEastAsia" w:cs="Arial"/>
        </w:rPr>
        <w:tab/>
      </w:r>
      <w:r w:rsidRPr="00F632D9">
        <w:rPr>
          <w:rFonts w:eastAsiaTheme="minorEastAsia" w:cs="Arial"/>
        </w:rPr>
        <w:tab/>
      </w:r>
    </w:p>
    <w:p w14:paraId="041E33FC" w14:textId="1D504EC9" w:rsidR="00F62DC9" w:rsidRDefault="00F62DC9">
      <w:pPr>
        <w:spacing w:line="259" w:lineRule="auto"/>
      </w:pPr>
      <w:r>
        <w:br w:type="page"/>
      </w:r>
    </w:p>
    <w:bookmarkEnd w:id="0"/>
    <w:p w14:paraId="602638D7" w14:textId="77777777" w:rsidR="00335251" w:rsidRPr="00311CDE" w:rsidRDefault="00335251" w:rsidP="00335251">
      <w:pPr>
        <w:numPr>
          <w:ilvl w:val="0"/>
          <w:numId w:val="2"/>
        </w:numPr>
        <w:spacing w:before="240" w:after="240" w:line="276" w:lineRule="auto"/>
        <w:ind w:left="1068" w:right="-1"/>
        <w:contextualSpacing/>
        <w:outlineLvl w:val="0"/>
        <w:rPr>
          <w:rFonts w:eastAsia="Times New Roman" w:cs="Arial"/>
          <w:b/>
          <w:lang w:eastAsia="es-MX"/>
        </w:rPr>
      </w:pPr>
      <w:r w:rsidRPr="00311CDE">
        <w:rPr>
          <w:rFonts w:eastAsia="Times New Roman" w:cs="Arial"/>
          <w:b/>
          <w:lang w:eastAsia="es-MX"/>
        </w:rPr>
        <w:lastRenderedPageBreak/>
        <w:t>NOTAS AL ESTADO DE ACTIVIDADES</w:t>
      </w:r>
    </w:p>
    <w:p w14:paraId="355F6EAA" w14:textId="77777777" w:rsidR="00335251" w:rsidRPr="0096540A" w:rsidRDefault="00335251" w:rsidP="00335251">
      <w:pPr>
        <w:spacing w:before="240" w:after="240" w:line="276" w:lineRule="auto"/>
        <w:ind w:left="1068" w:right="-1"/>
        <w:contextualSpacing/>
        <w:outlineLvl w:val="0"/>
        <w:rPr>
          <w:rFonts w:eastAsia="Times New Roman" w:cs="Arial"/>
          <w:b/>
          <w:sz w:val="16"/>
          <w:lang w:eastAsia="es-MX"/>
        </w:rPr>
      </w:pPr>
    </w:p>
    <w:p w14:paraId="29255271" w14:textId="77777777" w:rsidR="00335251" w:rsidRPr="00DA5FD6" w:rsidRDefault="00335251" w:rsidP="00335251">
      <w:pPr>
        <w:spacing w:line="276" w:lineRule="auto"/>
        <w:ind w:right="-1"/>
        <w:jc w:val="both"/>
        <w:outlineLvl w:val="0"/>
        <w:rPr>
          <w:rFonts w:cs="Arial"/>
          <w:b/>
        </w:rPr>
      </w:pPr>
      <w:r w:rsidRPr="00DA5FD6">
        <w:rPr>
          <w:rFonts w:cs="Arial"/>
          <w:b/>
        </w:rPr>
        <w:t>Ingresos de la Gestión:</w:t>
      </w:r>
    </w:p>
    <w:p w14:paraId="17D874FF" w14:textId="77777777" w:rsidR="00335251" w:rsidRPr="004478F3" w:rsidRDefault="00335251" w:rsidP="00396F02">
      <w:pPr>
        <w:numPr>
          <w:ilvl w:val="0"/>
          <w:numId w:val="1"/>
        </w:numPr>
        <w:tabs>
          <w:tab w:val="left" w:pos="639"/>
          <w:tab w:val="left" w:pos="3836"/>
        </w:tabs>
        <w:spacing w:before="240" w:after="0" w:line="276" w:lineRule="auto"/>
        <w:jc w:val="both"/>
        <w:rPr>
          <w:rFonts w:eastAsia="Times New Roman" w:cs="Arial"/>
          <w:b/>
          <w:lang w:eastAsia="es-MX"/>
        </w:rPr>
      </w:pPr>
      <w:r w:rsidRPr="00DA5FD6">
        <w:rPr>
          <w:rFonts w:eastAsia="Times New Roman" w:cs="Arial"/>
          <w:b/>
          <w:lang w:eastAsia="es-MX"/>
        </w:rPr>
        <w:t xml:space="preserve">Derechos. - </w:t>
      </w:r>
      <w:r w:rsidRPr="00DA5FD6">
        <w:rPr>
          <w:rFonts w:eastAsia="Times New Roman" w:cs="Arial"/>
          <w:lang w:eastAsia="es-MX"/>
        </w:rPr>
        <w:t>Los Ingresos de Gestión por los Derechos de los servicios prestados por el Instituto, en el mes fueron por la cantidad de</w:t>
      </w:r>
      <w:r>
        <w:rPr>
          <w:rFonts w:eastAsia="Times New Roman" w:cs="Arial"/>
          <w:lang w:eastAsia="es-MX"/>
        </w:rPr>
        <w:t xml:space="preserve"> </w:t>
      </w:r>
      <w:r w:rsidRPr="00BC6245">
        <w:rPr>
          <w:rFonts w:eastAsia="Times New Roman" w:cs="Arial"/>
          <w:lang w:eastAsia="es-MX"/>
        </w:rPr>
        <w:t>173</w:t>
      </w:r>
      <w:r>
        <w:rPr>
          <w:rFonts w:eastAsia="Times New Roman" w:cs="Arial"/>
          <w:lang w:eastAsia="es-MX"/>
        </w:rPr>
        <w:t>,</w:t>
      </w:r>
      <w:r w:rsidRPr="00BC6245">
        <w:rPr>
          <w:rFonts w:eastAsia="Times New Roman" w:cs="Arial"/>
          <w:lang w:eastAsia="es-MX"/>
        </w:rPr>
        <w:t>812</w:t>
      </w:r>
      <w:r>
        <w:rPr>
          <w:rFonts w:eastAsia="Times New Roman" w:cs="Arial"/>
          <w:lang w:eastAsia="es-MX"/>
        </w:rPr>
        <w:t>,</w:t>
      </w:r>
      <w:r w:rsidRPr="00BC6245">
        <w:rPr>
          <w:rFonts w:eastAsia="Times New Roman" w:cs="Arial"/>
          <w:lang w:eastAsia="es-MX"/>
        </w:rPr>
        <w:t>234</w:t>
      </w:r>
      <w:r>
        <w:rPr>
          <w:rFonts w:eastAsia="Times New Roman" w:cs="Arial"/>
          <w:lang w:eastAsia="es-MX"/>
        </w:rPr>
        <w:t xml:space="preserve">.00 </w:t>
      </w:r>
      <w:r w:rsidRPr="00093862">
        <w:rPr>
          <w:rFonts w:eastAsia="Times New Roman" w:cs="Arial"/>
          <w:lang w:eastAsia="es-MX"/>
        </w:rPr>
        <w:t xml:space="preserve">obteniendo una recaudación en los recursos del Registro Público de la Propiedad (RPP) por </w:t>
      </w:r>
      <w:r w:rsidRPr="00BC6245">
        <w:rPr>
          <w:rFonts w:eastAsia="Times New Roman" w:cs="Arial"/>
          <w:lang w:eastAsia="es-MX"/>
        </w:rPr>
        <w:t>170,329,133.00</w:t>
      </w:r>
      <w:r>
        <w:rPr>
          <w:rFonts w:eastAsia="Times New Roman" w:cs="Arial"/>
          <w:lang w:eastAsia="es-MX"/>
        </w:rPr>
        <w:t xml:space="preserve"> </w:t>
      </w:r>
      <w:r w:rsidRPr="00093862">
        <w:rPr>
          <w:rFonts w:eastAsia="Times New Roman" w:cs="Arial"/>
          <w:lang w:eastAsia="es-MX"/>
        </w:rPr>
        <w:t xml:space="preserve">y los recursos del Registro Público del Comercio (RPC) por </w:t>
      </w:r>
      <w:r w:rsidRPr="00BC6245">
        <w:rPr>
          <w:rFonts w:eastAsia="Times New Roman" w:cs="Arial"/>
          <w:lang w:eastAsia="es-MX"/>
        </w:rPr>
        <w:t>3,483,101.00</w:t>
      </w:r>
      <w:r w:rsidRPr="00093862">
        <w:rPr>
          <w:rFonts w:eastAsia="Times New Roman" w:cs="Arial"/>
          <w:lang w:eastAsia="es-MX"/>
        </w:rPr>
        <w:t xml:space="preserve">. Al mes se lleva un total acumulado por </w:t>
      </w:r>
      <w:r w:rsidRPr="00BC6245">
        <w:rPr>
          <w:rFonts w:eastAsia="Times New Roman" w:cs="Arial"/>
          <w:lang w:eastAsia="es-MX"/>
        </w:rPr>
        <w:t>398</w:t>
      </w:r>
      <w:r>
        <w:rPr>
          <w:rFonts w:eastAsia="Times New Roman" w:cs="Arial"/>
          <w:lang w:eastAsia="es-MX"/>
        </w:rPr>
        <w:t>,</w:t>
      </w:r>
      <w:r w:rsidRPr="00BC6245">
        <w:rPr>
          <w:rFonts w:eastAsia="Times New Roman" w:cs="Arial"/>
          <w:lang w:eastAsia="es-MX"/>
        </w:rPr>
        <w:t>789</w:t>
      </w:r>
      <w:r>
        <w:rPr>
          <w:rFonts w:eastAsia="Times New Roman" w:cs="Arial"/>
          <w:lang w:eastAsia="es-MX"/>
        </w:rPr>
        <w:t>,</w:t>
      </w:r>
      <w:r w:rsidRPr="00BC6245">
        <w:rPr>
          <w:rFonts w:eastAsia="Times New Roman" w:cs="Arial"/>
          <w:lang w:eastAsia="es-MX"/>
        </w:rPr>
        <w:t>853</w:t>
      </w:r>
      <w:r>
        <w:rPr>
          <w:rFonts w:eastAsia="Times New Roman" w:cs="Arial"/>
          <w:lang w:eastAsia="es-MX"/>
        </w:rPr>
        <w:t>.00</w:t>
      </w:r>
      <w:r w:rsidRPr="00093862">
        <w:rPr>
          <w:rFonts w:eastAsia="Times New Roman" w:cs="Arial"/>
          <w:lang w:eastAsia="es-MX"/>
        </w:rPr>
        <w:t>.</w:t>
      </w:r>
    </w:p>
    <w:p w14:paraId="660D1A19" w14:textId="77777777" w:rsidR="00335251" w:rsidRDefault="00335251" w:rsidP="00335251">
      <w:pPr>
        <w:spacing w:after="0" w:line="276" w:lineRule="auto"/>
        <w:ind w:left="644" w:right="-1"/>
        <w:contextualSpacing/>
        <w:jc w:val="both"/>
        <w:rPr>
          <w:rFonts w:eastAsia="Times New Roman" w:cs="Arial"/>
          <w:b/>
          <w:lang w:eastAsia="es-MX"/>
        </w:rPr>
      </w:pPr>
    </w:p>
    <w:p w14:paraId="150E4A9D" w14:textId="77777777" w:rsidR="00335251" w:rsidRPr="000A636B" w:rsidRDefault="00335251" w:rsidP="00396F02">
      <w:pPr>
        <w:numPr>
          <w:ilvl w:val="0"/>
          <w:numId w:val="1"/>
        </w:numPr>
        <w:tabs>
          <w:tab w:val="left" w:pos="639"/>
          <w:tab w:val="left" w:pos="3836"/>
        </w:tabs>
        <w:spacing w:before="240" w:after="0" w:line="276" w:lineRule="auto"/>
        <w:jc w:val="both"/>
        <w:rPr>
          <w:rFonts w:cs="Arial"/>
        </w:rPr>
      </w:pPr>
      <w:r w:rsidRPr="008D248E">
        <w:rPr>
          <w:rFonts w:cs="Arial"/>
          <w:b/>
        </w:rPr>
        <w:t>Otros Ingresos y Beneficios</w:t>
      </w:r>
      <w:r w:rsidRPr="000A636B">
        <w:rPr>
          <w:rFonts w:cs="Arial"/>
          <w:b/>
        </w:rPr>
        <w:t>:</w:t>
      </w:r>
      <w:r w:rsidRPr="000A636B">
        <w:rPr>
          <w:rFonts w:cs="Arial"/>
        </w:rPr>
        <w:t xml:space="preserve"> En el mes que se observa un monto de </w:t>
      </w:r>
      <w:r w:rsidRPr="00BC6245">
        <w:rPr>
          <w:rFonts w:cs="Arial"/>
        </w:rPr>
        <w:t>1</w:t>
      </w:r>
      <w:proofErr w:type="gramStart"/>
      <w:r>
        <w:rPr>
          <w:rFonts w:cs="Arial"/>
        </w:rPr>
        <w:t>,</w:t>
      </w:r>
      <w:r w:rsidRPr="00BC6245">
        <w:rPr>
          <w:rFonts w:cs="Arial"/>
        </w:rPr>
        <w:t>166</w:t>
      </w:r>
      <w:r>
        <w:rPr>
          <w:rFonts w:cs="Arial"/>
        </w:rPr>
        <w:t>,</w:t>
      </w:r>
      <w:r w:rsidRPr="00BC6245">
        <w:rPr>
          <w:rFonts w:cs="Arial"/>
        </w:rPr>
        <w:t>468.33</w:t>
      </w:r>
      <w:proofErr w:type="gramEnd"/>
      <w:r>
        <w:rPr>
          <w:rFonts w:cs="Arial"/>
        </w:rPr>
        <w:t>.</w:t>
      </w:r>
      <w:r w:rsidRPr="000A636B">
        <w:rPr>
          <w:rFonts w:cs="Arial"/>
        </w:rPr>
        <w:t xml:space="preserve"> </w:t>
      </w:r>
      <w:r>
        <w:rPr>
          <w:rFonts w:cs="Arial"/>
        </w:rPr>
        <w:t>A</w:t>
      </w:r>
      <w:r w:rsidRPr="000A636B">
        <w:rPr>
          <w:rFonts w:cs="Arial"/>
        </w:rPr>
        <w:t xml:space="preserve">l mes se tiene un acumulado por </w:t>
      </w:r>
      <w:r w:rsidRPr="00BC6245">
        <w:rPr>
          <w:rFonts w:cs="Arial"/>
        </w:rPr>
        <w:t>123</w:t>
      </w:r>
      <w:r>
        <w:rPr>
          <w:rFonts w:cs="Arial"/>
        </w:rPr>
        <w:t>,</w:t>
      </w:r>
      <w:r w:rsidRPr="00BC6245">
        <w:rPr>
          <w:rFonts w:cs="Arial"/>
        </w:rPr>
        <w:t>964</w:t>
      </w:r>
      <w:r>
        <w:rPr>
          <w:rFonts w:cs="Arial"/>
        </w:rPr>
        <w:t>,</w:t>
      </w:r>
      <w:r w:rsidRPr="00BC6245">
        <w:rPr>
          <w:rFonts w:cs="Arial"/>
        </w:rPr>
        <w:t>329.47</w:t>
      </w:r>
      <w:r>
        <w:rPr>
          <w:rFonts w:cs="Arial"/>
        </w:rPr>
        <w:t>,</w:t>
      </w:r>
      <w:r w:rsidRPr="000A636B">
        <w:rPr>
          <w:rFonts w:cs="Arial"/>
        </w:rPr>
        <w:t xml:space="preserve"> que corresponden a:</w:t>
      </w:r>
    </w:p>
    <w:p w14:paraId="60511A69" w14:textId="77777777" w:rsidR="00335251" w:rsidRPr="0096540A" w:rsidRDefault="00335251" w:rsidP="00335251">
      <w:pPr>
        <w:spacing w:after="0" w:line="276" w:lineRule="auto"/>
        <w:ind w:right="-1"/>
        <w:jc w:val="both"/>
        <w:rPr>
          <w:rFonts w:cs="Arial"/>
          <w:sz w:val="16"/>
        </w:rPr>
      </w:pPr>
    </w:p>
    <w:p w14:paraId="226F22E3" w14:textId="77777777" w:rsidR="00335251" w:rsidRDefault="00335251" w:rsidP="00335251">
      <w:pPr>
        <w:spacing w:line="276" w:lineRule="auto"/>
        <w:ind w:left="644" w:right="-1"/>
        <w:jc w:val="both"/>
        <w:outlineLvl w:val="0"/>
        <w:rPr>
          <w:rFonts w:cs="Arial"/>
        </w:rPr>
      </w:pPr>
      <w:r w:rsidRPr="00036CAD">
        <w:rPr>
          <w:rFonts w:cs="Arial"/>
          <w:b/>
        </w:rPr>
        <w:t>Ingresos Financieros</w:t>
      </w:r>
      <w:r w:rsidRPr="00036CAD">
        <w:rPr>
          <w:rFonts w:cs="Arial"/>
        </w:rPr>
        <w:t xml:space="preserve">. - </w:t>
      </w:r>
      <w:r w:rsidRPr="002F08C3">
        <w:rPr>
          <w:rFonts w:cs="Arial"/>
        </w:rPr>
        <w:t xml:space="preserve">Se observa en el mes un saldo de </w:t>
      </w:r>
      <w:r w:rsidRPr="006A2068">
        <w:rPr>
          <w:rFonts w:cs="Arial"/>
        </w:rPr>
        <w:t>992</w:t>
      </w:r>
      <w:r>
        <w:rPr>
          <w:rFonts w:cs="Arial"/>
        </w:rPr>
        <w:t>,</w:t>
      </w:r>
      <w:r w:rsidRPr="006A2068">
        <w:rPr>
          <w:rFonts w:cs="Arial"/>
        </w:rPr>
        <w:t>545.15</w:t>
      </w:r>
      <w:r w:rsidRPr="002F08C3">
        <w:rPr>
          <w:rFonts w:cs="Arial"/>
        </w:rPr>
        <w:t>, que corresponden a los intereses de las cuentas bancarias productivas y las cuen</w:t>
      </w:r>
      <w:r>
        <w:rPr>
          <w:rFonts w:cs="Arial"/>
        </w:rPr>
        <w:t>tas de inversión del Instituto. A</w:t>
      </w:r>
      <w:r w:rsidRPr="000A636B">
        <w:rPr>
          <w:rFonts w:cs="Arial"/>
        </w:rPr>
        <w:t>l mes se tiene un acumulado por</w:t>
      </w:r>
      <w:r>
        <w:rPr>
          <w:rFonts w:cs="Arial"/>
        </w:rPr>
        <w:t xml:space="preserve"> </w:t>
      </w:r>
      <w:r w:rsidRPr="006A2068">
        <w:rPr>
          <w:rFonts w:cs="Arial"/>
        </w:rPr>
        <w:t>121</w:t>
      </w:r>
      <w:r>
        <w:rPr>
          <w:rFonts w:cs="Arial"/>
        </w:rPr>
        <w:t>,</w:t>
      </w:r>
      <w:r w:rsidRPr="006A2068">
        <w:rPr>
          <w:rFonts w:cs="Arial"/>
        </w:rPr>
        <w:t>300</w:t>
      </w:r>
      <w:r>
        <w:rPr>
          <w:rFonts w:cs="Arial"/>
        </w:rPr>
        <w:t>,</w:t>
      </w:r>
      <w:r w:rsidRPr="006A2068">
        <w:rPr>
          <w:rFonts w:cs="Arial"/>
        </w:rPr>
        <w:t>779.3</w:t>
      </w:r>
      <w:r>
        <w:rPr>
          <w:rFonts w:cs="Arial"/>
        </w:rPr>
        <w:t>0.</w:t>
      </w:r>
    </w:p>
    <w:p w14:paraId="1C9A11CB" w14:textId="77777777" w:rsidR="00335251" w:rsidRDefault="00335251" w:rsidP="00335251">
      <w:pPr>
        <w:spacing w:line="276" w:lineRule="auto"/>
        <w:ind w:left="644" w:right="-1"/>
        <w:jc w:val="both"/>
        <w:outlineLvl w:val="0"/>
        <w:rPr>
          <w:rFonts w:cs="Arial"/>
        </w:rPr>
      </w:pPr>
      <w:r w:rsidRPr="00D16623">
        <w:rPr>
          <w:rFonts w:cs="Arial"/>
          <w:b/>
        </w:rPr>
        <w:t>Otros Ingresos y Beneficios Varios</w:t>
      </w:r>
      <w:r>
        <w:rPr>
          <w:rFonts w:cs="Arial"/>
        </w:rPr>
        <w:t>. - Se observa en el mes</w:t>
      </w:r>
      <w:r w:rsidRPr="00D16623">
        <w:rPr>
          <w:rFonts w:cs="Arial"/>
        </w:rPr>
        <w:t xml:space="preserve"> </w:t>
      </w:r>
      <w:r>
        <w:rPr>
          <w:rFonts w:cs="Arial"/>
        </w:rPr>
        <w:t>un saldo</w:t>
      </w:r>
      <w:r w:rsidRPr="00D16623">
        <w:rPr>
          <w:rFonts w:cs="Arial"/>
        </w:rPr>
        <w:t xml:space="preserve">, </w:t>
      </w:r>
      <w:r>
        <w:rPr>
          <w:rFonts w:cs="Arial"/>
        </w:rPr>
        <w:t xml:space="preserve">por </w:t>
      </w:r>
      <w:r w:rsidRPr="00D16623">
        <w:rPr>
          <w:rFonts w:cs="Arial"/>
        </w:rPr>
        <w:t xml:space="preserve">la cantidad de </w:t>
      </w:r>
      <w:r w:rsidRPr="006A2068">
        <w:rPr>
          <w:rFonts w:cs="Arial"/>
        </w:rPr>
        <w:t>173</w:t>
      </w:r>
      <w:r>
        <w:rPr>
          <w:rFonts w:cs="Arial"/>
        </w:rPr>
        <w:t>,</w:t>
      </w:r>
      <w:r w:rsidRPr="006A2068">
        <w:rPr>
          <w:rFonts w:cs="Arial"/>
        </w:rPr>
        <w:t>923.18</w:t>
      </w:r>
      <w:r>
        <w:rPr>
          <w:rFonts w:cs="Arial"/>
        </w:rPr>
        <w:t xml:space="preserve"> correspondiente a </w:t>
      </w:r>
      <w:r w:rsidRPr="006A2068">
        <w:rPr>
          <w:rFonts w:cs="Arial"/>
        </w:rPr>
        <w:t>Venta de Bases para Concurso</w:t>
      </w:r>
      <w:r>
        <w:rPr>
          <w:rFonts w:cs="Arial"/>
        </w:rPr>
        <w:t xml:space="preserve"> por </w:t>
      </w:r>
      <w:r w:rsidRPr="006A2068">
        <w:rPr>
          <w:rFonts w:cs="Arial"/>
        </w:rPr>
        <w:t>15,940.00</w:t>
      </w:r>
      <w:r>
        <w:rPr>
          <w:rFonts w:cs="Arial"/>
        </w:rPr>
        <w:t>, Llamadas Telefónicas no Oficiales por 36</w:t>
      </w:r>
      <w:r w:rsidRPr="00A50631">
        <w:rPr>
          <w:rFonts w:cs="Arial"/>
        </w:rPr>
        <w:t>.</w:t>
      </w:r>
      <w:r>
        <w:rPr>
          <w:rFonts w:cs="Arial"/>
        </w:rPr>
        <w:t xml:space="preserve">24, </w:t>
      </w:r>
      <w:r w:rsidRPr="006A2068">
        <w:rPr>
          <w:rFonts w:cs="Arial"/>
        </w:rPr>
        <w:t>Aprovechamientos por sanción o incumplimiento</w:t>
      </w:r>
      <w:r>
        <w:rPr>
          <w:rFonts w:cs="Arial"/>
        </w:rPr>
        <w:t xml:space="preserve"> por </w:t>
      </w:r>
      <w:r w:rsidRPr="006A2068">
        <w:rPr>
          <w:rFonts w:cs="Arial"/>
        </w:rPr>
        <w:t>4,336.37</w:t>
      </w:r>
      <w:r>
        <w:rPr>
          <w:rFonts w:cs="Arial"/>
        </w:rPr>
        <w:t xml:space="preserve">, Depósitos en efectivo no referenciado por </w:t>
      </w:r>
      <w:r w:rsidRPr="006A2068">
        <w:rPr>
          <w:rFonts w:cs="Arial"/>
        </w:rPr>
        <w:t>3,116.00</w:t>
      </w:r>
      <w:r>
        <w:rPr>
          <w:rFonts w:cs="Arial"/>
        </w:rPr>
        <w:t xml:space="preserve">, </w:t>
      </w:r>
      <w:r w:rsidRPr="00B16388">
        <w:rPr>
          <w:rFonts w:cs="Arial"/>
        </w:rPr>
        <w:t>Otros Ingresos Varios</w:t>
      </w:r>
      <w:r>
        <w:rPr>
          <w:rFonts w:cs="Arial"/>
        </w:rPr>
        <w:t xml:space="preserve"> por </w:t>
      </w:r>
      <w:r w:rsidRPr="006A2068">
        <w:rPr>
          <w:rFonts w:cs="Arial"/>
        </w:rPr>
        <w:t>142,812.14</w:t>
      </w:r>
      <w:r>
        <w:rPr>
          <w:rFonts w:cs="Arial"/>
        </w:rPr>
        <w:t xml:space="preserve">, Rendimientos de la remesa de los ingresos por RPC por </w:t>
      </w:r>
      <w:r w:rsidRPr="006A2068">
        <w:rPr>
          <w:rFonts w:cs="Arial"/>
        </w:rPr>
        <w:t>7,682.43</w:t>
      </w:r>
      <w:r>
        <w:rPr>
          <w:rFonts w:cs="Arial"/>
        </w:rPr>
        <w:t>. A</w:t>
      </w:r>
      <w:r w:rsidRPr="000A636B">
        <w:rPr>
          <w:rFonts w:cs="Arial"/>
        </w:rPr>
        <w:t>l mes se tiene un acumulado por</w:t>
      </w:r>
      <w:r>
        <w:rPr>
          <w:rFonts w:cs="Arial"/>
        </w:rPr>
        <w:t xml:space="preserve"> </w:t>
      </w:r>
      <w:r w:rsidRPr="006A2068">
        <w:rPr>
          <w:rFonts w:cs="Arial"/>
        </w:rPr>
        <w:t>2</w:t>
      </w:r>
      <w:r>
        <w:rPr>
          <w:rFonts w:cs="Arial"/>
        </w:rPr>
        <w:t>,</w:t>
      </w:r>
      <w:r w:rsidRPr="006A2068">
        <w:rPr>
          <w:rFonts w:cs="Arial"/>
        </w:rPr>
        <w:t>663</w:t>
      </w:r>
      <w:r>
        <w:rPr>
          <w:rFonts w:cs="Arial"/>
        </w:rPr>
        <w:t>,</w:t>
      </w:r>
      <w:r w:rsidRPr="006A2068">
        <w:rPr>
          <w:rFonts w:cs="Arial"/>
        </w:rPr>
        <w:t>550.17</w:t>
      </w:r>
      <w:r>
        <w:rPr>
          <w:rFonts w:cs="Arial"/>
        </w:rPr>
        <w:t>.</w:t>
      </w:r>
    </w:p>
    <w:p w14:paraId="5DA95C7B" w14:textId="44A0051B" w:rsidR="00335251" w:rsidRPr="00DA5FD6" w:rsidRDefault="00335251" w:rsidP="00335251">
      <w:pPr>
        <w:tabs>
          <w:tab w:val="left" w:pos="7200"/>
        </w:tabs>
        <w:spacing w:line="276" w:lineRule="auto"/>
        <w:ind w:left="644" w:right="-1"/>
        <w:jc w:val="both"/>
        <w:outlineLvl w:val="0"/>
        <w:rPr>
          <w:rFonts w:cs="Arial"/>
        </w:rPr>
      </w:pPr>
    </w:p>
    <w:p w14:paraId="454DBC51" w14:textId="77777777" w:rsidR="00335251" w:rsidRDefault="00335251" w:rsidP="00335251">
      <w:pPr>
        <w:spacing w:line="276" w:lineRule="auto"/>
        <w:ind w:right="-1"/>
        <w:jc w:val="both"/>
        <w:outlineLvl w:val="0"/>
        <w:rPr>
          <w:rFonts w:cs="Arial"/>
          <w:b/>
        </w:rPr>
      </w:pPr>
      <w:r w:rsidRPr="00543156">
        <w:rPr>
          <w:rFonts w:cs="Arial"/>
          <w:b/>
        </w:rPr>
        <w:t>Gastos y Otras Pérdidas:</w:t>
      </w:r>
      <w:r>
        <w:rPr>
          <w:rFonts w:cs="Arial"/>
          <w:b/>
        </w:rPr>
        <w:t xml:space="preserve"> </w:t>
      </w:r>
    </w:p>
    <w:p w14:paraId="523E3CE7" w14:textId="77777777" w:rsidR="00335251" w:rsidRPr="0095546C" w:rsidRDefault="00335251" w:rsidP="00396F02">
      <w:pPr>
        <w:numPr>
          <w:ilvl w:val="0"/>
          <w:numId w:val="1"/>
        </w:numPr>
        <w:tabs>
          <w:tab w:val="left" w:pos="639"/>
          <w:tab w:val="left" w:pos="3836"/>
        </w:tabs>
        <w:spacing w:before="240" w:after="0" w:line="276" w:lineRule="auto"/>
        <w:jc w:val="both"/>
        <w:rPr>
          <w:rFonts w:cs="Arial"/>
        </w:rPr>
      </w:pPr>
      <w:r w:rsidRPr="00594439">
        <w:rPr>
          <w:rFonts w:cs="Arial"/>
          <w:b/>
        </w:rPr>
        <w:t>Gastos de Funcionamiento</w:t>
      </w:r>
      <w:r w:rsidRPr="00594439">
        <w:rPr>
          <w:rFonts w:cs="Arial"/>
        </w:rPr>
        <w:t xml:space="preserve">. - Para la operación del Instituto, se han erogado en este mes la cantidad de </w:t>
      </w:r>
      <w:r w:rsidRPr="006A2068">
        <w:rPr>
          <w:rFonts w:cs="Arial"/>
        </w:rPr>
        <w:t>16</w:t>
      </w:r>
      <w:proofErr w:type="gramStart"/>
      <w:r>
        <w:rPr>
          <w:rFonts w:cs="Arial"/>
        </w:rPr>
        <w:t>,</w:t>
      </w:r>
      <w:r w:rsidRPr="006A2068">
        <w:rPr>
          <w:rFonts w:cs="Arial"/>
        </w:rPr>
        <w:t>416</w:t>
      </w:r>
      <w:r>
        <w:rPr>
          <w:rFonts w:cs="Arial"/>
        </w:rPr>
        <w:t>,</w:t>
      </w:r>
      <w:r w:rsidRPr="006A2068">
        <w:rPr>
          <w:rFonts w:cs="Arial"/>
        </w:rPr>
        <w:t>478.31</w:t>
      </w:r>
      <w:proofErr w:type="gramEnd"/>
      <w:r w:rsidRPr="00594439">
        <w:rPr>
          <w:rFonts w:cs="Arial"/>
        </w:rPr>
        <w:t xml:space="preserve">, integrados principalmente por: “Servicios Personales” (pagos de la nómina y sus colaterales) con un importe de </w:t>
      </w:r>
      <w:r w:rsidRPr="006A2068">
        <w:rPr>
          <w:rFonts w:cs="Arial"/>
        </w:rPr>
        <w:t>10</w:t>
      </w:r>
      <w:r>
        <w:rPr>
          <w:rFonts w:cs="Arial"/>
        </w:rPr>
        <w:t>,</w:t>
      </w:r>
      <w:r w:rsidRPr="006A2068">
        <w:rPr>
          <w:rFonts w:cs="Arial"/>
        </w:rPr>
        <w:t>301</w:t>
      </w:r>
      <w:r>
        <w:rPr>
          <w:rFonts w:cs="Arial"/>
        </w:rPr>
        <w:t>,</w:t>
      </w:r>
      <w:r w:rsidRPr="006A2068">
        <w:rPr>
          <w:rFonts w:cs="Arial"/>
        </w:rPr>
        <w:t>822.04</w:t>
      </w:r>
      <w:r w:rsidRPr="00594439">
        <w:rPr>
          <w:rFonts w:cs="Arial"/>
        </w:rPr>
        <w:t xml:space="preserve">, que representa el </w:t>
      </w:r>
      <w:r>
        <w:rPr>
          <w:rFonts w:cs="Arial"/>
        </w:rPr>
        <w:t>62.75</w:t>
      </w:r>
      <w:r w:rsidRPr="00594439">
        <w:rPr>
          <w:rFonts w:cs="Arial"/>
        </w:rPr>
        <w:t xml:space="preserve"> por ciento, en el concepto de </w:t>
      </w:r>
      <w:r>
        <w:rPr>
          <w:rFonts w:cs="Arial"/>
        </w:rPr>
        <w:t>“</w:t>
      </w:r>
      <w:r w:rsidRPr="006A2068">
        <w:rPr>
          <w:rFonts w:cs="Arial"/>
        </w:rPr>
        <w:t>Materiales y Suministros</w:t>
      </w:r>
      <w:r>
        <w:rPr>
          <w:rFonts w:cs="Arial"/>
        </w:rPr>
        <w:t xml:space="preserve">” por </w:t>
      </w:r>
      <w:r w:rsidRPr="006A2068">
        <w:rPr>
          <w:rFonts w:cs="Arial"/>
        </w:rPr>
        <w:t>91</w:t>
      </w:r>
      <w:r>
        <w:rPr>
          <w:rFonts w:cs="Arial"/>
        </w:rPr>
        <w:t>,</w:t>
      </w:r>
      <w:r w:rsidRPr="006A2068">
        <w:rPr>
          <w:rFonts w:cs="Arial"/>
        </w:rPr>
        <w:t>619.35</w:t>
      </w:r>
      <w:r>
        <w:rPr>
          <w:rFonts w:cs="Arial"/>
        </w:rPr>
        <w:t xml:space="preserve"> que representa el 0.56 por ciento, en el concepto de </w:t>
      </w:r>
      <w:r w:rsidRPr="006A2068">
        <w:rPr>
          <w:rFonts w:cs="Arial"/>
        </w:rPr>
        <w:t xml:space="preserve"> </w:t>
      </w:r>
      <w:r w:rsidRPr="00594439">
        <w:rPr>
          <w:rFonts w:cs="Arial"/>
        </w:rPr>
        <w:t xml:space="preserve">“Servicios Generales” por </w:t>
      </w:r>
      <w:r w:rsidRPr="006A2068">
        <w:rPr>
          <w:rFonts w:cs="Arial"/>
        </w:rPr>
        <w:t>6</w:t>
      </w:r>
      <w:r>
        <w:rPr>
          <w:rFonts w:cs="Arial"/>
        </w:rPr>
        <w:t>,</w:t>
      </w:r>
      <w:r w:rsidRPr="006A2068">
        <w:rPr>
          <w:rFonts w:cs="Arial"/>
        </w:rPr>
        <w:t>023</w:t>
      </w:r>
      <w:r>
        <w:rPr>
          <w:rFonts w:cs="Arial"/>
        </w:rPr>
        <w:t>,</w:t>
      </w:r>
      <w:r w:rsidRPr="006A2068">
        <w:rPr>
          <w:rFonts w:cs="Arial"/>
        </w:rPr>
        <w:t>036.92</w:t>
      </w:r>
      <w:r w:rsidRPr="008A46CC">
        <w:rPr>
          <w:rFonts w:cs="Arial"/>
        </w:rPr>
        <w:t xml:space="preserve"> </w:t>
      </w:r>
      <w:r w:rsidRPr="00594439">
        <w:rPr>
          <w:rFonts w:cs="Arial"/>
        </w:rPr>
        <w:t>que representa el</w:t>
      </w:r>
      <w:r>
        <w:rPr>
          <w:rFonts w:cs="Arial"/>
        </w:rPr>
        <w:t xml:space="preserve"> 36.69</w:t>
      </w:r>
      <w:r w:rsidRPr="00594439">
        <w:rPr>
          <w:rFonts w:cs="Arial"/>
        </w:rPr>
        <w:t xml:space="preserve"> por ciento</w:t>
      </w:r>
      <w:r>
        <w:rPr>
          <w:rFonts w:cs="Arial"/>
        </w:rPr>
        <w:t xml:space="preserve">. Presenta un saldo acumulado al mes por </w:t>
      </w:r>
      <w:r w:rsidRPr="006E7206">
        <w:rPr>
          <w:rFonts w:cs="Arial"/>
        </w:rPr>
        <w:t>46</w:t>
      </w:r>
      <w:r>
        <w:rPr>
          <w:rFonts w:cs="Arial"/>
        </w:rPr>
        <w:t>,</w:t>
      </w:r>
      <w:r w:rsidRPr="006E7206">
        <w:rPr>
          <w:rFonts w:cs="Arial"/>
        </w:rPr>
        <w:t>025</w:t>
      </w:r>
      <w:r>
        <w:rPr>
          <w:rFonts w:cs="Arial"/>
        </w:rPr>
        <w:t>,</w:t>
      </w:r>
      <w:r w:rsidRPr="006E7206">
        <w:rPr>
          <w:rFonts w:cs="Arial"/>
        </w:rPr>
        <w:t>977.06</w:t>
      </w:r>
      <w:r>
        <w:rPr>
          <w:rFonts w:cs="Arial"/>
        </w:rPr>
        <w:t>.</w:t>
      </w:r>
    </w:p>
    <w:p w14:paraId="38B33CB7" w14:textId="77777777" w:rsidR="00335251" w:rsidRPr="0095546C" w:rsidRDefault="00335251" w:rsidP="00335251">
      <w:pPr>
        <w:pStyle w:val="Prrafodelista"/>
        <w:spacing w:line="276" w:lineRule="auto"/>
        <w:ind w:left="644" w:right="-1"/>
        <w:jc w:val="both"/>
        <w:outlineLvl w:val="0"/>
        <w:rPr>
          <w:rFonts w:cs="Arial"/>
        </w:rPr>
      </w:pPr>
    </w:p>
    <w:p w14:paraId="4F2D074E" w14:textId="77777777" w:rsidR="00335251" w:rsidRPr="00661967" w:rsidRDefault="00335251" w:rsidP="00396F02">
      <w:pPr>
        <w:numPr>
          <w:ilvl w:val="0"/>
          <w:numId w:val="1"/>
        </w:numPr>
        <w:tabs>
          <w:tab w:val="left" w:pos="639"/>
          <w:tab w:val="left" w:pos="3836"/>
        </w:tabs>
        <w:spacing w:before="240" w:after="0" w:line="276" w:lineRule="auto"/>
        <w:jc w:val="both"/>
        <w:rPr>
          <w:rFonts w:cs="Arial"/>
        </w:rPr>
      </w:pPr>
      <w:r w:rsidRPr="00661967">
        <w:rPr>
          <w:rFonts w:cs="Arial"/>
          <w:b/>
        </w:rPr>
        <w:t>Transferencias, Asignaciones, Subsidios y Otras Ayudas. –</w:t>
      </w:r>
      <w:r w:rsidRPr="00661967">
        <w:rPr>
          <w:rFonts w:cs="Arial"/>
        </w:rPr>
        <w:t xml:space="preserve"> Presenta en el mes un monto de </w:t>
      </w:r>
      <w:r w:rsidRPr="006E7206">
        <w:rPr>
          <w:rFonts w:cs="Arial"/>
        </w:rPr>
        <w:t>3</w:t>
      </w:r>
      <w:r>
        <w:rPr>
          <w:rFonts w:cs="Arial"/>
        </w:rPr>
        <w:t>,</w:t>
      </w:r>
      <w:r w:rsidRPr="006E7206">
        <w:rPr>
          <w:rFonts w:cs="Arial"/>
        </w:rPr>
        <w:t>415</w:t>
      </w:r>
      <w:r>
        <w:rPr>
          <w:rFonts w:cs="Arial"/>
        </w:rPr>
        <w:t>,</w:t>
      </w:r>
      <w:r w:rsidRPr="006E7206">
        <w:rPr>
          <w:rFonts w:cs="Arial"/>
        </w:rPr>
        <w:t>367.44</w:t>
      </w:r>
      <w:r w:rsidRPr="00661967">
        <w:rPr>
          <w:rFonts w:cs="Arial"/>
        </w:rPr>
        <w:t>, por Concepto de Devoluciones de Ingresos Indebidos</w:t>
      </w:r>
      <w:r>
        <w:rPr>
          <w:rFonts w:cs="Arial"/>
        </w:rPr>
        <w:t xml:space="preserve">. Presenta un saldo acumulado al mes por </w:t>
      </w:r>
      <w:r w:rsidRPr="006E7206">
        <w:rPr>
          <w:rFonts w:cs="Arial"/>
        </w:rPr>
        <w:t>3</w:t>
      </w:r>
      <w:r>
        <w:rPr>
          <w:rFonts w:cs="Arial"/>
        </w:rPr>
        <w:t>,</w:t>
      </w:r>
      <w:r w:rsidRPr="006E7206">
        <w:rPr>
          <w:rFonts w:cs="Arial"/>
        </w:rPr>
        <w:t>820</w:t>
      </w:r>
      <w:r>
        <w:rPr>
          <w:rFonts w:cs="Arial"/>
        </w:rPr>
        <w:t>,</w:t>
      </w:r>
      <w:r w:rsidRPr="006E7206">
        <w:rPr>
          <w:rFonts w:cs="Arial"/>
        </w:rPr>
        <w:t>029.38</w:t>
      </w:r>
    </w:p>
    <w:p w14:paraId="0D7E187A" w14:textId="77777777" w:rsidR="00335251" w:rsidRPr="00661967" w:rsidRDefault="00335251" w:rsidP="00335251">
      <w:pPr>
        <w:pStyle w:val="Prrafodelista"/>
        <w:rPr>
          <w:rFonts w:cs="Arial"/>
        </w:rPr>
      </w:pPr>
    </w:p>
    <w:p w14:paraId="25229966" w14:textId="77777777" w:rsidR="00335251" w:rsidRPr="00080A6D" w:rsidRDefault="00335251" w:rsidP="00396F02">
      <w:pPr>
        <w:numPr>
          <w:ilvl w:val="0"/>
          <w:numId w:val="1"/>
        </w:numPr>
        <w:tabs>
          <w:tab w:val="left" w:pos="639"/>
          <w:tab w:val="left" w:pos="3836"/>
        </w:tabs>
        <w:spacing w:before="240" w:after="0" w:line="276" w:lineRule="auto"/>
        <w:jc w:val="both"/>
      </w:pPr>
      <w:r w:rsidRPr="00594439">
        <w:rPr>
          <w:rFonts w:cs="Arial"/>
          <w:b/>
        </w:rPr>
        <w:t>Otros Gastos y Pérdidas Extraordinarias</w:t>
      </w:r>
      <w:r w:rsidRPr="00594439">
        <w:rPr>
          <w:rFonts w:cs="Arial"/>
        </w:rPr>
        <w:t>. - En esta partida se refleja</w:t>
      </w:r>
      <w:r>
        <w:rPr>
          <w:rFonts w:cs="Arial"/>
        </w:rPr>
        <w:t xml:space="preserve"> </w:t>
      </w:r>
      <w:r w:rsidRPr="00594439">
        <w:rPr>
          <w:rFonts w:cs="Arial"/>
        </w:rPr>
        <w:t xml:space="preserve">en el mes la cantidad de </w:t>
      </w:r>
      <w:r w:rsidRPr="007B66D3">
        <w:rPr>
          <w:rFonts w:cs="Arial"/>
        </w:rPr>
        <w:t>989</w:t>
      </w:r>
      <w:r>
        <w:rPr>
          <w:rFonts w:cs="Arial"/>
        </w:rPr>
        <w:t>,</w:t>
      </w:r>
      <w:r w:rsidRPr="007B66D3">
        <w:rPr>
          <w:rFonts w:cs="Arial"/>
        </w:rPr>
        <w:t>170.32</w:t>
      </w:r>
      <w:r w:rsidRPr="00266904">
        <w:rPr>
          <w:rFonts w:cs="Arial"/>
        </w:rPr>
        <w:t xml:space="preserve"> </w:t>
      </w:r>
      <w:r w:rsidRPr="00594439">
        <w:rPr>
          <w:rFonts w:cs="Arial"/>
        </w:rPr>
        <w:t>la depreciación de bienes muebles e inmuebles.</w:t>
      </w:r>
      <w:r>
        <w:rPr>
          <w:rFonts w:cs="Arial"/>
        </w:rPr>
        <w:t xml:space="preserve"> Presenta un saldo acumulado al mes por </w:t>
      </w:r>
      <w:r w:rsidRPr="006E7206">
        <w:rPr>
          <w:rFonts w:cs="Arial"/>
        </w:rPr>
        <w:t>2</w:t>
      </w:r>
      <w:r>
        <w:rPr>
          <w:rFonts w:cs="Arial"/>
        </w:rPr>
        <w:t>,</w:t>
      </w:r>
      <w:r w:rsidRPr="006E7206">
        <w:rPr>
          <w:rFonts w:cs="Arial"/>
        </w:rPr>
        <w:t>964</w:t>
      </w:r>
      <w:r>
        <w:rPr>
          <w:rFonts w:cs="Arial"/>
        </w:rPr>
        <w:t>,</w:t>
      </w:r>
      <w:r w:rsidRPr="006E7206">
        <w:rPr>
          <w:rFonts w:cs="Arial"/>
        </w:rPr>
        <w:t>646.92</w:t>
      </w:r>
      <w:r>
        <w:rPr>
          <w:rFonts w:cs="Arial"/>
        </w:rPr>
        <w:t xml:space="preserve">. </w:t>
      </w:r>
      <w:r w:rsidRPr="00594439">
        <w:rPr>
          <w:rFonts w:cs="Arial"/>
        </w:rPr>
        <w:t>Así mismo</w:t>
      </w:r>
      <w:r>
        <w:rPr>
          <w:rFonts w:cs="Arial"/>
        </w:rPr>
        <w:t>,</w:t>
      </w:r>
      <w:r w:rsidRPr="00594439">
        <w:rPr>
          <w:rFonts w:cs="Arial"/>
        </w:rPr>
        <w:t xml:space="preserve"> gastos contables no presupuestarios por un importe de </w:t>
      </w:r>
      <w:r w:rsidRPr="00661967">
        <w:rPr>
          <w:rFonts w:cs="Arial"/>
        </w:rPr>
        <w:t>4</w:t>
      </w:r>
      <w:r>
        <w:rPr>
          <w:rFonts w:cs="Arial"/>
        </w:rPr>
        <w:t>,</w:t>
      </w:r>
      <w:r w:rsidRPr="00661967">
        <w:rPr>
          <w:rFonts w:cs="Arial"/>
        </w:rPr>
        <w:t>499</w:t>
      </w:r>
      <w:r>
        <w:rPr>
          <w:rFonts w:cs="Arial"/>
        </w:rPr>
        <w:t>,</w:t>
      </w:r>
      <w:r w:rsidRPr="00661967">
        <w:rPr>
          <w:rFonts w:cs="Arial"/>
        </w:rPr>
        <w:t>847.84</w:t>
      </w:r>
      <w:r w:rsidRPr="00594439">
        <w:rPr>
          <w:rFonts w:cs="Arial"/>
        </w:rPr>
        <w:t xml:space="preserve"> correspondientes a la devolución al GEM, de los Remanentes e intereses del Programa de Acciones para el Desarrollo (PAD</w:t>
      </w:r>
      <w:r w:rsidRPr="00594439">
        <w:rPr>
          <w:rFonts w:cs="Arial"/>
          <w:b/>
        </w:rPr>
        <w:t>)</w:t>
      </w:r>
      <w:r>
        <w:rPr>
          <w:rFonts w:cs="Arial"/>
        </w:rPr>
        <w:t>.</w:t>
      </w:r>
    </w:p>
    <w:p w14:paraId="3B639667" w14:textId="77777777" w:rsidR="00335251" w:rsidRDefault="00335251" w:rsidP="00335251">
      <w:pPr>
        <w:pStyle w:val="Prrafodelista"/>
      </w:pPr>
    </w:p>
    <w:p w14:paraId="768DB7AB" w14:textId="77777777" w:rsidR="00335251" w:rsidRDefault="00335251" w:rsidP="00335251">
      <w:pPr>
        <w:spacing w:after="0" w:line="276" w:lineRule="auto"/>
        <w:ind w:right="-1"/>
        <w:jc w:val="both"/>
      </w:pPr>
    </w:p>
    <w:p w14:paraId="7249B095" w14:textId="77777777" w:rsidR="00335251" w:rsidRPr="00DC0BE0" w:rsidRDefault="00335251" w:rsidP="00335251">
      <w:pPr>
        <w:numPr>
          <w:ilvl w:val="0"/>
          <w:numId w:val="2"/>
        </w:numPr>
        <w:spacing w:before="240" w:after="240" w:line="276" w:lineRule="auto"/>
        <w:ind w:left="1068" w:right="-1"/>
        <w:contextualSpacing/>
        <w:outlineLvl w:val="0"/>
        <w:rPr>
          <w:rFonts w:eastAsia="Times New Roman" w:cs="Arial"/>
          <w:b/>
          <w:lang w:eastAsia="es-MX"/>
        </w:rPr>
      </w:pPr>
      <w:r w:rsidRPr="00DC0BE0">
        <w:rPr>
          <w:rFonts w:eastAsia="Times New Roman" w:cs="Arial"/>
          <w:b/>
          <w:lang w:eastAsia="es-MX"/>
        </w:rPr>
        <w:t>NOTAS AL ESTADO DE VARIACIONES EN LA HACIENDA PÚBLICA/PATRIMONIO</w:t>
      </w:r>
    </w:p>
    <w:p w14:paraId="10084575" w14:textId="77777777" w:rsidR="00335251" w:rsidRPr="0020562B" w:rsidRDefault="00335251" w:rsidP="00335251">
      <w:pPr>
        <w:spacing w:before="240" w:after="240" w:line="276" w:lineRule="auto"/>
        <w:ind w:left="1068" w:right="-1"/>
        <w:contextualSpacing/>
        <w:outlineLvl w:val="0"/>
        <w:rPr>
          <w:rFonts w:eastAsia="Times New Roman" w:cs="Arial"/>
          <w:b/>
          <w:lang w:eastAsia="es-MX"/>
        </w:rPr>
      </w:pPr>
    </w:p>
    <w:p w14:paraId="285D60C3" w14:textId="77777777" w:rsidR="00335251" w:rsidRDefault="00335251" w:rsidP="00F512CD">
      <w:pPr>
        <w:numPr>
          <w:ilvl w:val="0"/>
          <w:numId w:val="1"/>
        </w:numPr>
        <w:tabs>
          <w:tab w:val="left" w:pos="639"/>
          <w:tab w:val="left" w:pos="3836"/>
        </w:tabs>
        <w:spacing w:before="240" w:after="0" w:line="276" w:lineRule="auto"/>
        <w:jc w:val="both"/>
        <w:rPr>
          <w:rFonts w:cs="Arial"/>
        </w:rPr>
      </w:pPr>
      <w:r w:rsidRPr="00DA5FD6">
        <w:rPr>
          <w:rFonts w:cs="Arial"/>
          <w:b/>
        </w:rPr>
        <w:t xml:space="preserve">Hacienda </w:t>
      </w:r>
      <w:r>
        <w:rPr>
          <w:rFonts w:cs="Arial"/>
          <w:b/>
        </w:rPr>
        <w:t>Pública/Patrimonio Contribuido</w:t>
      </w:r>
      <w:r w:rsidRPr="00DA5FD6">
        <w:rPr>
          <w:rFonts w:cs="Arial"/>
          <w:b/>
        </w:rPr>
        <w:t>. -</w:t>
      </w:r>
      <w:r w:rsidRPr="00DA5FD6">
        <w:rPr>
          <w:rFonts w:cs="Arial"/>
        </w:rPr>
        <w:t xml:space="preserve"> En el Estado de Variaciones en la Hacienda Pública, el patrimonio contribuido</w:t>
      </w:r>
      <w:r>
        <w:rPr>
          <w:rFonts w:cs="Arial"/>
        </w:rPr>
        <w:t xml:space="preserve"> neto final</w:t>
      </w:r>
      <w:r w:rsidRPr="00DA5FD6">
        <w:rPr>
          <w:rFonts w:cs="Arial"/>
        </w:rPr>
        <w:t xml:space="preserve"> del Instituto </w:t>
      </w:r>
      <w:r>
        <w:rPr>
          <w:rFonts w:cs="Arial"/>
        </w:rPr>
        <w:t xml:space="preserve">por la cantidad de </w:t>
      </w:r>
      <w:r w:rsidRPr="007B24D6">
        <w:rPr>
          <w:rFonts w:cs="Arial"/>
        </w:rPr>
        <w:t>5</w:t>
      </w:r>
      <w:r>
        <w:rPr>
          <w:rFonts w:cs="Arial"/>
        </w:rPr>
        <w:t>,</w:t>
      </w:r>
      <w:r w:rsidRPr="007B24D6">
        <w:rPr>
          <w:rFonts w:cs="Arial"/>
        </w:rPr>
        <w:t>203</w:t>
      </w:r>
      <w:r>
        <w:rPr>
          <w:rFonts w:cs="Arial"/>
        </w:rPr>
        <w:t>,</w:t>
      </w:r>
      <w:r w:rsidRPr="007B24D6">
        <w:rPr>
          <w:rFonts w:cs="Arial"/>
        </w:rPr>
        <w:t>459.11</w:t>
      </w:r>
      <w:r>
        <w:rPr>
          <w:rFonts w:cs="Arial"/>
        </w:rPr>
        <w:t xml:space="preserve"> </w:t>
      </w:r>
      <w:r w:rsidRPr="00DA5FD6">
        <w:rPr>
          <w:rFonts w:cs="Arial"/>
        </w:rPr>
        <w:t xml:space="preserve">se </w:t>
      </w:r>
      <w:r>
        <w:rPr>
          <w:rFonts w:cs="Arial"/>
        </w:rPr>
        <w:t>conserva</w:t>
      </w:r>
      <w:r w:rsidRPr="00DA5FD6">
        <w:rPr>
          <w:rFonts w:cs="Arial"/>
        </w:rPr>
        <w:t xml:space="preserve"> por las aportaciones de</w:t>
      </w:r>
      <w:r>
        <w:rPr>
          <w:rFonts w:cs="Arial"/>
        </w:rPr>
        <w:t>l Gobierno del Estado de México.</w:t>
      </w:r>
    </w:p>
    <w:p w14:paraId="2155E8B7" w14:textId="77777777" w:rsidR="00335251" w:rsidRPr="00963F7E" w:rsidRDefault="00335251" w:rsidP="00F512CD">
      <w:pPr>
        <w:numPr>
          <w:ilvl w:val="0"/>
          <w:numId w:val="1"/>
        </w:numPr>
        <w:tabs>
          <w:tab w:val="left" w:pos="639"/>
          <w:tab w:val="left" w:pos="3836"/>
        </w:tabs>
        <w:spacing w:before="240" w:after="0" w:line="276" w:lineRule="auto"/>
        <w:jc w:val="both"/>
        <w:rPr>
          <w:rFonts w:cs="Arial"/>
        </w:rPr>
      </w:pPr>
      <w:r w:rsidRPr="00963F7E">
        <w:rPr>
          <w:rFonts w:cs="Arial"/>
          <w:b/>
        </w:rPr>
        <w:t>Hacienda Pública / Patrimonio Generado de Ejercicios Anteriores. -</w:t>
      </w:r>
      <w:r>
        <w:rPr>
          <w:rFonts w:cs="Arial"/>
          <w:b/>
        </w:rPr>
        <w:t xml:space="preserve"> </w:t>
      </w:r>
      <w:r>
        <w:rPr>
          <w:rFonts w:cs="Arial"/>
        </w:rPr>
        <w:t xml:space="preserve">En este mes se detecta que el Patrimonio Neto Final es de menos </w:t>
      </w:r>
      <w:r w:rsidRPr="007629EF">
        <w:rPr>
          <w:rFonts w:cs="Arial"/>
        </w:rPr>
        <w:t>1</w:t>
      </w:r>
      <w:r>
        <w:rPr>
          <w:rFonts w:cs="Arial"/>
        </w:rPr>
        <w:t>,</w:t>
      </w:r>
      <w:r w:rsidRPr="007629EF">
        <w:rPr>
          <w:rFonts w:cs="Arial"/>
        </w:rPr>
        <w:t>443</w:t>
      </w:r>
      <w:r>
        <w:rPr>
          <w:rFonts w:cs="Arial"/>
        </w:rPr>
        <w:t>,</w:t>
      </w:r>
      <w:r w:rsidRPr="007629EF">
        <w:rPr>
          <w:rFonts w:cs="Arial"/>
        </w:rPr>
        <w:t>021</w:t>
      </w:r>
      <w:r>
        <w:rPr>
          <w:rFonts w:cs="Arial"/>
        </w:rPr>
        <w:t>,</w:t>
      </w:r>
      <w:r w:rsidRPr="007629EF">
        <w:rPr>
          <w:rFonts w:cs="Arial"/>
        </w:rPr>
        <w:t>954.6</w:t>
      </w:r>
      <w:r>
        <w:rPr>
          <w:rFonts w:cs="Arial"/>
        </w:rPr>
        <w:t>0, por los Resultados de Ejercicios Anteriores.</w:t>
      </w:r>
    </w:p>
    <w:p w14:paraId="77CD8014" w14:textId="77777777" w:rsidR="00335251" w:rsidRDefault="00335251" w:rsidP="00F512CD">
      <w:pPr>
        <w:numPr>
          <w:ilvl w:val="0"/>
          <w:numId w:val="1"/>
        </w:numPr>
        <w:tabs>
          <w:tab w:val="left" w:pos="639"/>
          <w:tab w:val="left" w:pos="3836"/>
        </w:tabs>
        <w:spacing w:before="240" w:after="0" w:line="276" w:lineRule="auto"/>
        <w:jc w:val="both"/>
        <w:rPr>
          <w:rFonts w:cs="Arial"/>
        </w:rPr>
      </w:pPr>
      <w:r w:rsidRPr="00DA5FD6">
        <w:rPr>
          <w:rFonts w:cs="Arial"/>
          <w:b/>
        </w:rPr>
        <w:t>Resultado del Ejercicio: (Ahorro/Desahorro). -</w:t>
      </w:r>
      <w:r w:rsidRPr="00DA5FD6">
        <w:rPr>
          <w:rFonts w:cs="Arial"/>
        </w:rPr>
        <w:t xml:space="preserve"> Se observa en la Hacienda Pública/Patrimonio Generado del Ejercicio, un </w:t>
      </w:r>
      <w:r>
        <w:rPr>
          <w:rFonts w:cs="Arial"/>
        </w:rPr>
        <w:t xml:space="preserve">ahorro por </w:t>
      </w:r>
      <w:r w:rsidRPr="00694D50">
        <w:rPr>
          <w:rFonts w:cs="Arial"/>
        </w:rPr>
        <w:t>463</w:t>
      </w:r>
      <w:r>
        <w:rPr>
          <w:rFonts w:cs="Arial"/>
        </w:rPr>
        <w:t>,</w:t>
      </w:r>
      <w:r w:rsidRPr="00694D50">
        <w:rPr>
          <w:rFonts w:cs="Arial"/>
        </w:rPr>
        <w:t>436</w:t>
      </w:r>
      <w:r>
        <w:rPr>
          <w:rFonts w:cs="Arial"/>
        </w:rPr>
        <w:t>,</w:t>
      </w:r>
      <w:r w:rsidRPr="00694D50">
        <w:rPr>
          <w:rFonts w:cs="Arial"/>
        </w:rPr>
        <w:t>316.82</w:t>
      </w:r>
      <w:r w:rsidRPr="000F2F11">
        <w:rPr>
          <w:rFonts w:cs="Arial"/>
        </w:rPr>
        <w:t xml:space="preserve">, </w:t>
      </w:r>
      <w:r w:rsidRPr="00DA5FD6">
        <w:rPr>
          <w:rFonts w:cs="Arial"/>
        </w:rPr>
        <w:t xml:space="preserve">debido principalmente a </w:t>
      </w:r>
      <w:r>
        <w:rPr>
          <w:rFonts w:cs="Arial"/>
        </w:rPr>
        <w:t>que los ingresos generados son mayores que los gastos de acuerdo con el estado de actividades</w:t>
      </w:r>
      <w:r w:rsidRPr="00DA5FD6">
        <w:rPr>
          <w:rFonts w:cs="Arial"/>
        </w:rPr>
        <w:t>.</w:t>
      </w:r>
    </w:p>
    <w:p w14:paraId="21B78A09" w14:textId="77777777" w:rsidR="00335251" w:rsidRDefault="00335251" w:rsidP="00335251">
      <w:pPr>
        <w:spacing w:line="240" w:lineRule="auto"/>
        <w:jc w:val="both"/>
        <w:rPr>
          <w:rFonts w:ascii="HelveticaNeueLT Std Lt" w:eastAsia="Times New Roman" w:hAnsi="HelveticaNeueLT Std Lt" w:cs="Times New Roman"/>
          <w:b/>
          <w:bCs/>
          <w:lang w:eastAsia="es-MX"/>
        </w:rPr>
      </w:pPr>
    </w:p>
    <w:p w14:paraId="19373E09" w14:textId="0CEB3C63" w:rsidR="00335251" w:rsidRPr="008049BC" w:rsidRDefault="00335251" w:rsidP="00335251">
      <w:pPr>
        <w:numPr>
          <w:ilvl w:val="0"/>
          <w:numId w:val="2"/>
        </w:numPr>
        <w:spacing w:before="240" w:after="240" w:line="276" w:lineRule="auto"/>
        <w:ind w:left="1068" w:right="-1"/>
        <w:contextualSpacing/>
        <w:outlineLvl w:val="0"/>
        <w:rPr>
          <w:rFonts w:ascii="HelveticaNeueLT Std Lt" w:eastAsia="Times New Roman" w:hAnsi="HelveticaNeueLT Std Lt" w:cs="Times New Roman"/>
          <w:b/>
          <w:bCs/>
          <w:lang w:eastAsia="es-MX"/>
        </w:rPr>
      </w:pPr>
      <w:r w:rsidRPr="008049BC">
        <w:rPr>
          <w:rFonts w:eastAsia="Times New Roman" w:cs="Arial"/>
          <w:b/>
          <w:lang w:eastAsia="es-MX"/>
        </w:rPr>
        <w:t>NOTAS AL ESTADO DE FLUJOS DE EFECTIVO</w:t>
      </w:r>
    </w:p>
    <w:p w14:paraId="37784DE0" w14:textId="77777777" w:rsidR="00F62DC9" w:rsidRDefault="00F62DC9" w:rsidP="00F62DC9">
      <w:pPr>
        <w:spacing w:before="240" w:after="240" w:line="276" w:lineRule="auto"/>
        <w:ind w:right="-1"/>
        <w:contextualSpacing/>
        <w:outlineLvl w:val="0"/>
        <w:rPr>
          <w:rFonts w:ascii="HelveticaNeueLT Std Lt" w:eastAsia="Times New Roman" w:hAnsi="HelveticaNeueLT Std Lt" w:cs="Times New Roman"/>
          <w:b/>
          <w:bCs/>
          <w:lang w:eastAsia="es-MX"/>
        </w:rPr>
      </w:pPr>
    </w:p>
    <w:p w14:paraId="7E6C098C" w14:textId="77777777" w:rsidR="008049BC" w:rsidRPr="00304218" w:rsidRDefault="008049BC" w:rsidP="00F62DC9">
      <w:pPr>
        <w:spacing w:before="240" w:after="240" w:line="276" w:lineRule="auto"/>
        <w:ind w:right="-1"/>
        <w:contextualSpacing/>
        <w:outlineLvl w:val="0"/>
        <w:rPr>
          <w:rFonts w:ascii="HelveticaNeueLT Std Lt" w:eastAsia="Times New Roman" w:hAnsi="HelveticaNeueLT Std Lt" w:cs="Times New Roman"/>
          <w:b/>
          <w:bCs/>
          <w:lang w:eastAsia="es-MX"/>
        </w:rPr>
      </w:pPr>
    </w:p>
    <w:p w14:paraId="77538CAC" w14:textId="77777777" w:rsidR="00335251" w:rsidRDefault="00335251" w:rsidP="00335251">
      <w:pPr>
        <w:spacing w:line="276" w:lineRule="auto"/>
        <w:ind w:right="-1"/>
        <w:rPr>
          <w:rFonts w:cs="Arial"/>
        </w:rPr>
      </w:pPr>
      <w:r w:rsidRPr="00594439">
        <w:rPr>
          <w:rFonts w:cs="Arial"/>
        </w:rPr>
        <w:t>En este Estado se observa el análisis de los saldos inicial y final que figuran en la última parte del Estado de Flujo de Efectivo en la cuenta de efectivo y equivalentes es como sigue:</w:t>
      </w:r>
    </w:p>
    <w:p w14:paraId="49F0A809" w14:textId="77777777" w:rsidR="008049BC" w:rsidRDefault="008049BC" w:rsidP="00335251">
      <w:pPr>
        <w:spacing w:line="276" w:lineRule="auto"/>
        <w:ind w:right="-1"/>
        <w:rPr>
          <w:rFonts w:cs="Arial"/>
        </w:rPr>
      </w:pPr>
    </w:p>
    <w:p w14:paraId="5B48A588" w14:textId="77777777" w:rsidR="00335251" w:rsidRDefault="00335251" w:rsidP="00335251">
      <w:pPr>
        <w:tabs>
          <w:tab w:val="left" w:pos="5918"/>
        </w:tabs>
        <w:spacing w:line="276" w:lineRule="auto"/>
        <w:ind w:right="-1"/>
        <w:jc w:val="center"/>
        <w:rPr>
          <w:rFonts w:cs="Arial"/>
        </w:rPr>
      </w:pPr>
      <w:r w:rsidRPr="00B4482A">
        <w:rPr>
          <w:noProof/>
          <w:lang w:eastAsia="es-MX"/>
        </w:rPr>
        <w:drawing>
          <wp:inline distT="0" distB="0" distL="0" distR="0" wp14:anchorId="7DBE6458" wp14:editId="0C1C81A1">
            <wp:extent cx="5045710" cy="1309370"/>
            <wp:effectExtent l="0" t="0" r="2540" b="508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5710" cy="1309370"/>
                    </a:xfrm>
                    <a:prstGeom prst="rect">
                      <a:avLst/>
                    </a:prstGeom>
                    <a:noFill/>
                    <a:ln>
                      <a:noFill/>
                    </a:ln>
                  </pic:spPr>
                </pic:pic>
              </a:graphicData>
            </a:graphic>
          </wp:inline>
        </w:drawing>
      </w:r>
    </w:p>
    <w:p w14:paraId="0D0346C6" w14:textId="77777777" w:rsidR="00335251" w:rsidRDefault="00335251" w:rsidP="00335251">
      <w:pPr>
        <w:tabs>
          <w:tab w:val="left" w:pos="5918"/>
        </w:tabs>
        <w:spacing w:line="276" w:lineRule="auto"/>
        <w:ind w:right="-1"/>
        <w:jc w:val="center"/>
        <w:rPr>
          <w:rFonts w:cs="Arial"/>
        </w:rPr>
      </w:pPr>
    </w:p>
    <w:p w14:paraId="51BED0C7" w14:textId="77777777" w:rsidR="00335251" w:rsidRDefault="00335251" w:rsidP="00335251">
      <w:pPr>
        <w:spacing w:line="276" w:lineRule="auto"/>
        <w:ind w:right="-1"/>
        <w:jc w:val="both"/>
      </w:pPr>
      <w:r w:rsidRPr="00C1138F">
        <w:t>La Conciliación de los Flujos de Efectivo Netos de las Actividades de Operación y la cuenta de Ahorro/Desahorro antes de Rubros Extraordinarios, queda como sigue:</w:t>
      </w:r>
    </w:p>
    <w:p w14:paraId="7AAA790A" w14:textId="77777777" w:rsidR="008049BC" w:rsidRDefault="008049BC" w:rsidP="00335251">
      <w:pPr>
        <w:spacing w:line="276" w:lineRule="auto"/>
        <w:ind w:right="-1"/>
        <w:jc w:val="both"/>
      </w:pPr>
    </w:p>
    <w:p w14:paraId="78F27595" w14:textId="77777777" w:rsidR="008049BC" w:rsidRDefault="008049BC" w:rsidP="00335251">
      <w:pPr>
        <w:spacing w:line="276" w:lineRule="auto"/>
        <w:ind w:right="-1"/>
        <w:jc w:val="both"/>
      </w:pPr>
    </w:p>
    <w:p w14:paraId="0895C633" w14:textId="77777777" w:rsidR="008049BC" w:rsidRDefault="008049BC" w:rsidP="00335251">
      <w:pPr>
        <w:spacing w:line="276" w:lineRule="auto"/>
        <w:ind w:right="-1"/>
        <w:jc w:val="both"/>
      </w:pPr>
    </w:p>
    <w:p w14:paraId="74E149BF" w14:textId="77777777" w:rsidR="008049BC" w:rsidRDefault="008049BC" w:rsidP="00335251">
      <w:pPr>
        <w:spacing w:line="276" w:lineRule="auto"/>
        <w:ind w:right="-1"/>
        <w:jc w:val="both"/>
      </w:pPr>
    </w:p>
    <w:p w14:paraId="01D71F93" w14:textId="77777777" w:rsidR="008049BC" w:rsidRDefault="008049BC" w:rsidP="00335251">
      <w:pPr>
        <w:spacing w:line="276" w:lineRule="auto"/>
        <w:ind w:right="-1"/>
        <w:jc w:val="both"/>
      </w:pPr>
    </w:p>
    <w:p w14:paraId="34E2EF31" w14:textId="77777777" w:rsidR="008049BC" w:rsidRDefault="008049BC" w:rsidP="00335251">
      <w:pPr>
        <w:spacing w:line="276" w:lineRule="auto"/>
        <w:ind w:right="-1"/>
        <w:jc w:val="both"/>
      </w:pPr>
    </w:p>
    <w:p w14:paraId="00FF0BC4" w14:textId="77777777" w:rsidR="008049BC" w:rsidRDefault="008049BC" w:rsidP="00335251">
      <w:pPr>
        <w:spacing w:line="276" w:lineRule="auto"/>
        <w:ind w:right="-1"/>
        <w:jc w:val="both"/>
      </w:pPr>
    </w:p>
    <w:p w14:paraId="537303F7" w14:textId="77777777" w:rsidR="008049BC" w:rsidRDefault="008049BC" w:rsidP="00335251">
      <w:pPr>
        <w:spacing w:line="276" w:lineRule="auto"/>
        <w:ind w:right="-1"/>
        <w:jc w:val="both"/>
      </w:pPr>
    </w:p>
    <w:p w14:paraId="205C3AA3" w14:textId="77777777" w:rsidR="00335251" w:rsidRPr="00846C68" w:rsidRDefault="00335251" w:rsidP="00335251">
      <w:pPr>
        <w:spacing w:line="276" w:lineRule="auto"/>
        <w:ind w:right="-1"/>
        <w:jc w:val="center"/>
        <w:rPr>
          <w:color w:val="FF0000"/>
          <w:highlight w:val="yellow"/>
        </w:rPr>
      </w:pPr>
      <w:r w:rsidRPr="00B4482A">
        <w:rPr>
          <w:noProof/>
          <w:lang w:eastAsia="es-MX"/>
        </w:rPr>
        <w:drawing>
          <wp:inline distT="0" distB="0" distL="0" distR="0" wp14:anchorId="3CA5A221" wp14:editId="39499F02">
            <wp:extent cx="5045710" cy="3269615"/>
            <wp:effectExtent l="0" t="0" r="2540" b="6985"/>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5710" cy="3269615"/>
                    </a:xfrm>
                    <a:prstGeom prst="rect">
                      <a:avLst/>
                    </a:prstGeom>
                    <a:noFill/>
                    <a:ln>
                      <a:noFill/>
                    </a:ln>
                  </pic:spPr>
                </pic:pic>
              </a:graphicData>
            </a:graphic>
          </wp:inline>
        </w:drawing>
      </w:r>
    </w:p>
    <w:p w14:paraId="0D42389D" w14:textId="77777777" w:rsidR="00335251" w:rsidRDefault="00335251" w:rsidP="00335251">
      <w:pPr>
        <w:spacing w:line="276" w:lineRule="auto"/>
        <w:ind w:right="-1"/>
        <w:jc w:val="center"/>
        <w:rPr>
          <w:highlight w:val="yellow"/>
        </w:rPr>
      </w:pPr>
    </w:p>
    <w:p w14:paraId="357C3FDB" w14:textId="77777777" w:rsidR="008049BC" w:rsidRPr="0033425E" w:rsidRDefault="008049BC" w:rsidP="00335251">
      <w:pPr>
        <w:spacing w:line="276" w:lineRule="auto"/>
        <w:ind w:right="-1"/>
        <w:jc w:val="center"/>
        <w:rPr>
          <w:highlight w:val="yellow"/>
        </w:rPr>
      </w:pPr>
    </w:p>
    <w:p w14:paraId="6D04B435" w14:textId="77777777" w:rsidR="00335251" w:rsidRPr="00A07A22" w:rsidRDefault="00335251" w:rsidP="00335251">
      <w:pPr>
        <w:spacing w:line="276" w:lineRule="auto"/>
        <w:ind w:right="-1"/>
        <w:jc w:val="both"/>
      </w:pPr>
      <w:r w:rsidRPr="008049BC">
        <w:rPr>
          <w:rFonts w:cs="Arial"/>
        </w:rPr>
        <w:t>El</w:t>
      </w:r>
      <w:r w:rsidRPr="00C1138F">
        <w:rPr>
          <w:rFonts w:cs="Arial"/>
        </w:rPr>
        <w:t xml:space="preserve"> efectivo y equivalentes en este mes para que el Instituto de la Función Registral del Estado de México cubra sus obligaciones de pago, fue de </w:t>
      </w:r>
      <w:r w:rsidRPr="00DA1647">
        <w:rPr>
          <w:rFonts w:cs="Arial"/>
        </w:rPr>
        <w:t>2</w:t>
      </w:r>
      <w:r>
        <w:rPr>
          <w:rFonts w:cs="Arial"/>
        </w:rPr>
        <w:t>16</w:t>
      </w:r>
      <w:proofErr w:type="gramStart"/>
      <w:r>
        <w:rPr>
          <w:rFonts w:cs="Arial"/>
        </w:rPr>
        <w:t>,</w:t>
      </w:r>
      <w:r w:rsidRPr="00DA1647">
        <w:rPr>
          <w:rFonts w:cs="Arial"/>
        </w:rPr>
        <w:t>6</w:t>
      </w:r>
      <w:r>
        <w:rPr>
          <w:rFonts w:cs="Arial"/>
        </w:rPr>
        <w:t>00,091</w:t>
      </w:r>
      <w:r w:rsidRPr="00DA1647">
        <w:rPr>
          <w:rFonts w:cs="Arial"/>
        </w:rPr>
        <w:t>.</w:t>
      </w:r>
      <w:r>
        <w:rPr>
          <w:rFonts w:cs="Arial"/>
        </w:rPr>
        <w:t>55</w:t>
      </w:r>
      <w:proofErr w:type="gramEnd"/>
      <w:r>
        <w:rPr>
          <w:rFonts w:cs="Arial"/>
        </w:rPr>
        <w:t>.</w:t>
      </w:r>
    </w:p>
    <w:p w14:paraId="68824113" w14:textId="77777777" w:rsidR="00335251" w:rsidRPr="006A0C99" w:rsidRDefault="00335251" w:rsidP="00335251"/>
    <w:p w14:paraId="68075E6D" w14:textId="77777777" w:rsidR="00335251" w:rsidRPr="0004404F" w:rsidRDefault="00335251" w:rsidP="00335251"/>
    <w:p w14:paraId="632CA5E4" w14:textId="67FE726E" w:rsidR="000A27A8" w:rsidRPr="007554CA" w:rsidRDefault="000A27A8" w:rsidP="00C22431">
      <w:pPr>
        <w:numPr>
          <w:ilvl w:val="0"/>
          <w:numId w:val="1"/>
        </w:numPr>
        <w:tabs>
          <w:tab w:val="left" w:pos="639"/>
          <w:tab w:val="left" w:pos="3836"/>
        </w:tabs>
        <w:spacing w:before="240" w:after="0" w:line="259" w:lineRule="auto"/>
        <w:jc w:val="both"/>
        <w:rPr>
          <w:highlight w:val="yellow"/>
        </w:rPr>
      </w:pPr>
      <w:r w:rsidRPr="007554CA">
        <w:rPr>
          <w:highlight w:val="yellow"/>
        </w:rPr>
        <w:br w:type="page"/>
      </w:r>
    </w:p>
    <w:p w14:paraId="54BC8C5D" w14:textId="77777777" w:rsidR="00D81778" w:rsidRPr="00D81778" w:rsidRDefault="00D81778" w:rsidP="00D81778">
      <w:pPr>
        <w:numPr>
          <w:ilvl w:val="0"/>
          <w:numId w:val="2"/>
        </w:numPr>
        <w:spacing w:before="240" w:after="240" w:line="276" w:lineRule="auto"/>
        <w:ind w:left="1068" w:right="-1"/>
        <w:contextualSpacing/>
        <w:outlineLvl w:val="0"/>
        <w:rPr>
          <w:rFonts w:eastAsia="Calibri" w:cs="Arial"/>
          <w:b/>
        </w:rPr>
      </w:pPr>
      <w:bookmarkStart w:id="2" w:name="_Hlk99539725"/>
      <w:r w:rsidRPr="00D81778">
        <w:rPr>
          <w:rFonts w:cs="Arial"/>
          <w:b/>
        </w:rPr>
        <w:lastRenderedPageBreak/>
        <w:t>CONCILIACIÓN ENTRE LOS INGRESOS PRESUPUESTARIOS Y CONTABLES, ASÍ COMO ENTRE LOS EGRESOS PRESUPUESTARIOS Y LOS GASTOS CONTABLES</w:t>
      </w:r>
    </w:p>
    <w:bookmarkEnd w:id="2"/>
    <w:p w14:paraId="6061BBA7" w14:textId="77777777" w:rsidR="00D81778" w:rsidRPr="00C356F8" w:rsidRDefault="00D81778" w:rsidP="00D81778">
      <w:pPr>
        <w:jc w:val="center"/>
        <w:rPr>
          <w:highlight w:val="yellow"/>
        </w:rPr>
      </w:pPr>
      <w:r>
        <w:rPr>
          <w:noProof/>
          <w:lang w:eastAsia="es-MX"/>
        </w:rPr>
        <w:tab/>
      </w:r>
      <w:bookmarkStart w:id="3" w:name="_Hlk99539704"/>
      <w:r w:rsidRPr="000865B5">
        <w:rPr>
          <w:noProof/>
          <w:lang w:eastAsia="es-MX"/>
        </w:rPr>
        <w:drawing>
          <wp:inline distT="0" distB="0" distL="0" distR="0" wp14:anchorId="2F7AA310" wp14:editId="0ECE736F">
            <wp:extent cx="6276975" cy="38576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76975" cy="3857625"/>
                    </a:xfrm>
                    <a:prstGeom prst="rect">
                      <a:avLst/>
                    </a:prstGeom>
                    <a:noFill/>
                    <a:ln>
                      <a:noFill/>
                    </a:ln>
                  </pic:spPr>
                </pic:pic>
              </a:graphicData>
            </a:graphic>
          </wp:inline>
        </w:drawing>
      </w:r>
    </w:p>
    <w:p w14:paraId="2068D6C7" w14:textId="77777777" w:rsidR="00D81778" w:rsidRPr="00A64450" w:rsidRDefault="00D81778" w:rsidP="00D81778">
      <w:pPr>
        <w:spacing w:after="0" w:line="276" w:lineRule="auto"/>
        <w:ind w:right="-1"/>
        <w:rPr>
          <w:noProof/>
          <w:lang w:eastAsia="es-MX"/>
        </w:rPr>
      </w:pPr>
    </w:p>
    <w:p w14:paraId="7104535A" w14:textId="77777777" w:rsidR="00D81778" w:rsidRPr="00A64450" w:rsidRDefault="00D81778" w:rsidP="00D81778">
      <w:pPr>
        <w:tabs>
          <w:tab w:val="left" w:pos="1545"/>
        </w:tabs>
        <w:jc w:val="both"/>
        <w:rPr>
          <w:rFonts w:cs="Arial"/>
        </w:rPr>
      </w:pPr>
      <w:r w:rsidRPr="00E4694C">
        <w:rPr>
          <w:rFonts w:cs="Arial"/>
          <w:b/>
        </w:rPr>
        <w:t>Conciliación entre los Ingresos Presupuestarios y Contables</w:t>
      </w:r>
      <w:r>
        <w:rPr>
          <w:rFonts w:cs="Arial"/>
        </w:rPr>
        <w:t xml:space="preserve">.- </w:t>
      </w:r>
      <w:r w:rsidRPr="000865B5">
        <w:rPr>
          <w:rFonts w:cs="Arial"/>
        </w:rPr>
        <w:t>El renglón de Ingresos Derivados de Financiamientos 169</w:t>
      </w:r>
      <w:proofErr w:type="gramStart"/>
      <w:r w:rsidRPr="000865B5">
        <w:rPr>
          <w:rFonts w:cs="Arial"/>
        </w:rPr>
        <w:t>,455,485.28</w:t>
      </w:r>
      <w:proofErr w:type="gramEnd"/>
      <w:r w:rsidRPr="000865B5">
        <w:rPr>
          <w:rFonts w:cs="Arial"/>
        </w:rPr>
        <w:t xml:space="preserve">  se integra de 102,592,876.5 para Remanentes e intereses de Fideicomiso de Cobranza Y 66,862,608.78 Ingresos por disponibilidades presupuestarias Entidades </w:t>
      </w:r>
      <w:proofErr w:type="spellStart"/>
      <w:r w:rsidRPr="000865B5">
        <w:rPr>
          <w:rFonts w:cs="Arial"/>
        </w:rPr>
        <w:t>publicas</w:t>
      </w:r>
      <w:proofErr w:type="spellEnd"/>
      <w:r w:rsidRPr="000865B5">
        <w:rPr>
          <w:rFonts w:cs="Arial"/>
        </w:rPr>
        <w:t>.</w:t>
      </w:r>
    </w:p>
    <w:p w14:paraId="4DFE9357" w14:textId="77777777" w:rsidR="00D81778" w:rsidRPr="00C356F8" w:rsidRDefault="00D81778" w:rsidP="00D81778">
      <w:pPr>
        <w:rPr>
          <w:rFonts w:cs="Arial"/>
          <w:highlight w:val="yellow"/>
        </w:rPr>
      </w:pPr>
    </w:p>
    <w:p w14:paraId="3A673CF5" w14:textId="77777777" w:rsidR="00D81778" w:rsidRPr="00C356F8" w:rsidRDefault="00D81778" w:rsidP="00D81778">
      <w:pPr>
        <w:rPr>
          <w:rFonts w:cs="Arial"/>
          <w:highlight w:val="yellow"/>
        </w:rPr>
      </w:pPr>
    </w:p>
    <w:p w14:paraId="259A605E" w14:textId="77777777" w:rsidR="00D81778" w:rsidRPr="00177121" w:rsidRDefault="00D81778" w:rsidP="00D81778">
      <w:pPr>
        <w:tabs>
          <w:tab w:val="left" w:pos="5985"/>
          <w:tab w:val="left" w:pos="8445"/>
        </w:tabs>
        <w:rPr>
          <w:rFonts w:cs="Arial"/>
        </w:rPr>
      </w:pPr>
      <w:r w:rsidRPr="00177121">
        <w:rPr>
          <w:rFonts w:cs="Arial"/>
        </w:rPr>
        <w:tab/>
      </w:r>
      <w:r w:rsidRPr="00177121">
        <w:rPr>
          <w:rFonts w:cs="Arial"/>
        </w:rPr>
        <w:tab/>
      </w:r>
    </w:p>
    <w:p w14:paraId="2E6FB610" w14:textId="77777777" w:rsidR="00D81778" w:rsidRPr="00177121" w:rsidRDefault="00D81778" w:rsidP="00D81778">
      <w:pPr>
        <w:tabs>
          <w:tab w:val="left" w:pos="8445"/>
        </w:tabs>
        <w:rPr>
          <w:rFonts w:cs="Arial"/>
        </w:rPr>
      </w:pPr>
    </w:p>
    <w:p w14:paraId="0EA85B55" w14:textId="77777777" w:rsidR="00D81778" w:rsidRDefault="00D81778" w:rsidP="00D81778">
      <w:pPr>
        <w:tabs>
          <w:tab w:val="left" w:pos="1215"/>
        </w:tabs>
        <w:jc w:val="center"/>
        <w:rPr>
          <w:noProof/>
          <w:lang w:eastAsia="es-MX"/>
        </w:rPr>
      </w:pPr>
    </w:p>
    <w:p w14:paraId="6BC48559" w14:textId="77777777" w:rsidR="00D81778" w:rsidRDefault="00D81778" w:rsidP="00D81778">
      <w:pPr>
        <w:tabs>
          <w:tab w:val="left" w:pos="1215"/>
        </w:tabs>
        <w:jc w:val="center"/>
        <w:rPr>
          <w:noProof/>
          <w:lang w:eastAsia="es-MX"/>
        </w:rPr>
      </w:pPr>
    </w:p>
    <w:p w14:paraId="6D3C8D62" w14:textId="77777777" w:rsidR="00D81778" w:rsidRDefault="00D81778" w:rsidP="00D81778">
      <w:pPr>
        <w:tabs>
          <w:tab w:val="left" w:pos="1215"/>
        </w:tabs>
        <w:jc w:val="center"/>
        <w:rPr>
          <w:noProof/>
          <w:lang w:eastAsia="es-MX"/>
        </w:rPr>
      </w:pPr>
    </w:p>
    <w:p w14:paraId="4708D1BA" w14:textId="77777777" w:rsidR="00D81778" w:rsidRDefault="00D81778" w:rsidP="00D81778">
      <w:pPr>
        <w:tabs>
          <w:tab w:val="left" w:pos="1215"/>
        </w:tabs>
        <w:jc w:val="center"/>
        <w:rPr>
          <w:noProof/>
          <w:lang w:eastAsia="es-MX"/>
        </w:rPr>
      </w:pPr>
    </w:p>
    <w:p w14:paraId="3862A06A" w14:textId="77777777" w:rsidR="00D81778" w:rsidRDefault="00D81778" w:rsidP="00D81778">
      <w:pPr>
        <w:tabs>
          <w:tab w:val="left" w:pos="1215"/>
        </w:tabs>
        <w:jc w:val="center"/>
        <w:rPr>
          <w:rFonts w:cs="Arial"/>
          <w:b/>
        </w:rPr>
      </w:pPr>
      <w:r w:rsidRPr="000865B5">
        <w:rPr>
          <w:noProof/>
          <w:lang w:eastAsia="es-MX"/>
        </w:rPr>
        <w:lastRenderedPageBreak/>
        <w:drawing>
          <wp:inline distT="0" distB="0" distL="0" distR="0" wp14:anchorId="212F1BE7" wp14:editId="274E37B3">
            <wp:extent cx="6389271" cy="55911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5804" cy="5596892"/>
                    </a:xfrm>
                    <a:prstGeom prst="rect">
                      <a:avLst/>
                    </a:prstGeom>
                    <a:noFill/>
                    <a:ln>
                      <a:noFill/>
                    </a:ln>
                  </pic:spPr>
                </pic:pic>
              </a:graphicData>
            </a:graphic>
          </wp:inline>
        </w:drawing>
      </w:r>
    </w:p>
    <w:p w14:paraId="3AB0E62A" w14:textId="77777777" w:rsidR="00D81778" w:rsidRDefault="00D81778" w:rsidP="00D81778">
      <w:pPr>
        <w:tabs>
          <w:tab w:val="left" w:pos="1215"/>
        </w:tabs>
        <w:jc w:val="both"/>
        <w:rPr>
          <w:rFonts w:cs="Arial"/>
        </w:rPr>
      </w:pPr>
      <w:r w:rsidRPr="00E4694C">
        <w:rPr>
          <w:rFonts w:cs="Arial"/>
          <w:b/>
        </w:rPr>
        <w:t>Conciliación entre los Egreso</w:t>
      </w:r>
      <w:r>
        <w:rPr>
          <w:rFonts w:cs="Arial"/>
          <w:b/>
        </w:rPr>
        <w:t>s Presupuestarios y los Gastos C</w:t>
      </w:r>
      <w:r w:rsidRPr="00E4694C">
        <w:rPr>
          <w:rFonts w:cs="Arial"/>
          <w:b/>
        </w:rPr>
        <w:t>ontables</w:t>
      </w:r>
      <w:r>
        <w:rPr>
          <w:rFonts w:cs="Arial"/>
        </w:rPr>
        <w:t>.-</w:t>
      </w:r>
      <w:r w:rsidRPr="00177121">
        <w:rPr>
          <w:rFonts w:cs="Arial"/>
        </w:rPr>
        <w:t xml:space="preserve"> </w:t>
      </w:r>
      <w:r w:rsidRPr="000865B5">
        <w:rPr>
          <w:rFonts w:cs="Arial"/>
        </w:rPr>
        <w:t>El renglón de Otros Egresos Presupuestales No Contables por 428</w:t>
      </w:r>
      <w:proofErr w:type="gramStart"/>
      <w:r w:rsidRPr="000865B5">
        <w:rPr>
          <w:rFonts w:cs="Arial"/>
        </w:rPr>
        <w:t>,686,568.16</w:t>
      </w:r>
      <w:proofErr w:type="gramEnd"/>
      <w:r w:rsidRPr="000865B5">
        <w:rPr>
          <w:rFonts w:cs="Arial"/>
        </w:rPr>
        <w:t xml:space="preserve">  se integran de: 381,282,661.26, de las Transferencias al Fideicomiso de Cobranza y 47,403,906.90 del recurso comprometido de acuerdo al Avance Presupuestal al mes que se analiza. En el rubro de Otros Gastos Contables No Presupuestales el importe de 4,499,847.84  por la transferencia al GEM, de los remanentes del Programa de Regularización de Tenencia de la Tierra 2021, que incluye los intereses generados.</w:t>
      </w:r>
    </w:p>
    <w:bookmarkEnd w:id="3"/>
    <w:p w14:paraId="22D53B1C" w14:textId="77777777" w:rsidR="004C0A73" w:rsidRPr="003C2837" w:rsidRDefault="003869AF" w:rsidP="004C0A73">
      <w:pPr>
        <w:numPr>
          <w:ilvl w:val="0"/>
          <w:numId w:val="16"/>
        </w:numPr>
        <w:tabs>
          <w:tab w:val="left" w:pos="3836"/>
          <w:tab w:val="left" w:pos="4395"/>
        </w:tabs>
        <w:spacing w:after="0" w:line="276" w:lineRule="auto"/>
        <w:ind w:right="-1"/>
        <w:contextualSpacing/>
        <w:outlineLvl w:val="0"/>
        <w:rPr>
          <w:rFonts w:eastAsia="Times New Roman" w:cs="Arial"/>
          <w:b/>
          <w:lang w:eastAsia="es-MX"/>
        </w:rPr>
      </w:pPr>
      <w:r w:rsidRPr="00FD45A3">
        <w:rPr>
          <w:rFonts w:cs="Arial"/>
          <w:highlight w:val="yellow"/>
        </w:rPr>
        <w:br w:type="page"/>
      </w:r>
      <w:r w:rsidR="004C0A73" w:rsidRPr="003C2837">
        <w:rPr>
          <w:rFonts w:eastAsia="Times New Roman" w:cs="Arial"/>
          <w:b/>
          <w:lang w:eastAsia="es-MX"/>
        </w:rPr>
        <w:lastRenderedPageBreak/>
        <w:t>NOTAS DE MEMORIA (CUENTAS DE ORDEN)</w:t>
      </w:r>
    </w:p>
    <w:p w14:paraId="694956E5" w14:textId="77777777" w:rsidR="004C0A73" w:rsidRPr="003C2837" w:rsidRDefault="004C0A73" w:rsidP="004C0A73">
      <w:pPr>
        <w:tabs>
          <w:tab w:val="left" w:pos="3836"/>
        </w:tabs>
        <w:spacing w:after="0" w:line="276" w:lineRule="auto"/>
        <w:ind w:left="714" w:right="-1"/>
        <w:contextualSpacing/>
        <w:outlineLvl w:val="0"/>
        <w:rPr>
          <w:rFonts w:eastAsia="Times New Roman" w:cs="Arial"/>
          <w:b/>
          <w:lang w:eastAsia="es-MX"/>
        </w:rPr>
      </w:pPr>
    </w:p>
    <w:p w14:paraId="3D977219" w14:textId="77777777" w:rsidR="004C0A73" w:rsidRDefault="004C0A73" w:rsidP="004C0A73">
      <w:pPr>
        <w:tabs>
          <w:tab w:val="left" w:pos="8064"/>
        </w:tabs>
        <w:spacing w:line="276" w:lineRule="auto"/>
        <w:ind w:right="-1"/>
        <w:jc w:val="both"/>
        <w:outlineLvl w:val="0"/>
        <w:rPr>
          <w:rFonts w:cs="Arial"/>
        </w:rPr>
      </w:pPr>
      <w:r w:rsidRPr="00D62C1B">
        <w:rPr>
          <w:rFonts w:cs="Arial"/>
        </w:rPr>
        <w:t>Las Cuentas de Orden Contables y Presupuestarias se integran de la siguiente forma:</w:t>
      </w:r>
    </w:p>
    <w:p w14:paraId="7600F9ED" w14:textId="77777777" w:rsidR="004C0A73" w:rsidRDefault="004C0A73" w:rsidP="004C0A73">
      <w:pPr>
        <w:tabs>
          <w:tab w:val="left" w:pos="8064"/>
        </w:tabs>
        <w:spacing w:line="276" w:lineRule="auto"/>
        <w:ind w:right="-1"/>
        <w:jc w:val="both"/>
        <w:outlineLvl w:val="0"/>
        <w:rPr>
          <w:rFonts w:cs="Arial"/>
        </w:rPr>
      </w:pPr>
      <w:r w:rsidRPr="000C6AFE">
        <w:rPr>
          <w:noProof/>
          <w:lang w:eastAsia="es-MX"/>
        </w:rPr>
        <w:drawing>
          <wp:inline distT="0" distB="0" distL="0" distR="0" wp14:anchorId="70F0D659" wp14:editId="625C1AE7">
            <wp:extent cx="6388175" cy="1859280"/>
            <wp:effectExtent l="0" t="0" r="0" b="7620"/>
            <wp:docPr id="514" name="Imagen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9970" cy="1859802"/>
                    </a:xfrm>
                    <a:prstGeom prst="rect">
                      <a:avLst/>
                    </a:prstGeom>
                    <a:noFill/>
                    <a:ln>
                      <a:noFill/>
                    </a:ln>
                  </pic:spPr>
                </pic:pic>
              </a:graphicData>
            </a:graphic>
          </wp:inline>
        </w:drawing>
      </w:r>
    </w:p>
    <w:p w14:paraId="1E80F8ED" w14:textId="77777777" w:rsidR="004C0A73" w:rsidRPr="00D62C1B" w:rsidRDefault="004C0A73" w:rsidP="004C0A73">
      <w:pPr>
        <w:tabs>
          <w:tab w:val="left" w:pos="8064"/>
        </w:tabs>
        <w:spacing w:line="276" w:lineRule="auto"/>
        <w:ind w:right="-1"/>
        <w:jc w:val="both"/>
        <w:outlineLvl w:val="0"/>
        <w:rPr>
          <w:rFonts w:cs="Arial"/>
        </w:rPr>
      </w:pPr>
      <w:r w:rsidRPr="000C6AFE">
        <w:rPr>
          <w:noProof/>
          <w:lang w:eastAsia="es-MX"/>
        </w:rPr>
        <w:drawing>
          <wp:inline distT="0" distB="0" distL="0" distR="0" wp14:anchorId="0280F274" wp14:editId="27E1FA26">
            <wp:extent cx="6388735" cy="454107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3423" cy="4544405"/>
                    </a:xfrm>
                    <a:prstGeom prst="rect">
                      <a:avLst/>
                    </a:prstGeom>
                    <a:noFill/>
                    <a:ln>
                      <a:noFill/>
                    </a:ln>
                  </pic:spPr>
                </pic:pic>
              </a:graphicData>
            </a:graphic>
          </wp:inline>
        </w:drawing>
      </w:r>
    </w:p>
    <w:p w14:paraId="54DA7171" w14:textId="77777777" w:rsidR="004C0A73" w:rsidRDefault="004C0A73" w:rsidP="004C0A73">
      <w:pPr>
        <w:tabs>
          <w:tab w:val="left" w:pos="8064"/>
        </w:tabs>
        <w:spacing w:line="276" w:lineRule="auto"/>
        <w:ind w:right="-1"/>
        <w:jc w:val="both"/>
        <w:outlineLvl w:val="0"/>
        <w:rPr>
          <w:rFonts w:cs="Arial"/>
        </w:rPr>
      </w:pPr>
      <w:r w:rsidRPr="00D62C1B">
        <w:rPr>
          <w:rFonts w:cs="Arial"/>
        </w:rPr>
        <w:br w:type="page"/>
      </w:r>
      <w:r w:rsidRPr="0013598B">
        <w:rPr>
          <w:rFonts w:cs="Arial"/>
        </w:rPr>
        <w:lastRenderedPageBreak/>
        <w:t xml:space="preserve">La comunicación de la asignación del Presupuesto Autorizado para el Ejercicio Fiscal 2021, se realizó mediante oficio No. 20704001L-0062/2022, de fecha 08 de febrero de 2022, emitido por la Secretaría de Finanzas, con el cual se aprueba la asignación presupuestal autorizada por la LXI Legislatura local al Instituto de la Función Registral del Estado de México, que asciende a la cantidad de </w:t>
      </w:r>
      <w:r w:rsidRPr="0013598B">
        <w:rPr>
          <w:rFonts w:cs="Arial"/>
          <w:b/>
        </w:rPr>
        <w:t>2,398,812,320.00,</w:t>
      </w:r>
      <w:r w:rsidRPr="0013598B">
        <w:rPr>
          <w:rFonts w:cs="Arial"/>
        </w:rPr>
        <w:t xml:space="preserve"> </w:t>
      </w:r>
      <w:r>
        <w:rPr>
          <w:rFonts w:cs="Arial"/>
        </w:rPr>
        <w:t>adicionalmente</w:t>
      </w:r>
      <w:r>
        <w:rPr>
          <w:rFonts w:cs="Arial"/>
          <w:b/>
        </w:rPr>
        <w:t xml:space="preserve"> s</w:t>
      </w:r>
      <w:r>
        <w:rPr>
          <w:rFonts w:cs="Arial"/>
        </w:rPr>
        <w:t>e tuvo una asignación y autorización presupuestal de 38,658,686.65, autorizada con el oficio No. 20704000L-APAD-0017/22, del 10 de febrero de 2022, signado por el Subsecretario de Planeación y Presupuesto, con cargo al Programa de Acciones para el Desarrollo (PAD), dando un total de 2,437</w:t>
      </w:r>
      <w:r w:rsidRPr="0007131E">
        <w:rPr>
          <w:rFonts w:cs="Arial"/>
        </w:rPr>
        <w:t>,</w:t>
      </w:r>
      <w:r>
        <w:rPr>
          <w:rFonts w:cs="Arial"/>
        </w:rPr>
        <w:t>471</w:t>
      </w:r>
      <w:r w:rsidRPr="0007131E">
        <w:rPr>
          <w:rFonts w:cs="Arial"/>
        </w:rPr>
        <w:t>,</w:t>
      </w:r>
      <w:r>
        <w:rPr>
          <w:rFonts w:cs="Arial"/>
        </w:rPr>
        <w:t>006.65, distribuido de la siguiente manera:</w:t>
      </w:r>
    </w:p>
    <w:p w14:paraId="5B3ED19E" w14:textId="77777777" w:rsidR="004C0A73" w:rsidRDefault="004C0A73" w:rsidP="004C0A73">
      <w:pPr>
        <w:tabs>
          <w:tab w:val="left" w:pos="8064"/>
        </w:tabs>
        <w:spacing w:line="276" w:lineRule="auto"/>
        <w:ind w:right="-1"/>
        <w:jc w:val="both"/>
        <w:outlineLvl w:val="0"/>
        <w:rPr>
          <w:noProof/>
          <w:lang w:eastAsia="es-MX"/>
        </w:rPr>
      </w:pPr>
      <w:r w:rsidRPr="00D4696D">
        <w:rPr>
          <w:noProof/>
          <w:lang w:eastAsia="es-MX"/>
        </w:rPr>
        <w:drawing>
          <wp:inline distT="0" distB="0" distL="0" distR="0" wp14:anchorId="23464B84" wp14:editId="5ACBCAE9">
            <wp:extent cx="5916227" cy="1773141"/>
            <wp:effectExtent l="0" t="0" r="8890" b="0"/>
            <wp:docPr id="515" name="Imagen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0356" cy="1789364"/>
                    </a:xfrm>
                    <a:prstGeom prst="rect">
                      <a:avLst/>
                    </a:prstGeom>
                    <a:noFill/>
                    <a:ln>
                      <a:noFill/>
                    </a:ln>
                  </pic:spPr>
                </pic:pic>
              </a:graphicData>
            </a:graphic>
          </wp:inline>
        </w:drawing>
      </w:r>
    </w:p>
    <w:p w14:paraId="13FC84E0" w14:textId="77777777" w:rsidR="004C0A73" w:rsidRDefault="004C0A73" w:rsidP="004C0A73">
      <w:pPr>
        <w:tabs>
          <w:tab w:val="left" w:pos="8064"/>
        </w:tabs>
        <w:spacing w:line="276" w:lineRule="auto"/>
        <w:ind w:right="-1"/>
        <w:jc w:val="both"/>
        <w:outlineLvl w:val="0"/>
        <w:rPr>
          <w:noProof/>
          <w:lang w:eastAsia="es-MX"/>
        </w:rPr>
      </w:pPr>
      <w:r w:rsidRPr="00E97617">
        <w:t>El presupuesto se ha m</w:t>
      </w:r>
      <w:r>
        <w:t>odificado para el Ejercicio 2022</w:t>
      </w:r>
      <w:r w:rsidRPr="00E97617">
        <w:t>, de acuerdo con las siguientes adecuaciones:</w:t>
      </w:r>
    </w:p>
    <w:p w14:paraId="59823D1F" w14:textId="77777777" w:rsidR="004C0A73" w:rsidRDefault="004C0A73" w:rsidP="004C0A73">
      <w:pPr>
        <w:spacing w:line="259" w:lineRule="auto"/>
        <w:rPr>
          <w:noProof/>
          <w:lang w:eastAsia="es-MX"/>
        </w:rPr>
      </w:pPr>
      <w:r w:rsidRPr="00A27623">
        <w:rPr>
          <w:noProof/>
          <w:lang w:eastAsia="es-MX"/>
        </w:rPr>
        <w:drawing>
          <wp:inline distT="0" distB="0" distL="0" distR="0" wp14:anchorId="5734432E" wp14:editId="33957B78">
            <wp:extent cx="5868000" cy="23164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74126" cy="2318898"/>
                    </a:xfrm>
                    <a:prstGeom prst="rect">
                      <a:avLst/>
                    </a:prstGeom>
                    <a:noFill/>
                    <a:ln>
                      <a:noFill/>
                    </a:ln>
                  </pic:spPr>
                </pic:pic>
              </a:graphicData>
            </a:graphic>
          </wp:inline>
        </w:drawing>
      </w:r>
      <w:r>
        <w:rPr>
          <w:noProof/>
          <w:lang w:eastAsia="es-MX"/>
        </w:rPr>
        <w:br w:type="page"/>
      </w:r>
    </w:p>
    <w:p w14:paraId="746FAD7E" w14:textId="77777777" w:rsidR="004C0A73" w:rsidRDefault="004C0A73" w:rsidP="004C0A73">
      <w:pPr>
        <w:tabs>
          <w:tab w:val="left" w:pos="6420"/>
        </w:tabs>
        <w:spacing w:line="259" w:lineRule="auto"/>
      </w:pPr>
      <w:r w:rsidRPr="00D62C1B">
        <w:rPr>
          <w:b/>
        </w:rPr>
        <w:lastRenderedPageBreak/>
        <w:t>Estado Comparativo del Ejercicio del Presupuesto de Egresos:</w:t>
      </w:r>
      <w:r w:rsidRPr="00C1395C">
        <w:t xml:space="preserve"> </w:t>
      </w:r>
    </w:p>
    <w:p w14:paraId="7B5FB5CD" w14:textId="77777777" w:rsidR="004C0A73" w:rsidRDefault="004C0A73" w:rsidP="004C0A73">
      <w:pPr>
        <w:tabs>
          <w:tab w:val="left" w:pos="6420"/>
        </w:tabs>
        <w:spacing w:line="259" w:lineRule="auto"/>
        <w:rPr>
          <w:b/>
        </w:rPr>
      </w:pPr>
      <w:r w:rsidRPr="00BD79C2">
        <w:rPr>
          <w:noProof/>
          <w:lang w:eastAsia="es-MX"/>
        </w:rPr>
        <w:drawing>
          <wp:inline distT="0" distB="0" distL="0" distR="0" wp14:anchorId="6C0CBC5B" wp14:editId="3FA2D9AF">
            <wp:extent cx="6389160" cy="1254369"/>
            <wp:effectExtent l="0" t="0" r="0" b="3175"/>
            <wp:docPr id="517" name="Imagen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22427" cy="1260900"/>
                    </a:xfrm>
                    <a:prstGeom prst="rect">
                      <a:avLst/>
                    </a:prstGeom>
                    <a:noFill/>
                    <a:ln>
                      <a:noFill/>
                    </a:ln>
                  </pic:spPr>
                </pic:pic>
              </a:graphicData>
            </a:graphic>
          </wp:inline>
        </w:drawing>
      </w:r>
    </w:p>
    <w:p w14:paraId="21CE8391" w14:textId="77777777" w:rsidR="004C0A73" w:rsidRPr="00D62C1B" w:rsidRDefault="004C0A73" w:rsidP="004C0A73">
      <w:pPr>
        <w:tabs>
          <w:tab w:val="left" w:pos="488"/>
        </w:tabs>
        <w:spacing w:line="276" w:lineRule="auto"/>
        <w:ind w:right="-1"/>
        <w:jc w:val="both"/>
        <w:outlineLvl w:val="0"/>
        <w:rPr>
          <w:rFonts w:cs="Arial"/>
        </w:rPr>
      </w:pPr>
      <w:r w:rsidRPr="00D62C1B">
        <w:rPr>
          <w:rFonts w:cs="Arial"/>
        </w:rPr>
        <w:t>El presupuesto de egresos aprobado anual fue de 2,3</w:t>
      </w:r>
      <w:r>
        <w:rPr>
          <w:rFonts w:cs="Arial"/>
        </w:rPr>
        <w:t>98</w:t>
      </w:r>
      <w:r w:rsidRPr="00D62C1B">
        <w:rPr>
          <w:rFonts w:cs="Arial"/>
        </w:rPr>
        <w:t>,</w:t>
      </w:r>
      <w:r>
        <w:rPr>
          <w:rFonts w:cs="Arial"/>
        </w:rPr>
        <w:t>8</w:t>
      </w:r>
      <w:r w:rsidRPr="00D62C1B">
        <w:rPr>
          <w:rFonts w:cs="Arial"/>
        </w:rPr>
        <w:t>12,3</w:t>
      </w:r>
      <w:r>
        <w:rPr>
          <w:rFonts w:cs="Arial"/>
        </w:rPr>
        <w:t>20</w:t>
      </w:r>
      <w:r w:rsidRPr="00D62C1B">
        <w:rPr>
          <w:rFonts w:cs="Arial"/>
        </w:rPr>
        <w:t xml:space="preserve">.00, el presupuesto modificado al mes es de </w:t>
      </w:r>
      <w:r w:rsidRPr="00BD79C2">
        <w:rPr>
          <w:rFonts w:cs="Arial"/>
        </w:rPr>
        <w:t>1</w:t>
      </w:r>
      <w:r>
        <w:rPr>
          <w:rFonts w:cs="Arial"/>
        </w:rPr>
        <w:t>,</w:t>
      </w:r>
      <w:r w:rsidRPr="00BD79C2">
        <w:rPr>
          <w:rFonts w:cs="Arial"/>
        </w:rPr>
        <w:t>006</w:t>
      </w:r>
      <w:r>
        <w:rPr>
          <w:rFonts w:cs="Arial"/>
        </w:rPr>
        <w:t>’</w:t>
      </w:r>
      <w:r w:rsidRPr="00BD79C2">
        <w:rPr>
          <w:rFonts w:cs="Arial"/>
        </w:rPr>
        <w:t>649</w:t>
      </w:r>
      <w:r>
        <w:rPr>
          <w:rFonts w:cs="Arial"/>
        </w:rPr>
        <w:t>,</w:t>
      </w:r>
      <w:r w:rsidRPr="00BD79C2">
        <w:rPr>
          <w:rFonts w:cs="Arial"/>
        </w:rPr>
        <w:t>982.43</w:t>
      </w:r>
      <w:r>
        <w:rPr>
          <w:rFonts w:cs="Arial"/>
        </w:rPr>
        <w:t xml:space="preserve"> </w:t>
      </w:r>
      <w:r w:rsidRPr="00D62C1B">
        <w:rPr>
          <w:rFonts w:cs="Arial"/>
        </w:rPr>
        <w:t xml:space="preserve">y se ha ejercido al mes que se analiza la cantidad de </w:t>
      </w:r>
      <w:r w:rsidRPr="00BD79C2">
        <w:rPr>
          <w:rFonts w:cs="Arial"/>
        </w:rPr>
        <w:t>921</w:t>
      </w:r>
      <w:r>
        <w:rPr>
          <w:rFonts w:cs="Arial"/>
        </w:rPr>
        <w:t>’</w:t>
      </w:r>
      <w:r w:rsidRPr="00BD79C2">
        <w:rPr>
          <w:rFonts w:cs="Arial"/>
        </w:rPr>
        <w:t>410</w:t>
      </w:r>
      <w:r>
        <w:rPr>
          <w:rFonts w:cs="Arial"/>
        </w:rPr>
        <w:t>,</w:t>
      </w:r>
      <w:r w:rsidRPr="00BD79C2">
        <w:rPr>
          <w:rFonts w:cs="Arial"/>
        </w:rPr>
        <w:t>324.93</w:t>
      </w:r>
      <w:r>
        <w:rPr>
          <w:rFonts w:cs="Arial"/>
        </w:rPr>
        <w:t>;</w:t>
      </w:r>
      <w:r w:rsidRPr="00D62C1B">
        <w:rPr>
          <w:rFonts w:cs="Arial"/>
        </w:rPr>
        <w:t xml:space="preserve"> por lo tanto, se observa una variación absoluta de </w:t>
      </w:r>
      <w:r w:rsidRPr="00BD79C2">
        <w:rPr>
          <w:rFonts w:cs="Arial"/>
        </w:rPr>
        <w:t>85</w:t>
      </w:r>
      <w:r>
        <w:rPr>
          <w:rFonts w:cs="Arial"/>
        </w:rPr>
        <w:t>’</w:t>
      </w:r>
      <w:r w:rsidRPr="00BD79C2">
        <w:rPr>
          <w:rFonts w:cs="Arial"/>
        </w:rPr>
        <w:t>239</w:t>
      </w:r>
      <w:r>
        <w:rPr>
          <w:rFonts w:cs="Arial"/>
        </w:rPr>
        <w:t>,</w:t>
      </w:r>
      <w:r w:rsidRPr="00BD79C2">
        <w:rPr>
          <w:rFonts w:cs="Arial"/>
        </w:rPr>
        <w:t>657.5</w:t>
      </w:r>
      <w:r>
        <w:rPr>
          <w:rFonts w:cs="Arial"/>
        </w:rPr>
        <w:t>0, que representa el 8.47 por ciento</w:t>
      </w:r>
      <w:r w:rsidRPr="00D62C1B">
        <w:rPr>
          <w:rFonts w:cs="Arial"/>
        </w:rPr>
        <w:t xml:space="preserve"> contra el presupuesto</w:t>
      </w:r>
      <w:r>
        <w:rPr>
          <w:rFonts w:cs="Arial"/>
        </w:rPr>
        <w:t xml:space="preserve"> acumulado al mes modificado</w:t>
      </w:r>
      <w:r w:rsidRPr="00D62C1B">
        <w:rPr>
          <w:rFonts w:cs="Arial"/>
        </w:rPr>
        <w:t>, principalmente por lo siguiente:</w:t>
      </w:r>
    </w:p>
    <w:p w14:paraId="0A9A2287" w14:textId="77777777" w:rsidR="004C0A73" w:rsidRPr="00323C94" w:rsidRDefault="004C0A73" w:rsidP="004C0A73">
      <w:pPr>
        <w:spacing w:line="276" w:lineRule="auto"/>
        <w:ind w:right="-1"/>
        <w:jc w:val="both"/>
        <w:rPr>
          <w:rFonts w:cs="Arial"/>
        </w:rPr>
      </w:pPr>
      <w:r w:rsidRPr="00D30737">
        <w:rPr>
          <w:rFonts w:cs="Arial"/>
          <w:b/>
        </w:rPr>
        <w:t>En el Capítulo 1000 “Servicios Personales</w:t>
      </w:r>
      <w:r w:rsidRPr="00D30737">
        <w:rPr>
          <w:rFonts w:cs="Arial"/>
        </w:rPr>
        <w:t>”.</w:t>
      </w:r>
      <w:r w:rsidRPr="00D30737">
        <w:rPr>
          <w:rFonts w:cs="Arial"/>
          <w:b/>
        </w:rPr>
        <w:t xml:space="preserve"> –</w:t>
      </w:r>
      <w:r w:rsidRPr="00D30737">
        <w:rPr>
          <w:rFonts w:cs="Arial"/>
        </w:rPr>
        <w:t xml:space="preserve"> </w:t>
      </w:r>
      <w:r w:rsidRPr="00323C94">
        <w:rPr>
          <w:rFonts w:cs="Arial"/>
        </w:rPr>
        <w:t xml:space="preserve">La variación en este mes, obedece a que el presupuesto comprometido para el inicio </w:t>
      </w:r>
      <w:proofErr w:type="spellStart"/>
      <w:r w:rsidRPr="00323C94">
        <w:rPr>
          <w:rFonts w:cs="Arial"/>
        </w:rPr>
        <w:t>dcel</w:t>
      </w:r>
      <w:proofErr w:type="spellEnd"/>
      <w:r w:rsidRPr="00323C94">
        <w:rPr>
          <w:rFonts w:cs="Arial"/>
        </w:rPr>
        <w:t xml:space="preserve"> ejercicio en el Programa de Regularización de Tenencia de la Tierra, en el sistema se refleja como ejercido, sin embargo se devenga hasta el mes de marzo cuando se regularice la ampliación presupuestal solicit</w:t>
      </w:r>
      <w:r>
        <w:rPr>
          <w:rFonts w:cs="Arial"/>
        </w:rPr>
        <w:t>ada por la fuente de financiamie</w:t>
      </w:r>
      <w:r w:rsidRPr="00323C94">
        <w:rPr>
          <w:rFonts w:cs="Arial"/>
        </w:rPr>
        <w:t>nto de ingresos presupuestales para entidades públicas</w:t>
      </w:r>
      <w:r>
        <w:rPr>
          <w:rFonts w:cs="Arial"/>
        </w:rPr>
        <w:t>,</w:t>
      </w:r>
      <w:r w:rsidRPr="00323C94">
        <w:rPr>
          <w:rFonts w:cs="Arial"/>
        </w:rPr>
        <w:t xml:space="preserve"> por lo tanto, en </w:t>
      </w:r>
      <w:r>
        <w:rPr>
          <w:rFonts w:cs="Arial"/>
        </w:rPr>
        <w:t>el mes de marzo de 2022, queda</w:t>
      </w:r>
      <w:r w:rsidRPr="00323C94">
        <w:rPr>
          <w:rFonts w:cs="Arial"/>
        </w:rPr>
        <w:t xml:space="preserve"> comprobado.</w:t>
      </w:r>
    </w:p>
    <w:p w14:paraId="562B4825" w14:textId="77777777" w:rsidR="004C0A73" w:rsidRDefault="004C0A73" w:rsidP="004C0A73">
      <w:pPr>
        <w:spacing w:line="276" w:lineRule="auto"/>
        <w:ind w:right="-1"/>
        <w:jc w:val="both"/>
        <w:rPr>
          <w:rFonts w:cs="Arial"/>
        </w:rPr>
      </w:pPr>
      <w:r>
        <w:rPr>
          <w:rFonts w:cs="Arial"/>
          <w:b/>
        </w:rPr>
        <w:t>En el Capítulo 2</w:t>
      </w:r>
      <w:r w:rsidRPr="00517C1D">
        <w:rPr>
          <w:rFonts w:cs="Arial"/>
          <w:b/>
        </w:rPr>
        <w:t>000 “</w:t>
      </w:r>
      <w:r>
        <w:rPr>
          <w:rFonts w:cs="Arial"/>
          <w:b/>
        </w:rPr>
        <w:t>Materiales y Suministros</w:t>
      </w:r>
      <w:r w:rsidRPr="00517C1D">
        <w:rPr>
          <w:rFonts w:cs="Arial"/>
          <w:b/>
        </w:rPr>
        <w:t xml:space="preserve">”. </w:t>
      </w:r>
      <w:r>
        <w:rPr>
          <w:rFonts w:cs="Arial"/>
          <w:b/>
        </w:rPr>
        <w:t>–</w:t>
      </w:r>
      <w:r w:rsidRPr="00517C1D">
        <w:rPr>
          <w:rFonts w:cs="Arial"/>
        </w:rPr>
        <w:t xml:space="preserve"> </w:t>
      </w:r>
      <w:r w:rsidRPr="00D30737">
        <w:rPr>
          <w:rFonts w:cs="Arial"/>
        </w:rPr>
        <w:t xml:space="preserve">La variación relativa del </w:t>
      </w:r>
      <w:r>
        <w:rPr>
          <w:rFonts w:cs="Arial"/>
        </w:rPr>
        <w:t>96</w:t>
      </w:r>
      <w:r w:rsidRPr="00D30737">
        <w:rPr>
          <w:rFonts w:cs="Arial"/>
        </w:rPr>
        <w:t xml:space="preserve"> por ciento</w:t>
      </w:r>
      <w:r>
        <w:rPr>
          <w:rFonts w:cs="Arial"/>
        </w:rPr>
        <w:t>, obedece a que se encuentra en proceso la substanciación de los procedimientos adquisitivos y por consiguiente impacta en el subejercicio acumulado.</w:t>
      </w:r>
    </w:p>
    <w:p w14:paraId="557B88A2" w14:textId="77777777" w:rsidR="004C0A73" w:rsidRDefault="004C0A73" w:rsidP="004C0A73">
      <w:pPr>
        <w:spacing w:line="276" w:lineRule="auto"/>
        <w:ind w:right="-1"/>
        <w:jc w:val="both"/>
        <w:rPr>
          <w:rFonts w:cs="Arial"/>
        </w:rPr>
      </w:pPr>
      <w:r>
        <w:rPr>
          <w:rFonts w:cs="Arial"/>
          <w:b/>
        </w:rPr>
        <w:t>En el Capítulo 3</w:t>
      </w:r>
      <w:r w:rsidRPr="00517C1D">
        <w:rPr>
          <w:rFonts w:cs="Arial"/>
          <w:b/>
        </w:rPr>
        <w:t>000 “Servicios Generales”.</w:t>
      </w:r>
      <w:r>
        <w:rPr>
          <w:rFonts w:cs="Arial"/>
          <w:b/>
        </w:rPr>
        <w:t xml:space="preserve">- </w:t>
      </w:r>
      <w:r>
        <w:rPr>
          <w:rFonts w:cs="Arial"/>
        </w:rPr>
        <w:t xml:space="preserve">El 15 </w:t>
      </w:r>
      <w:proofErr w:type="spellStart"/>
      <w:r>
        <w:rPr>
          <w:rFonts w:cs="Arial"/>
        </w:rPr>
        <w:t>porciento</w:t>
      </w:r>
      <w:proofErr w:type="spellEnd"/>
      <w:r>
        <w:rPr>
          <w:rFonts w:cs="Arial"/>
        </w:rPr>
        <w:t xml:space="preserve"> de variación, corresponde a los pagos de los contratos de los servicios básicos para la operación del Instituto. Así mismo, se encuentra en proceso la contratación de servicios que fortalecerán la infraestructura tecnológica de este Instituto.</w:t>
      </w:r>
    </w:p>
    <w:p w14:paraId="7F359CD8" w14:textId="77777777" w:rsidR="004C0A73" w:rsidRPr="00423728" w:rsidRDefault="004C0A73" w:rsidP="004C0A73">
      <w:pPr>
        <w:spacing w:line="276" w:lineRule="auto"/>
        <w:ind w:right="-1"/>
        <w:jc w:val="both"/>
        <w:rPr>
          <w:rFonts w:eastAsia="Calibri" w:cs="Arial"/>
        </w:rPr>
      </w:pPr>
      <w:r w:rsidRPr="00423728">
        <w:rPr>
          <w:rFonts w:eastAsia="Calibri" w:cs="Arial"/>
          <w:b/>
        </w:rPr>
        <w:t>En el Capítulo 4000 “Transferencias, Asignaciones, Subsidios y Otras Ayudas</w:t>
      </w:r>
      <w:r>
        <w:rPr>
          <w:rFonts w:eastAsia="Calibri" w:cs="Arial"/>
          <w:b/>
        </w:rPr>
        <w:t xml:space="preserve">.- </w:t>
      </w:r>
      <w:r w:rsidRPr="00423728">
        <w:rPr>
          <w:rFonts w:eastAsia="Calibri" w:cs="Arial"/>
        </w:rPr>
        <w:t xml:space="preserve">La variación en este capítulo, resulta de la diferencia entre lo presupuestado calendarizado para este mes, para las transferencias al Fideicomiso de Cobranza </w:t>
      </w:r>
      <w:r>
        <w:rPr>
          <w:rFonts w:eastAsia="Calibri" w:cs="Arial"/>
        </w:rPr>
        <w:t xml:space="preserve">que se refiere a egresos presupuestales no contables </w:t>
      </w:r>
      <w:r w:rsidRPr="00423728">
        <w:rPr>
          <w:rFonts w:eastAsia="Calibri" w:cs="Arial"/>
        </w:rPr>
        <w:t>y</w:t>
      </w:r>
      <w:r>
        <w:rPr>
          <w:rFonts w:eastAsia="Calibri" w:cs="Arial"/>
        </w:rPr>
        <w:t xml:space="preserve"> al remanente derivado de pagos de</w:t>
      </w:r>
      <w:r w:rsidRPr="00423728">
        <w:rPr>
          <w:rFonts w:eastAsia="Calibri" w:cs="Arial"/>
        </w:rPr>
        <w:t xml:space="preserve"> las devoluciones de ingresos indebidos, </w:t>
      </w:r>
      <w:r>
        <w:rPr>
          <w:rFonts w:eastAsia="Calibri" w:cs="Arial"/>
        </w:rPr>
        <w:t>que fueron solicitadas por el área Jurídica de este Instituto; las cuales, procedieron debido a la resolución emitida por una autoridad competente.</w:t>
      </w:r>
    </w:p>
    <w:p w14:paraId="46CEFD2F" w14:textId="77777777" w:rsidR="004C0A73" w:rsidRDefault="004C0A73" w:rsidP="004C0A73">
      <w:pPr>
        <w:spacing w:line="276" w:lineRule="auto"/>
        <w:ind w:right="-1"/>
        <w:jc w:val="both"/>
        <w:rPr>
          <w:rFonts w:cs="Arial"/>
        </w:rPr>
      </w:pPr>
      <w:r>
        <w:rPr>
          <w:rFonts w:cs="Arial"/>
          <w:b/>
        </w:rPr>
        <w:t>En el Capítulo 5</w:t>
      </w:r>
      <w:r w:rsidRPr="00517C1D">
        <w:rPr>
          <w:rFonts w:cs="Arial"/>
          <w:b/>
        </w:rPr>
        <w:t>000 “</w:t>
      </w:r>
      <w:r>
        <w:rPr>
          <w:rFonts w:cs="Arial"/>
          <w:b/>
        </w:rPr>
        <w:t xml:space="preserve">Bienes Muebles, Inmuebles e Intangibles”.- </w:t>
      </w:r>
      <w:r>
        <w:rPr>
          <w:rFonts w:cs="Arial"/>
        </w:rPr>
        <w:t>En este mes el subejercicio obedece a que se encuentran en proceso los proyectos que generarán la adquisición de infraestructura tecnológica; así como, bienes muebles para este Instituto.</w:t>
      </w:r>
    </w:p>
    <w:p w14:paraId="0DD3D183" w14:textId="77777777" w:rsidR="004C0A73" w:rsidRPr="006E6801" w:rsidRDefault="004C0A73" w:rsidP="004C0A73">
      <w:pPr>
        <w:spacing w:line="276" w:lineRule="auto"/>
        <w:ind w:right="-1"/>
        <w:jc w:val="both"/>
        <w:rPr>
          <w:b/>
        </w:rPr>
      </w:pPr>
      <w:r>
        <w:rPr>
          <w:rFonts w:cs="Arial"/>
          <w:b/>
        </w:rPr>
        <w:t>En el Capítulo 9</w:t>
      </w:r>
      <w:r w:rsidRPr="00517C1D">
        <w:rPr>
          <w:rFonts w:cs="Arial"/>
          <w:b/>
        </w:rPr>
        <w:t>000 “</w:t>
      </w:r>
      <w:r>
        <w:rPr>
          <w:rFonts w:cs="Arial"/>
          <w:b/>
        </w:rPr>
        <w:t xml:space="preserve">Deuda Pública”.- </w:t>
      </w:r>
      <w:r>
        <w:rPr>
          <w:rFonts w:cs="Arial"/>
        </w:rPr>
        <w:t xml:space="preserve">La variación relativa del 2.0 </w:t>
      </w:r>
      <w:proofErr w:type="spellStart"/>
      <w:r>
        <w:rPr>
          <w:rFonts w:cs="Arial"/>
        </w:rPr>
        <w:t>porciento</w:t>
      </w:r>
      <w:proofErr w:type="spellEnd"/>
      <w:r>
        <w:rPr>
          <w:rFonts w:cs="Arial"/>
        </w:rPr>
        <w:t xml:space="preserve"> es un subejercicio obtenido en el capítulo de “Deuda Pública”, deriva del remanente del pago del cupón de los Certificados Bursátiles Fiduciarios Series “C” correspondiente al primer semestre, por lo que dicha economía, apalancará el pago que concierne al segundo semestre en los próximos meses de agosto y septiembre, </w:t>
      </w:r>
      <w:proofErr w:type="spellStart"/>
      <w:r>
        <w:rPr>
          <w:rFonts w:cs="Arial"/>
        </w:rPr>
        <w:t>deacuerdo</w:t>
      </w:r>
      <w:proofErr w:type="spellEnd"/>
      <w:r>
        <w:rPr>
          <w:rFonts w:cs="Arial"/>
        </w:rPr>
        <w:t xml:space="preserve"> a las obligaciones Contractuales de los </w:t>
      </w:r>
      <w:proofErr w:type="gramStart"/>
      <w:r>
        <w:rPr>
          <w:rFonts w:cs="Arial"/>
        </w:rPr>
        <w:t>fideicomisos  irrevocables</w:t>
      </w:r>
      <w:proofErr w:type="gramEnd"/>
      <w:r>
        <w:rPr>
          <w:rFonts w:cs="Arial"/>
        </w:rPr>
        <w:t xml:space="preserve"> número 80615 y F/1426. </w:t>
      </w:r>
    </w:p>
    <w:p w14:paraId="112C02E6" w14:textId="1219557A" w:rsidR="00045553" w:rsidRPr="00D77966" w:rsidRDefault="00045553" w:rsidP="008049BC">
      <w:pPr>
        <w:numPr>
          <w:ilvl w:val="0"/>
          <w:numId w:val="17"/>
        </w:numPr>
        <w:tabs>
          <w:tab w:val="left" w:pos="3836"/>
          <w:tab w:val="left" w:pos="4395"/>
        </w:tabs>
        <w:spacing w:after="0" w:line="276" w:lineRule="auto"/>
        <w:ind w:right="-1"/>
        <w:contextualSpacing/>
        <w:outlineLvl w:val="0"/>
        <w:rPr>
          <w:rFonts w:cs="Arial"/>
        </w:rPr>
      </w:pPr>
      <w:r w:rsidRPr="00D77966">
        <w:rPr>
          <w:b/>
        </w:rPr>
        <w:lastRenderedPageBreak/>
        <w:t>NOTAS DE GESTIÓN ADMINISTRATIVA</w:t>
      </w:r>
    </w:p>
    <w:p w14:paraId="6077E5AA" w14:textId="77777777" w:rsidR="00045553" w:rsidRPr="00D77966" w:rsidRDefault="00045553" w:rsidP="00045553">
      <w:pPr>
        <w:jc w:val="both"/>
      </w:pPr>
    </w:p>
    <w:p w14:paraId="72B2A47A" w14:textId="77777777" w:rsidR="00045553" w:rsidRPr="00D77966" w:rsidRDefault="00045553" w:rsidP="00045553">
      <w:pPr>
        <w:jc w:val="both"/>
      </w:pPr>
      <w:r w:rsidRPr="00D77966">
        <w:t>El objetivo del presente documento es la revelación del contexto y de los aspectos económico-financieros más importantes que influyeron en las decisiones del período, y que se consideraron en la elaboración de los estados financieros para la mayor comprensión de los mismos y sus particularidades. Los Estados Financieros del IFREM, proveen de información financiera a los principales usuarios de la misma, a saber, al H. Congreso Local, Entes Fiscalizadores y a los ciudadanos.</w:t>
      </w:r>
    </w:p>
    <w:p w14:paraId="4A5CCC43" w14:textId="77777777" w:rsidR="00045553" w:rsidRPr="00D77966" w:rsidRDefault="00045553" w:rsidP="00045553">
      <w:pPr>
        <w:spacing w:line="276" w:lineRule="auto"/>
        <w:ind w:right="-1"/>
        <w:jc w:val="both"/>
      </w:pPr>
      <w:r w:rsidRPr="00D77966">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65150E90" w14:textId="77777777" w:rsidR="00045553" w:rsidRPr="00D77966" w:rsidRDefault="00045553" w:rsidP="00045553">
      <w:pPr>
        <w:numPr>
          <w:ilvl w:val="0"/>
          <w:numId w:val="3"/>
        </w:numPr>
        <w:spacing w:after="0" w:line="276" w:lineRule="auto"/>
        <w:ind w:left="851" w:right="-1"/>
        <w:contextualSpacing/>
        <w:rPr>
          <w:rFonts w:eastAsia="Times New Roman" w:cs="Arial"/>
          <w:b/>
          <w:lang w:eastAsia="es-MX"/>
        </w:rPr>
      </w:pPr>
      <w:r w:rsidRPr="00D77966">
        <w:rPr>
          <w:rFonts w:eastAsia="Times New Roman" w:cs="Times New Roman"/>
          <w:b/>
          <w:lang w:eastAsia="es-MX"/>
        </w:rPr>
        <w:t>Introducción</w:t>
      </w:r>
    </w:p>
    <w:p w14:paraId="73DC9D8D" w14:textId="77777777" w:rsidR="00045553" w:rsidRPr="00D77966" w:rsidRDefault="00045553" w:rsidP="00045553">
      <w:pPr>
        <w:spacing w:before="240" w:line="276" w:lineRule="auto"/>
        <w:ind w:right="-1"/>
        <w:jc w:val="both"/>
      </w:pPr>
      <w:r w:rsidRPr="00D77966">
        <w:t>La dinámica de la Administración Pública Estatal hace necesario modernizar las estructuras de organización, a fin de dotarlas de mayor capacidad de respuesta en el desarrollo de los planes y programas de gobierno que garanticen la certeza y seguridad jurídica de los inmuebles.</w:t>
      </w:r>
    </w:p>
    <w:p w14:paraId="719511FF" w14:textId="77777777" w:rsidR="00045553" w:rsidRPr="00D77966" w:rsidRDefault="00045553" w:rsidP="00045553">
      <w:pPr>
        <w:spacing w:line="276" w:lineRule="auto"/>
        <w:ind w:right="-1"/>
        <w:jc w:val="both"/>
      </w:pPr>
      <w:r w:rsidRPr="00D77966">
        <w:t>En este sentido, la visión del Gobierno del Estado en la modernización del Registro Público de la Propiedad, es garantizar la publicidad de los derechos susceptibles de inscripción, otorgar mayor seguridad pública sobre la propiedad inmobiliaria y facilitar los trámites relacionados con la operación de predios, a fin de dar mayor fluidez a las operaciones del mercado inmobiliario, impulsar el uso de créditos hipotecarios y apoyar la competitividad y el crecimiento económico de la entidad.</w:t>
      </w:r>
    </w:p>
    <w:p w14:paraId="7EE05380" w14:textId="77777777" w:rsidR="00045553" w:rsidRPr="00D77966" w:rsidRDefault="00045553" w:rsidP="00045553">
      <w:pPr>
        <w:spacing w:line="276" w:lineRule="auto"/>
        <w:ind w:right="-1"/>
        <w:jc w:val="both"/>
      </w:pPr>
      <w:r w:rsidRPr="00D77966">
        <w:t>Con la modernización del Registro Público de la Propiedad se fortalece la soberanía del Estado de México y se afianzan los principios en los que esta institución funda y motiva su actividad dentro del quehacer público. Asimismo, se promueve la inversión, se fomenta la construcción y la adquisición de vivienda y, por ende, se fortalecen los cimientos para el crecimiento económico del Estado.</w:t>
      </w:r>
    </w:p>
    <w:p w14:paraId="7EF05D0B" w14:textId="77777777" w:rsidR="00045553" w:rsidRPr="00D77966" w:rsidRDefault="00045553" w:rsidP="00045553">
      <w:pPr>
        <w:spacing w:line="276" w:lineRule="auto"/>
        <w:ind w:right="-1"/>
        <w:jc w:val="both"/>
      </w:pPr>
      <w:r w:rsidRPr="00D77966">
        <w:t>El objetivo principal del Instituto es llevar a cabo la función registral del Estado de México en los términos de la Ley Registral para el Estado de México, Reglamento de la Ley Registral para el Estado de México, la Ley que crea este Organismo y su Reglamento Interior, así como en ordenamientos legales aplicables, en los cuales mandata que su objeto es de interés general, beneficio colectivo y para la prestación de un servicio público. Los Derechos por la prestación de los servicios se encuentran establecidos en la Ley de Ingresos del Estado de México para el ejercicio fiscal correspondiente, en el Código Financiero del Estado de México y Municipios.</w:t>
      </w:r>
    </w:p>
    <w:p w14:paraId="662E5F76" w14:textId="77777777" w:rsidR="00045553" w:rsidRPr="00D77966" w:rsidRDefault="00045553" w:rsidP="00045553">
      <w:pPr>
        <w:numPr>
          <w:ilvl w:val="0"/>
          <w:numId w:val="3"/>
        </w:numPr>
        <w:spacing w:after="0" w:line="276" w:lineRule="auto"/>
        <w:ind w:left="851" w:right="-1"/>
        <w:contextualSpacing/>
        <w:rPr>
          <w:rFonts w:eastAsia="Times New Roman" w:cs="Times New Roman"/>
          <w:b/>
          <w:lang w:eastAsia="es-MX"/>
        </w:rPr>
      </w:pPr>
      <w:r w:rsidRPr="00D77966">
        <w:rPr>
          <w:rFonts w:eastAsia="Times New Roman" w:cs="Times New Roman"/>
          <w:b/>
          <w:lang w:eastAsia="es-MX"/>
        </w:rPr>
        <w:t>Panorama Económico y Financiero</w:t>
      </w:r>
    </w:p>
    <w:p w14:paraId="1C11246F" w14:textId="77777777" w:rsidR="00045553" w:rsidRPr="00D77966" w:rsidRDefault="00045553" w:rsidP="00045553">
      <w:pPr>
        <w:spacing w:after="0" w:line="276" w:lineRule="auto"/>
        <w:ind w:right="-1"/>
        <w:contextualSpacing/>
        <w:rPr>
          <w:rFonts w:eastAsia="Times New Roman" w:cs="Times New Roman"/>
          <w:b/>
          <w:sz w:val="14"/>
          <w:lang w:eastAsia="es-MX"/>
        </w:rPr>
      </w:pPr>
    </w:p>
    <w:p w14:paraId="58AF85BF" w14:textId="49F7A511" w:rsidR="00045553" w:rsidRDefault="00045553" w:rsidP="00045553">
      <w:pPr>
        <w:spacing w:after="101" w:line="276" w:lineRule="auto"/>
        <w:ind w:right="-1"/>
        <w:jc w:val="both"/>
        <w:rPr>
          <w:rFonts w:eastAsia="Times New Roman" w:cs="Arial"/>
          <w:lang w:val="es-ES" w:eastAsia="es-ES"/>
        </w:rPr>
      </w:pPr>
      <w:r w:rsidRPr="00D77966">
        <w:rPr>
          <w:rFonts w:eastAsia="Times New Roman" w:cs="Arial"/>
          <w:lang w:val="es-ES" w:eastAsia="es-ES"/>
        </w:rPr>
        <w:t>Se informa sobre las principales condiciones económico-financieras bajo las cuales el Instituto de la Función Registral del Estado de México estuvo operando; las cuales influyeron en la toma de decisiones de la administración pública.</w:t>
      </w:r>
    </w:p>
    <w:p w14:paraId="3C8460AE" w14:textId="7A7E78D5" w:rsidR="00F62DC9" w:rsidRDefault="00F62DC9">
      <w:pPr>
        <w:spacing w:line="259" w:lineRule="auto"/>
        <w:rPr>
          <w:rFonts w:eastAsia="Times New Roman" w:cs="Arial"/>
          <w:lang w:val="es-ES" w:eastAsia="es-ES"/>
        </w:rPr>
      </w:pPr>
      <w:r>
        <w:rPr>
          <w:rFonts w:eastAsia="Times New Roman" w:cs="Arial"/>
          <w:lang w:val="es-ES" w:eastAsia="es-ES"/>
        </w:rPr>
        <w:br w:type="page"/>
      </w:r>
    </w:p>
    <w:p w14:paraId="3A6A503D" w14:textId="77777777" w:rsidR="00045553" w:rsidRPr="00D77966" w:rsidRDefault="00045553" w:rsidP="00045553">
      <w:pPr>
        <w:numPr>
          <w:ilvl w:val="0"/>
          <w:numId w:val="3"/>
        </w:numPr>
        <w:tabs>
          <w:tab w:val="left" w:pos="851"/>
        </w:tabs>
        <w:spacing w:after="0" w:line="259" w:lineRule="auto"/>
        <w:ind w:left="851" w:hanging="284"/>
        <w:contextualSpacing/>
        <w:rPr>
          <w:rFonts w:eastAsia="Times New Roman" w:cs="Times New Roman"/>
          <w:b/>
          <w:lang w:eastAsia="es-MX"/>
        </w:rPr>
      </w:pPr>
      <w:r w:rsidRPr="00D77966">
        <w:rPr>
          <w:rFonts w:eastAsia="Times New Roman" w:cs="Times New Roman"/>
          <w:b/>
          <w:lang w:eastAsia="es-MX"/>
        </w:rPr>
        <w:lastRenderedPageBreak/>
        <w:t xml:space="preserve"> Autorización e Historia</w:t>
      </w:r>
    </w:p>
    <w:p w14:paraId="1B94F6B3" w14:textId="77777777" w:rsidR="00045553" w:rsidRPr="00D77966" w:rsidRDefault="00045553" w:rsidP="00045553">
      <w:pPr>
        <w:spacing w:after="0" w:line="276" w:lineRule="auto"/>
        <w:ind w:right="-1"/>
        <w:contextualSpacing/>
        <w:rPr>
          <w:rFonts w:eastAsia="Times New Roman" w:cs="Times New Roman"/>
          <w:b/>
          <w:lang w:eastAsia="es-MX"/>
        </w:rPr>
      </w:pPr>
    </w:p>
    <w:p w14:paraId="3CC8EFE5" w14:textId="77777777" w:rsidR="00045553" w:rsidRPr="00D77966" w:rsidRDefault="00045553" w:rsidP="00045553">
      <w:pPr>
        <w:spacing w:line="276" w:lineRule="auto"/>
        <w:ind w:right="-1"/>
        <w:jc w:val="both"/>
      </w:pPr>
      <w:r w:rsidRPr="00D77966">
        <w:t>El 3 de diciembre de 2007 se publicó en el periódico oficial "Gaceta del Gobierno", el Decreto No. 90 de la "LVI" Legislatura del Estado de México, mediante el cual se expide la Ley que crea el Organismo Público Descentralizado denominado Instituto de la Función Registral del Estado de México, con personalidad jurídica y patrimonio propios, sectorizado a la Secretaria General de Gobierno, el cual tenía por objeto llevar a cabo la función registral del Estado de México en los términos del Código Civil del Estado de México, del Reglamento del Registro Público de la Propiedad del Estado de México, de su Reglamento Interior, y demás ordenamientos legales aplicables.</w:t>
      </w:r>
    </w:p>
    <w:p w14:paraId="03A7E6E2" w14:textId="77777777" w:rsidR="00045553" w:rsidRPr="00D77966" w:rsidRDefault="00045553" w:rsidP="00045553">
      <w:pPr>
        <w:spacing w:line="276" w:lineRule="auto"/>
        <w:ind w:right="-1"/>
        <w:jc w:val="both"/>
      </w:pPr>
      <w:r w:rsidRPr="00D77966">
        <w:t>Cabe señalar que hasta diciembre de 2007 la función registral era atendida por la Dirección General del Registro Público de la Propiedad, adscrita a la Secretaría General de Gobierno; sin embargo, con la entrada en vigor, el 2 de enero de 2008, de la Ley que Crea el Instituto de la Función Registral del Estado de México, los recursos humanos, materiales y financieros con los que venía operando esa unidad administrativa fueron transferidos al citado organismo descentralizado.</w:t>
      </w:r>
    </w:p>
    <w:p w14:paraId="5B51128A" w14:textId="77777777" w:rsidR="00045553" w:rsidRPr="00D77966" w:rsidRDefault="00045553" w:rsidP="00045553">
      <w:pPr>
        <w:spacing w:line="276" w:lineRule="auto"/>
        <w:ind w:right="-1"/>
        <w:jc w:val="both"/>
      </w:pPr>
      <w:r w:rsidRPr="00D77966">
        <w:t>Asimismo, se subrogaron al Instituto de la Función Registral del Estado de México, los derechos y obligaciones de la Dirección General del Registro Público de la Propiedad de la Secretaría General de Gobierno.</w:t>
      </w:r>
    </w:p>
    <w:p w14:paraId="504118F1" w14:textId="77777777" w:rsidR="00045553" w:rsidRPr="00D77966" w:rsidRDefault="00045553" w:rsidP="00045553">
      <w:pPr>
        <w:spacing w:line="276" w:lineRule="auto"/>
        <w:ind w:right="-1"/>
        <w:jc w:val="both"/>
      </w:pPr>
      <w:r w:rsidRPr="00D77966">
        <w:t>A fin de dar cumplimiento al objeto y atribuciones conferidas al Instituto de la Función Registral del Estado de México, establecidas en su ley de creación, y con el propósito de fortalecer al organismo, la Secretaría de Finanzas autorizó su estructura de organización en abril de 2008, la cual se integró por 31 unidades administrativas (una dirección general, cuatro unidades staff, tres direcciones de área, ocho subdirecciones y 15 departamentos), así como 19 unidades administrativas desconcentradas (Oficinas Regístrales).</w:t>
      </w:r>
    </w:p>
    <w:p w14:paraId="6C66A319" w14:textId="77777777" w:rsidR="00045553" w:rsidRPr="00D77966" w:rsidRDefault="00045553" w:rsidP="00045553">
      <w:pPr>
        <w:spacing w:line="276" w:lineRule="auto"/>
        <w:ind w:right="-1"/>
        <w:jc w:val="both"/>
      </w:pPr>
      <w:r w:rsidRPr="00D77966">
        <w:t>El 3 de abril de 2008 fue publicado en el periódico oficial "Gaceta del Gobierno" el Reglamento Interior del Instituto de la Función Registral del Estado de México, el cual definió el ámbito de competencia de sus unidades administrativas básicas y estableció la distribución del trabajo para dar cumplimiento a su objeto.</w:t>
      </w:r>
    </w:p>
    <w:p w14:paraId="388BF636" w14:textId="77777777" w:rsidR="00045553" w:rsidRPr="00D77966" w:rsidRDefault="00045553" w:rsidP="00045553">
      <w:pPr>
        <w:spacing w:line="276" w:lineRule="auto"/>
        <w:ind w:right="-1"/>
        <w:jc w:val="both"/>
      </w:pPr>
      <w:r w:rsidRPr="00D77966">
        <w:t>Posteriormente, el 9 de enero de 2009 se publicó en el periódico oficial "Gaceta del Gobierno" el Acuerdo por el que se reforma el Reglamento Interior del Instituto de la Función Registral del Estado de México, con la finalidad de reubicar las Oficinas Registrales del Distrito Judicial de Tlalnepantla en aquellos municipios, que por sus características de desarrollo, impulso económico, población, servicios, tráfico inmobiliario, infraestructura y demás circunstancias, permitieran acercar los servicios que proporciona el Instituto a los lugares en los que se generaba una mayor demanda. Por ello, se modificaron las denominaciones de las Oficinas Registrales de Tlalnepantla I, por Tlalnepantla; Tlalnepantla II, por Naucalpan; y Tlalnepantla III, por Ecatepec, estableciendo en cada una de ellas la circunscripción territorial que les corresponde. El 19 de diciembre de 2012, se publicó en el periódico oficial "Gaceta del Gobierno" el Decreto mediante el cual, se creó la Consejería Jurídica del Ejecutivo Estatal como la dependencia encargada de planear, programar, dirigir, resolver, controlar y evaluar las funciones del registro civil, del notariado, las relativas a la demarcación y conservación de los límites del Estado y sus municipios, de la función registral, de los asuntos religiosos, administración de la publicación del periódico oficial "Gaceta del Gobierno", las relativas al reconocimiento, promoción, atención y defensa, de los derechos humanos desde el Poder Ejecutivo, de información de los ordenamientos legales y de coordinarse con los responsables de las unidades de asuntos jurídicos de cada dependencia de la Administración Pública Estatal.</w:t>
      </w:r>
    </w:p>
    <w:p w14:paraId="6C714078" w14:textId="77777777" w:rsidR="00045553" w:rsidRPr="00D77966" w:rsidRDefault="00045553" w:rsidP="00045553">
      <w:pPr>
        <w:spacing w:line="276" w:lineRule="auto"/>
        <w:ind w:right="-1"/>
        <w:jc w:val="both"/>
      </w:pPr>
      <w:r w:rsidRPr="00D77966">
        <w:lastRenderedPageBreak/>
        <w:t>Derivado de lo anterior, el 25 de febrero de 2013 se publicó en el periódico oficial "Gaceta del Gobierno" la reforma a los artículos 1, 5 en su fracción I; 11 en su fracción 1, y 12 en su fracción III de la Ley que Crea el Organismo Público Descentralizado denominado Instituto de la Función Registral del Estado de México, con la finalidad de re-sectorizar al citado organismo de la Secretaría General de Gobierno a la Consejería Jurídica del Ejecutivo Estatal.</w:t>
      </w:r>
    </w:p>
    <w:p w14:paraId="4FC3270A" w14:textId="77777777" w:rsidR="00045553" w:rsidRPr="00D77966" w:rsidRDefault="00045553" w:rsidP="00045553">
      <w:pPr>
        <w:spacing w:line="276" w:lineRule="auto"/>
        <w:ind w:right="-1"/>
        <w:jc w:val="both"/>
      </w:pPr>
      <w:r w:rsidRPr="00D77966">
        <w:t>El 16 de mayo de 2013, se publicó en el periódico oficial "Gaceta del Gobierno" el Acuerdo por el que se reforman y derogan diversas disposiciones del Reglamento Interior del Instituto de la Función Registral del Estado de México, con el objeto de adecuar su funcionamiento.</w:t>
      </w:r>
    </w:p>
    <w:p w14:paraId="0CBD96C2" w14:textId="77777777" w:rsidR="00045553" w:rsidRPr="00D77966" w:rsidRDefault="00045553" w:rsidP="00045553">
      <w:pPr>
        <w:spacing w:line="276" w:lineRule="auto"/>
        <w:ind w:right="-1"/>
        <w:jc w:val="both"/>
      </w:pPr>
      <w:r w:rsidRPr="00D77966">
        <w:t>El 13 de septiembre de 2017, se publicó en el periódico oficial "Gaceta del Gobierno" el Decreto No. 244 por el que se reforman diversas disposiciones, entre otras, la Ley que Crea el Organismo Público Descentralizado denominado Instituto de la Función Registral del Estado de México, con la finalidad, de transformar la Consejería Jurídica del Ejecutivo Estatal en la Secretaría de Justicia y Derechos Humanos, con la finalidad de diseñar y coordinar la política jurídica y de acceso a la justicia del Poder ejecutivo retomando las funciones de la Consejería Jurídica del Ejecutivo Estatal.</w:t>
      </w:r>
    </w:p>
    <w:p w14:paraId="604D4812" w14:textId="77777777" w:rsidR="00045553" w:rsidRPr="00D77966" w:rsidRDefault="00045553" w:rsidP="00045553">
      <w:pPr>
        <w:numPr>
          <w:ilvl w:val="0"/>
          <w:numId w:val="3"/>
        </w:numPr>
        <w:spacing w:after="0" w:line="276" w:lineRule="auto"/>
        <w:ind w:left="851" w:right="-1"/>
        <w:contextualSpacing/>
        <w:rPr>
          <w:rFonts w:eastAsia="Times New Roman" w:cs="Times New Roman"/>
          <w:b/>
          <w:lang w:eastAsia="es-MX"/>
        </w:rPr>
      </w:pPr>
      <w:r w:rsidRPr="00D77966">
        <w:rPr>
          <w:rFonts w:eastAsia="Times New Roman" w:cs="Times New Roman"/>
          <w:b/>
          <w:lang w:eastAsia="es-MX"/>
        </w:rPr>
        <w:t>Organización y Objeto Social</w:t>
      </w:r>
    </w:p>
    <w:p w14:paraId="0FD2D234" w14:textId="77777777" w:rsidR="00045553" w:rsidRPr="00D77966" w:rsidRDefault="00045553" w:rsidP="00045553">
      <w:pPr>
        <w:spacing w:after="0" w:line="276" w:lineRule="auto"/>
        <w:ind w:right="-1"/>
        <w:contextualSpacing/>
        <w:rPr>
          <w:rFonts w:eastAsia="Times New Roman" w:cs="Times New Roman"/>
          <w:b/>
          <w:lang w:eastAsia="es-MX"/>
        </w:rPr>
      </w:pPr>
    </w:p>
    <w:p w14:paraId="25D6CB71" w14:textId="77777777" w:rsidR="00045553" w:rsidRPr="00D77966" w:rsidRDefault="00045553" w:rsidP="00045553">
      <w:pPr>
        <w:spacing w:after="0" w:line="276" w:lineRule="auto"/>
        <w:ind w:right="-1"/>
        <w:jc w:val="both"/>
        <w:rPr>
          <w:rFonts w:eastAsia="Times New Roman" w:cs="Arial"/>
          <w:lang w:val="es-ES" w:eastAsia="es-ES"/>
        </w:rPr>
      </w:pPr>
      <w:r w:rsidRPr="00D77966">
        <w:rPr>
          <w:rFonts w:eastAsia="Times New Roman" w:cs="Arial"/>
          <w:lang w:val="es-ES" w:eastAsia="es-ES"/>
        </w:rPr>
        <w:t>La máxima autoridad del Instituto de la Función Registral del Estado de México, está a cargo del Consejo Directivo. La administración del Instituto de la Función Registral del Estado de México, está a cargo de un Director General, quien es nombrado y removido por el Gobernador del Estado a propuesta del Presidente del Consejo Directivo. Su objetivo es llevar a cabo la función registral del Estado de México en los términos de la Ley Registral para el Estado de México, Reglamento de la Ley Registral para el Estado de México y los Derechos por la prestación de los servicios se encuentran establecidos en la Ley de Ingresos del Estado de México para el ejercicio fiscal correspondiente, en el Código Financiero del Estado de México y Municipios, la Ley que crea este Organismo y su Reglamento Interior, así como en ordenamientos legales aplicables, su objeto es de interés general, beneficio colectivo y para la prestación de un servicio público.</w:t>
      </w:r>
    </w:p>
    <w:p w14:paraId="3C476A85" w14:textId="77777777" w:rsidR="00045553" w:rsidRPr="00D77966" w:rsidRDefault="00045553" w:rsidP="00045553">
      <w:pPr>
        <w:spacing w:line="276" w:lineRule="auto"/>
        <w:ind w:right="-1"/>
        <w:jc w:val="both"/>
      </w:pPr>
      <w:r w:rsidRPr="00D77966">
        <w:t xml:space="preserve">Actualmente, el Instituto de la Función Registral del Estado de México cuenta con una estructura orgánica autorizada por la Secretaría de Finanzas en mayo de 2013 integrada por 50 unidades administrativas (una Dirección General, cinco Direcciones de Área, nueve Subdirecciones y 35 Departamentos). El organigrama se puede consultar en la siguiente liga: </w:t>
      </w:r>
      <w:hyperlink r:id="rId21" w:history="1">
        <w:r w:rsidRPr="00D77966">
          <w:rPr>
            <w:u w:val="single"/>
          </w:rPr>
          <w:t>http://ifrem.edomex.gob.mx/organigrama</w:t>
        </w:r>
      </w:hyperlink>
      <w:r w:rsidRPr="00D77966">
        <w:t>.</w:t>
      </w:r>
    </w:p>
    <w:p w14:paraId="1ACE3A33" w14:textId="77777777" w:rsidR="00045553" w:rsidRPr="00D77966" w:rsidRDefault="00045553" w:rsidP="00045553">
      <w:pPr>
        <w:spacing w:line="276" w:lineRule="auto"/>
        <w:ind w:right="-1"/>
        <w:jc w:val="both"/>
        <w:rPr>
          <w:rFonts w:eastAsia="Times New Roman" w:cs="Arial"/>
          <w:lang w:val="es-ES" w:eastAsia="es-ES"/>
        </w:rPr>
      </w:pPr>
      <w:r w:rsidRPr="00D77966">
        <w:t xml:space="preserve"> </w:t>
      </w:r>
      <w:r w:rsidRPr="00D77966">
        <w:rPr>
          <w:rFonts w:eastAsia="Times New Roman" w:cs="Arial"/>
          <w:lang w:val="es-ES" w:eastAsia="es-ES"/>
        </w:rPr>
        <w:t>El Instituto,</w:t>
      </w:r>
      <w:r w:rsidRPr="00D77966">
        <w:rPr>
          <w:rFonts w:eastAsia="Times New Roman" w:cs="CenturyGothic"/>
          <w:lang w:val="es-ES" w:eastAsia="es-ES"/>
        </w:rPr>
        <w:t xml:space="preserve"> p</w:t>
      </w:r>
      <w:r w:rsidRPr="00D77966">
        <w:rPr>
          <w:rFonts w:eastAsia="Times New Roman" w:cs="Arial"/>
          <w:lang w:val="es-ES" w:eastAsia="es-ES"/>
        </w:rPr>
        <w:t>ara el cumplimiento de su objeto, tendrá las atribuciones que se mencionan en su Decreto de creación publicado en el periódico oficial Gaceta del Gobierno.</w:t>
      </w:r>
    </w:p>
    <w:p w14:paraId="749B6DBF" w14:textId="77777777" w:rsidR="00045553" w:rsidRPr="00D77966" w:rsidRDefault="00045553" w:rsidP="00045553">
      <w:pPr>
        <w:spacing w:line="259" w:lineRule="auto"/>
        <w:jc w:val="both"/>
        <w:rPr>
          <w:rFonts w:eastAsia="Times New Roman" w:cs="Arial"/>
          <w:lang w:val="es-ES" w:eastAsia="es-ES"/>
        </w:rPr>
      </w:pPr>
      <w:r w:rsidRPr="00D77966">
        <w:rPr>
          <w:rFonts w:eastAsia="Times New Roman" w:cs="Arial"/>
          <w:lang w:val="es-ES" w:eastAsia="es-ES"/>
        </w:rPr>
        <w:t xml:space="preserve">El Instituto como patrón sustituto del personal que laboró hasta el 31 de diciembre de 2007, en la Dirección de Registro Público de la Propiedad y del Comercio asumió los derechos laborales devengados de los trabajadores contratados y del personal, el Manual Único de Contabilidad Gubernamental para las Dependencias y Entidades Públicas del Gobierno y Municipios del Estado de México, no considera provisiones para contingencias por las eventuales indemnizaciones y compensaciones que tenga que pagar a su personal incluso a favor de terceros, la administración del Instituto estima que de presentarse esta obligación al mes que se comenta, el pasivo ascendería aproximadamente a 118 millones de pesos según reporta el área jurídica. Por lo tanto, cuando se tenga la documentación soporte de cualquier resolución judicial o cualquier otra derivada de las relaciones </w:t>
      </w:r>
      <w:r w:rsidRPr="00D77966">
        <w:rPr>
          <w:rFonts w:eastAsia="Times New Roman" w:cs="Arial"/>
          <w:lang w:val="es-ES" w:eastAsia="es-ES"/>
        </w:rPr>
        <w:lastRenderedPageBreak/>
        <w:t xml:space="preserve">laborales, se dará la </w:t>
      </w:r>
      <w:proofErr w:type="spellStart"/>
      <w:r w:rsidRPr="00D77966">
        <w:rPr>
          <w:rFonts w:eastAsia="Times New Roman" w:cs="Arial"/>
          <w:lang w:val="es-ES" w:eastAsia="es-ES"/>
        </w:rPr>
        <w:t>sufciencia</w:t>
      </w:r>
      <w:proofErr w:type="spellEnd"/>
      <w:r w:rsidRPr="00D77966">
        <w:rPr>
          <w:rFonts w:eastAsia="Times New Roman" w:cs="Arial"/>
          <w:lang w:val="es-ES" w:eastAsia="es-ES"/>
        </w:rPr>
        <w:t xml:space="preserve"> presupuestal y se creará el pasivo correspondiente, mismo que se deberá cancelar con el pago en el mismo ejercicio fiscal.</w:t>
      </w:r>
    </w:p>
    <w:p w14:paraId="09CE3393" w14:textId="77777777" w:rsidR="00045553" w:rsidRPr="00D77966" w:rsidRDefault="00045553" w:rsidP="00045553">
      <w:pPr>
        <w:spacing w:line="259" w:lineRule="auto"/>
        <w:rPr>
          <w:rFonts w:eastAsia="Times New Roman" w:cs="Arial"/>
          <w:lang w:val="es-ES" w:eastAsia="es-ES"/>
        </w:rPr>
      </w:pPr>
    </w:p>
    <w:p w14:paraId="469D3331" w14:textId="77777777" w:rsidR="00045553" w:rsidRPr="00D77966" w:rsidRDefault="00045553" w:rsidP="00045553">
      <w:pPr>
        <w:numPr>
          <w:ilvl w:val="0"/>
          <w:numId w:val="3"/>
        </w:numPr>
        <w:spacing w:after="0" w:line="276" w:lineRule="auto"/>
        <w:ind w:left="851" w:right="-1"/>
        <w:contextualSpacing/>
        <w:rPr>
          <w:rFonts w:eastAsia="Times New Roman" w:cs="Arial"/>
          <w:lang w:val="es-ES" w:eastAsia="es-ES"/>
        </w:rPr>
      </w:pPr>
      <w:r w:rsidRPr="00D77966">
        <w:rPr>
          <w:b/>
        </w:rPr>
        <w:t>Bases preparación de los Estados Financieros</w:t>
      </w:r>
    </w:p>
    <w:p w14:paraId="17C1BFC3" w14:textId="77777777" w:rsidR="00045553" w:rsidRPr="00D77966" w:rsidRDefault="00045553" w:rsidP="00045553">
      <w:pPr>
        <w:spacing w:after="240" w:line="276" w:lineRule="auto"/>
        <w:ind w:right="-1"/>
        <w:contextualSpacing/>
        <w:jc w:val="both"/>
        <w:rPr>
          <w:rFonts w:eastAsia="Times New Roman" w:cs="Times New Roman"/>
          <w:lang w:eastAsia="es-MX"/>
        </w:rPr>
      </w:pPr>
    </w:p>
    <w:p w14:paraId="7EE650F6" w14:textId="77777777" w:rsidR="00045553" w:rsidRPr="00D77966" w:rsidRDefault="00045553" w:rsidP="00045553">
      <w:pPr>
        <w:spacing w:after="101" w:line="276" w:lineRule="auto"/>
        <w:ind w:right="-1"/>
        <w:jc w:val="both"/>
        <w:rPr>
          <w:rFonts w:eastAsia="Times New Roman" w:cs="Arial"/>
          <w:lang w:val="es-ES" w:eastAsia="es-ES"/>
        </w:rPr>
      </w:pPr>
      <w:r w:rsidRPr="00D77966">
        <w:rPr>
          <w:rFonts w:eastAsia="Times New Roman" w:cs="Arial"/>
          <w:lang w:val="es-ES" w:eastAsia="es-ES"/>
        </w:rPr>
        <w:t>Los Estados Financieros que se acompañan, fueron preparados observando la normatividad emitida por el CONAC y las disposiciones legales aplicables, con base en el Manual Único de Contabilidad Gubernamental para las Dependencias y Entidades del Gobierno y Municipios del Estado de México, vigente para el presente ejercicio fiscal, publicado en la “Gaceta del Gobierno”, aplicable a los Organismos Auxiliares del Gobierno del Estado de México, para efectos de la Ley para la Coordinación y Control de Organismos Auxiliares.</w:t>
      </w:r>
    </w:p>
    <w:p w14:paraId="64BCE540" w14:textId="77777777" w:rsidR="00045553" w:rsidRPr="00D77966" w:rsidRDefault="00045553" w:rsidP="00045553">
      <w:pPr>
        <w:spacing w:line="276" w:lineRule="auto"/>
        <w:ind w:right="-1"/>
        <w:jc w:val="both"/>
      </w:pPr>
      <w:r w:rsidRPr="00D77966">
        <w:t xml:space="preserve">Con base en dicho manual en este ejercicio se han realizado las </w:t>
      </w:r>
      <w:r w:rsidRPr="00D77966">
        <w:rPr>
          <w:rFonts w:eastAsia="Times New Roman" w:cs="Arial"/>
          <w:lang w:val="es-ES" w:eastAsia="es-ES"/>
        </w:rPr>
        <w:t>adecuaciones</w:t>
      </w:r>
      <w:r w:rsidRPr="00D77966">
        <w:t xml:space="preserve"> de presentación necesarias para estas notas. Así mismo </w:t>
      </w:r>
      <w:r w:rsidRPr="00D77966">
        <w:rPr>
          <w:rFonts w:cs="Arial"/>
          <w:lang w:eastAsia="es-MX"/>
        </w:rPr>
        <w:t>la información se elaboró conforme a las normas, criterios y principios técnicos y las disposiciones legales aplicables, obedeciendo a las mejores prácticas contables,</w:t>
      </w:r>
      <w:r w:rsidRPr="00D77966">
        <w:t xml:space="preserve"> se incluye lo correspondiente a las normas y lineamientos </w:t>
      </w:r>
      <w:r w:rsidRPr="00D77966">
        <w:rPr>
          <w:rFonts w:cs="Arial"/>
          <w:lang w:eastAsia="es-MX"/>
        </w:rPr>
        <w:t xml:space="preserve">emitidos por </w:t>
      </w:r>
      <w:r w:rsidRPr="00D77966">
        <w:t>el Consejo Nacional de Armonización Contable (CONAC)</w:t>
      </w:r>
      <w:r w:rsidRPr="00D77966">
        <w:rPr>
          <w:rFonts w:cs="Arial"/>
          <w:lang w:eastAsia="es-MX"/>
        </w:rPr>
        <w:t>;</w:t>
      </w:r>
      <w:r w:rsidRPr="00D77966">
        <w:t xml:space="preserve"> publicados el 13 de octubre de 2014, en el periódico oficial del Gobierno del Estado de México, denominado “Gaceta del Gobierno”.</w:t>
      </w:r>
    </w:p>
    <w:p w14:paraId="3DB3BA11" w14:textId="77777777" w:rsidR="00045553" w:rsidRPr="00D77966" w:rsidRDefault="00045553" w:rsidP="00045553">
      <w:pPr>
        <w:autoSpaceDE w:val="0"/>
        <w:autoSpaceDN w:val="0"/>
        <w:adjustRightInd w:val="0"/>
        <w:spacing w:line="276" w:lineRule="auto"/>
        <w:ind w:right="-1"/>
        <w:jc w:val="both"/>
      </w:pPr>
      <w:r w:rsidRPr="00D77966">
        <w:t>El 24 de abril de 2016 se publicó en el Diario Oficial de la Federación la Ley de Disciplina Financiera de las Entidades Federativas y los Municipios, cuyo objeto es establecer los criterios generales de responsabilidad hacendaria y financiera que regirán a las Entidades Federativas y los Municipios, así como a sus respectivos Entes Públicos, para un manejo sostenible de sus finanzas públicas, en donde el IFREM se sujetará a lo que dispone y administrará sus recursos con base en los principios de legalidad, honestidad, eficacia, eficiencia, economía, racionalidad, austeridad, transparencia, control y rendición de cuentas.</w:t>
      </w:r>
    </w:p>
    <w:p w14:paraId="32F5F4A5" w14:textId="77777777" w:rsidR="00045553" w:rsidRPr="00D77966" w:rsidRDefault="00045553" w:rsidP="00045553">
      <w:pPr>
        <w:autoSpaceDE w:val="0"/>
        <w:autoSpaceDN w:val="0"/>
        <w:adjustRightInd w:val="0"/>
        <w:spacing w:line="276" w:lineRule="auto"/>
        <w:ind w:right="-1"/>
        <w:jc w:val="both"/>
        <w:rPr>
          <w:b/>
          <w:bCs/>
        </w:rPr>
      </w:pPr>
      <w:r w:rsidRPr="00D77966">
        <w:t>El 26 de octubre de 2018, el Consejo Nacional de Armonización Contable con fundamento en los artículos 6, 7, 9 y 14 de la Ley General de Contabilidad Gubernamental, aprobó los siguientes: “</w:t>
      </w:r>
      <w:r w:rsidRPr="00D77966">
        <w:rPr>
          <w:b/>
          <w:bCs/>
        </w:rPr>
        <w:t xml:space="preserve">Acuerdo por el que se reforman y adicionan las Normas y Metodología para la Determinación de los Momentos Contables de los Ingresos”, </w:t>
      </w:r>
      <w:r w:rsidRPr="00D77966">
        <w:rPr>
          <w:bCs/>
        </w:rPr>
        <w:t>así como</w:t>
      </w:r>
      <w:r w:rsidRPr="00D77966">
        <w:rPr>
          <w:b/>
          <w:bCs/>
        </w:rPr>
        <w:t xml:space="preserve">; el Acuerdo por el que se reforma y adiciona el Manual de Contabilidad Gubernamental. </w:t>
      </w:r>
      <w:r w:rsidRPr="00D77966">
        <w:rPr>
          <w:b/>
          <w:bCs/>
          <w:i/>
        </w:rPr>
        <w:t>“</w:t>
      </w:r>
      <w:r w:rsidRPr="00D77966">
        <w:rPr>
          <w:i/>
        </w:rPr>
        <w:t xml:space="preserve">En el Manual de Contabilidad Gubernamental se modifica todo lo relacionado al Ingreso, en el Capítulo III Plan de Cuentas, reformas y adiciones en los apartados “Estructura del Plan de Cuentas”, “Contenido del Plan de Cuentas” y “Definiciones del Plan de Cuentas” relacionadas con el Genero 4000 Ingresos y Otros Beneficios; en el Capítulo V Modelo de Asientos para el Registro Contable, reformas y adiciones en modelos de asientos y registros relacionadas con el Ingreso; en el Capítulo VI Guías Contabilizadoras, reformas y adiciones en guías contabilizadoras y registros contables y presupuestarios relacionadas con el Ingreso; en el Capítulo VII De los Estados e Informes Contables, Presupuestarios, Programáticos y de los Indicadores de Postura Fiscal, reformas y adiciones en el “Estado de Actividades”, en el “Estado de Flujos de Efectivo”, en “Notas a los Estados Financieros” y en el “Estado Analítico de Ingresos” relacionadas con el Ingreso; en el Anexo I Matrices de Conversión, reformas y adiciones en tipos y cuentas relacionadas con el Ingreso en las matrices “B.1 Matriz Ingresos Devengados” y “B.2 Matriz Ingresos Recaudados”, así como reforma de la matriz “B.2.2 Matriz de recaudado de ingresos sin devengado previo de ingresos” por la matriz “B.3 Matriz de Ingresos Devengados y Recaudados Simultáneos”; y adición de consideración en el punto 4 en “Notas a los Estados Financieros” en apartado b) NOTAS DE MEMORIA (CUENTAS DE ORDEN) y reforma segundo párrafo de la Finalidad del “Estado Analítico de Ingresos”, respecto al </w:t>
      </w:r>
      <w:r w:rsidRPr="00D77966">
        <w:rPr>
          <w:i/>
        </w:rPr>
        <w:lastRenderedPageBreak/>
        <w:t>avance que se registra en las cuentas de orden presupuestarias previo al cierre presupuestario de cada periodo que se reporte”:</w:t>
      </w:r>
    </w:p>
    <w:p w14:paraId="20B728F2" w14:textId="77777777" w:rsidR="00045553" w:rsidRPr="00D77966" w:rsidRDefault="00045553" w:rsidP="00045553">
      <w:pPr>
        <w:autoSpaceDE w:val="0"/>
        <w:autoSpaceDN w:val="0"/>
        <w:adjustRightInd w:val="0"/>
        <w:spacing w:line="276" w:lineRule="auto"/>
        <w:ind w:right="-1"/>
        <w:jc w:val="both"/>
        <w:rPr>
          <w:i/>
        </w:rPr>
      </w:pPr>
      <w:r w:rsidRPr="00D77966">
        <w:rPr>
          <w:b/>
          <w:bCs/>
        </w:rPr>
        <w:t xml:space="preserve">Acuerdo por el que se reforman los Criterios para la elaboración y presentación homogénea de la información financiera y de los formatos a que hace referencia la Ley de Disciplina Financiera de las Entidades Federativas y los Municipios </w:t>
      </w:r>
      <w:r w:rsidRPr="00D77966">
        <w:rPr>
          <w:rFonts w:eastAsia="Times New Roman" w:cs="Times New Roman"/>
          <w:b/>
          <w:lang w:eastAsia="es-MX"/>
        </w:rPr>
        <w:t>Políticas de Contabilidad Significativas”.</w:t>
      </w:r>
      <w:r w:rsidRPr="00D77966">
        <w:rPr>
          <w:rFonts w:cs="Arial"/>
        </w:rPr>
        <w:t xml:space="preserve"> </w:t>
      </w:r>
      <w:r w:rsidRPr="00D77966">
        <w:rPr>
          <w:i/>
        </w:rPr>
        <w:t>Se reforman en los formatos 5 Estado Analítico de Ingresos Detallado – LDF, 7 a) Proyecciones de Ingresos – LDF y 7 c) Resultados de Ingresos – LDF, los incisos G y J de “Ingresos de Libre Disposición” y el inciso D de las “Transferencias Federales Etiquetadas”.</w:t>
      </w:r>
    </w:p>
    <w:p w14:paraId="2DAA9EF0" w14:textId="77777777" w:rsidR="00045553" w:rsidRPr="00D77966" w:rsidRDefault="00045553" w:rsidP="00045553">
      <w:pPr>
        <w:autoSpaceDE w:val="0"/>
        <w:autoSpaceDN w:val="0"/>
        <w:adjustRightInd w:val="0"/>
        <w:spacing w:after="240" w:line="276" w:lineRule="auto"/>
        <w:ind w:right="-1"/>
        <w:contextualSpacing/>
        <w:jc w:val="both"/>
        <w:rPr>
          <w:i/>
        </w:rPr>
      </w:pPr>
      <w:r w:rsidRPr="00D77966">
        <w:rPr>
          <w:rFonts w:cs="Arial"/>
          <w:b/>
          <w:bCs/>
        </w:rPr>
        <w:t xml:space="preserve">“Acuerdo por el que se reforma y adiciona el Formato de Conciliación entre los Ingresos Presupuestarios y Contables, así como entre los Egresos Presupuestarios y los Gastos Contables”. </w:t>
      </w:r>
      <w:r w:rsidRPr="00D77966">
        <w:rPr>
          <w:i/>
        </w:rPr>
        <w:t>“Se reforma el párrafo de Ámbito de Aplicación; en los puntos de Precisiones a los formatos de Conciliación de Ingresos y de Conciliación de Egresos – Gastos se adiciona inciso e), numeración en todos los conceptos, fórmulas en los principales numerales y notas al pie; en la Conciliación entre los Ingresos Presupuestarios y Contables, se reforma el punto 1 Ingresos Presupuestarios por 1. Total de Ingresos Presupuestarios, en el punto 2. Más Ingresos Contables No Presupuestarios, se adiciona el concepto de “Ingresos Financieros”, en el punto 3. Menos Ingresos Presupuestarios No Contables, se reforma el concepto “Aprovechamientos de Capital” por “Aprovechamientos Patrimoniales”; en la Conciliación entre los Egresos Presupuestarios y los Gastos Contables, en los puntos 2. Menos Egresos Presupuestarios No Contables y 3. Más Gastos Contables No Presupuestarios, se reforma el concepto “presupuestales” por “presupuestarios”, en el punto 2. Menos Egresos Presupuestarios No Contables, se adicionan los conceptos de “Materias Primas y Materiales de Producción y Comercialización”, “Materiales y Suministros”, “Obra Pública en Bienes de Dominio Público” y “Concesión de Préstamos”; y adicionalmente se agrega un instructivo de llenado que contiene las referencias para identificar los conceptos que se vinculan a los estados financieros de donde se obtienen cifras”.</w:t>
      </w:r>
    </w:p>
    <w:p w14:paraId="05A01A8F" w14:textId="77777777" w:rsidR="00045553" w:rsidRPr="00D77966" w:rsidRDefault="00045553" w:rsidP="00045553">
      <w:pPr>
        <w:autoSpaceDE w:val="0"/>
        <w:autoSpaceDN w:val="0"/>
        <w:adjustRightInd w:val="0"/>
        <w:spacing w:after="240" w:line="276" w:lineRule="auto"/>
        <w:ind w:left="284" w:right="-1"/>
        <w:contextualSpacing/>
        <w:jc w:val="both"/>
        <w:rPr>
          <w:i/>
        </w:rPr>
      </w:pPr>
    </w:p>
    <w:p w14:paraId="6A278A5B" w14:textId="77777777" w:rsidR="00045553" w:rsidRPr="00D77966" w:rsidRDefault="00045553" w:rsidP="00045553">
      <w:pPr>
        <w:jc w:val="both"/>
        <w:rPr>
          <w:i/>
        </w:rPr>
      </w:pPr>
      <w:r w:rsidRPr="00D77966">
        <w:rPr>
          <w:rFonts w:cs="Arial"/>
          <w:b/>
          <w:bCs/>
        </w:rPr>
        <w:t>“Acuerdo por el que se reforma el Clasificador por Rubros de Ingresos”. “</w:t>
      </w:r>
      <w:r w:rsidRPr="00D77966">
        <w:rPr>
          <w:i/>
        </w:rPr>
        <w:t>Se reforman el párrafo sexto de antecedentes y el párrafo catorce del punto A. ASPECTOS GENERALES”.</w:t>
      </w:r>
    </w:p>
    <w:p w14:paraId="09F3BDEC" w14:textId="208BAFD1" w:rsidR="00F62DC9" w:rsidRDefault="00045553" w:rsidP="00045553">
      <w:pPr>
        <w:spacing w:after="0" w:line="276" w:lineRule="auto"/>
        <w:ind w:right="-1"/>
        <w:jc w:val="both"/>
        <w:rPr>
          <w:rFonts w:cs="Arial"/>
        </w:rPr>
      </w:pPr>
      <w:r w:rsidRPr="00D77966">
        <w:rPr>
          <w:rFonts w:cs="Arial"/>
        </w:rPr>
        <w:t>Cabe mencionar que, en cumplimiento a los acuerdos referidos anteriormente, a partir de marzo de 2019, se envía la información en pesos, en los formatos del CONAC, con la finalidad de facilitar la fiscalización de los activos, pasivos, ingresos, egresos y, en general, que posibilite medir la eficacia del gasto público y contener las medidas de control interno que permitan verificar el registro de la totalidad de las operaciones financieras.</w:t>
      </w:r>
    </w:p>
    <w:p w14:paraId="29E4A9DD" w14:textId="77777777" w:rsidR="00F62DC9" w:rsidRDefault="00F62DC9">
      <w:pPr>
        <w:spacing w:line="259" w:lineRule="auto"/>
        <w:rPr>
          <w:rFonts w:cs="Arial"/>
        </w:rPr>
      </w:pPr>
      <w:r>
        <w:rPr>
          <w:rFonts w:cs="Arial"/>
        </w:rPr>
        <w:br w:type="page"/>
      </w:r>
    </w:p>
    <w:p w14:paraId="5D03DD3C" w14:textId="77777777" w:rsidR="00045553" w:rsidRPr="00D77966" w:rsidRDefault="00045553" w:rsidP="00045553">
      <w:pPr>
        <w:spacing w:after="0" w:line="276" w:lineRule="auto"/>
        <w:ind w:right="-1"/>
        <w:jc w:val="both"/>
        <w:rPr>
          <w:rFonts w:cs="Arial"/>
        </w:rPr>
      </w:pPr>
    </w:p>
    <w:p w14:paraId="784B2B46" w14:textId="77777777" w:rsidR="00045553" w:rsidRPr="00D77966" w:rsidRDefault="00045553" w:rsidP="00045553">
      <w:pPr>
        <w:numPr>
          <w:ilvl w:val="0"/>
          <w:numId w:val="3"/>
        </w:numPr>
        <w:spacing w:after="0" w:line="276" w:lineRule="auto"/>
        <w:ind w:left="851" w:right="-1"/>
        <w:contextualSpacing/>
        <w:rPr>
          <w:rFonts w:eastAsia="Times New Roman" w:cs="Times New Roman"/>
          <w:lang w:eastAsia="es-MX"/>
        </w:rPr>
      </w:pPr>
      <w:r w:rsidRPr="00D77966">
        <w:rPr>
          <w:rFonts w:eastAsia="Times New Roman" w:cs="Times New Roman"/>
          <w:b/>
          <w:lang w:eastAsia="es-MX"/>
        </w:rPr>
        <w:t>Políticas de Contabilidad Significativas</w:t>
      </w:r>
    </w:p>
    <w:p w14:paraId="76C80C85" w14:textId="77777777" w:rsidR="00045553" w:rsidRPr="00D77966" w:rsidRDefault="00045553" w:rsidP="00045553">
      <w:pPr>
        <w:autoSpaceDE w:val="0"/>
        <w:autoSpaceDN w:val="0"/>
        <w:adjustRightInd w:val="0"/>
        <w:spacing w:after="240" w:line="276" w:lineRule="auto"/>
        <w:ind w:left="284" w:right="-1"/>
        <w:contextualSpacing/>
        <w:jc w:val="both"/>
        <w:rPr>
          <w:rFonts w:eastAsia="Times New Roman" w:cs="Times New Roman"/>
          <w:lang w:eastAsia="es-MX"/>
        </w:rPr>
      </w:pPr>
    </w:p>
    <w:p w14:paraId="73954053" w14:textId="77777777" w:rsidR="00045553" w:rsidRPr="00D77966" w:rsidRDefault="00045553" w:rsidP="00335251">
      <w:pPr>
        <w:numPr>
          <w:ilvl w:val="0"/>
          <w:numId w:val="8"/>
        </w:numPr>
        <w:spacing w:before="240" w:line="276" w:lineRule="auto"/>
        <w:jc w:val="both"/>
        <w:rPr>
          <w:rFonts w:cs="Arial"/>
        </w:rPr>
      </w:pPr>
      <w:r w:rsidRPr="00D77966">
        <w:rPr>
          <w:rFonts w:cs="Arial"/>
        </w:rPr>
        <w:t>Los Estados Financieros se preparan tomando como base los Postulados Básicos de Contabilidad Gubernamental.</w:t>
      </w:r>
    </w:p>
    <w:p w14:paraId="3FD1B3A7" w14:textId="77777777" w:rsidR="00045553" w:rsidRPr="00D77966" w:rsidRDefault="00045553" w:rsidP="00335251">
      <w:pPr>
        <w:numPr>
          <w:ilvl w:val="0"/>
          <w:numId w:val="8"/>
        </w:numPr>
        <w:ind w:right="-1"/>
        <w:jc w:val="both"/>
        <w:rPr>
          <w:rFonts w:cs="Arial"/>
        </w:rPr>
      </w:pPr>
      <w:r w:rsidRPr="00D77966">
        <w:rPr>
          <w:rFonts w:cs="Arial"/>
        </w:rPr>
        <w:t>La información contable básica está conformada por el Estado de Situación Financiera, el Estado de Actividades para Entidades con fines no lucrativos, el Estado de Flujos de Efectivo, Estado de Variaciones en la Hacienda Pública/Patrimonio, Estado Analítico del Activo, así como sus notas que son parte integrante de los mismos; también se integra por los estados complementarios, como la Disponibilidad del Flujo de Efectivo, la Evolución e Integración de la Deuda y el Estado de Cambios en el Capital de Trabajo.</w:t>
      </w:r>
    </w:p>
    <w:p w14:paraId="6AE5DF1D" w14:textId="77777777" w:rsidR="00045553" w:rsidRPr="00D77966" w:rsidRDefault="00045553" w:rsidP="00335251">
      <w:pPr>
        <w:numPr>
          <w:ilvl w:val="0"/>
          <w:numId w:val="8"/>
        </w:numPr>
        <w:spacing w:line="276" w:lineRule="auto"/>
        <w:ind w:right="-1"/>
        <w:jc w:val="both"/>
        <w:rPr>
          <w:rFonts w:cs="Arial"/>
        </w:rPr>
      </w:pPr>
      <w:r w:rsidRPr="00D77966">
        <w:rPr>
          <w:rFonts w:cs="Arial"/>
        </w:rPr>
        <w:t>La información presupuestal se integra por el Estado de Ingresos y Egresos, el Estado Comparativo de Ingresos, el Estado Comparativo de Egresos, el Estado de Avance Presupuestal de Ingresos y el Estado de Avance Presupuestal de Egresos, así como los complementarios que detallan los ingresos y egresos por cada concepto.</w:t>
      </w:r>
    </w:p>
    <w:p w14:paraId="0FAD4663" w14:textId="77777777" w:rsidR="00045553" w:rsidRPr="00D77966" w:rsidRDefault="00045553" w:rsidP="00335251">
      <w:pPr>
        <w:numPr>
          <w:ilvl w:val="0"/>
          <w:numId w:val="8"/>
        </w:numPr>
        <w:spacing w:line="276" w:lineRule="auto"/>
        <w:ind w:right="-1"/>
        <w:jc w:val="both"/>
        <w:rPr>
          <w:rFonts w:cs="Arial"/>
        </w:rPr>
      </w:pPr>
      <w:r w:rsidRPr="00D77966">
        <w:rPr>
          <w:rFonts w:cs="Arial"/>
        </w:rPr>
        <w:t>La información de obra pública se clasifica en Obras en Proceso y Gasto Ejercido; y Obras Concluidas y su Costo. Así como la información de la nómina: Plantilla de personal.</w:t>
      </w:r>
    </w:p>
    <w:p w14:paraId="0571F858" w14:textId="77777777" w:rsidR="00045553" w:rsidRPr="00D77966" w:rsidRDefault="00045553" w:rsidP="00335251">
      <w:pPr>
        <w:numPr>
          <w:ilvl w:val="0"/>
          <w:numId w:val="8"/>
        </w:numPr>
        <w:spacing w:line="276" w:lineRule="auto"/>
        <w:ind w:right="-1"/>
        <w:jc w:val="both"/>
        <w:rPr>
          <w:rFonts w:cs="Arial"/>
        </w:rPr>
      </w:pPr>
      <w:r w:rsidRPr="00D77966">
        <w:rPr>
          <w:rFonts w:cs="Arial"/>
        </w:rPr>
        <w:t>Respecto a la clasificación del pasivo, se considerará a corto plazo el que vence dentro del ejercicio fiscal correspondiente y, a largo plazo el que venza en ejercicios fiscales posteriores al que corresponda la información.</w:t>
      </w:r>
    </w:p>
    <w:p w14:paraId="0050FA2D" w14:textId="77777777" w:rsidR="00045553" w:rsidRPr="00D77966" w:rsidRDefault="00045553" w:rsidP="00335251">
      <w:pPr>
        <w:numPr>
          <w:ilvl w:val="0"/>
          <w:numId w:val="8"/>
        </w:numPr>
        <w:spacing w:line="276" w:lineRule="auto"/>
        <w:ind w:right="-1"/>
        <w:jc w:val="both"/>
        <w:rPr>
          <w:rFonts w:cs="Arial"/>
        </w:rPr>
      </w:pPr>
      <w:r w:rsidRPr="00D77966">
        <w:rPr>
          <w:rFonts w:cs="Arial"/>
        </w:rPr>
        <w:t>Las inversiones en valores negociables, se encuentran representados por depósitos bancarios e inversiones de renta fija a corto plazo, se registran a su valor de mercado (valor de la inversión, más el rendimiento acumulado). Los rendimientos generados se reconocen en resultados conforme se realizan, en los que siempre se deberá considerar el valor invertido más los rendimientos generados.</w:t>
      </w:r>
    </w:p>
    <w:p w14:paraId="3D9A3849" w14:textId="77777777" w:rsidR="00045553" w:rsidRPr="00D77966" w:rsidRDefault="00045553" w:rsidP="00335251">
      <w:pPr>
        <w:numPr>
          <w:ilvl w:val="0"/>
          <w:numId w:val="8"/>
        </w:numPr>
        <w:spacing w:line="276" w:lineRule="auto"/>
        <w:ind w:right="-1"/>
        <w:jc w:val="both"/>
        <w:rPr>
          <w:rFonts w:cs="Arial"/>
        </w:rPr>
      </w:pPr>
      <w:r w:rsidRPr="00D77966">
        <w:rPr>
          <w:rFonts w:cs="Arial"/>
        </w:rPr>
        <w:t>Los bienes muebles se registran a su costo de adquisición, incluyendo el Impuesto al Valor Agregado (IVA). La depreciación se calcula a partir del mes siguiente al de su adquisición, aplicando las tasas establecidas en el Manual Único de Contabilidad Gubernamental para las Dependencias y Entidades del Gobierno y Municipios del Estado de México.</w:t>
      </w:r>
    </w:p>
    <w:p w14:paraId="606E1B3D" w14:textId="77777777" w:rsidR="00045553" w:rsidRPr="00D77966" w:rsidRDefault="00045553" w:rsidP="00335251">
      <w:pPr>
        <w:numPr>
          <w:ilvl w:val="0"/>
          <w:numId w:val="8"/>
        </w:numPr>
        <w:spacing w:line="276" w:lineRule="auto"/>
        <w:ind w:right="-1"/>
        <w:jc w:val="both"/>
        <w:rPr>
          <w:rFonts w:cs="Arial"/>
        </w:rPr>
      </w:pPr>
      <w:r w:rsidRPr="00D77966">
        <w:rPr>
          <w:rFonts w:cs="Arial"/>
        </w:rPr>
        <w:t>Las cuentas por cobrar representan la comprobación de los anticipos para gastos otorgados a los servidores públicos del Instituto o a terceros para cumplir con actividades de programas específicos, así como saldos que deberán ser comprobados o reintegrados conforme a la normatividad establecida.</w:t>
      </w:r>
    </w:p>
    <w:p w14:paraId="7B17EFC3" w14:textId="77777777" w:rsidR="00045553" w:rsidRPr="00D77966" w:rsidRDefault="00045553" w:rsidP="00335251">
      <w:pPr>
        <w:numPr>
          <w:ilvl w:val="0"/>
          <w:numId w:val="8"/>
        </w:numPr>
        <w:spacing w:line="276" w:lineRule="auto"/>
        <w:ind w:right="-1"/>
        <w:jc w:val="both"/>
        <w:rPr>
          <w:rFonts w:cs="Arial"/>
        </w:rPr>
      </w:pPr>
      <w:r w:rsidRPr="00D77966">
        <w:rPr>
          <w:rFonts w:cs="Arial"/>
        </w:rPr>
        <w:t>Los anticipos a proveedores y contratistas, son las cantidades de dinero entregadas a los proveedores de bienes o servicios y contratistas de obra pública y servicios relacionados con la misma con el fin de obtener una contraprestación pactada mediante contrato o convenio, las cuales deberán ser comprobadas o reintegradas conforme a la normatividad establecida. Si el tercero no diera cumplimiento a lo dispuesto en el contrato o convenio, el asunto se deberá turnar a las áreas jurídicas para su recuperación a través de las fianzas correspondientes.</w:t>
      </w:r>
    </w:p>
    <w:p w14:paraId="60560EAA" w14:textId="77777777" w:rsidR="00045553" w:rsidRPr="00D77966" w:rsidRDefault="00045553" w:rsidP="00335251">
      <w:pPr>
        <w:numPr>
          <w:ilvl w:val="0"/>
          <w:numId w:val="8"/>
        </w:numPr>
        <w:spacing w:line="259" w:lineRule="auto"/>
        <w:ind w:right="-1"/>
        <w:jc w:val="both"/>
        <w:rPr>
          <w:rFonts w:cs="Arial"/>
        </w:rPr>
      </w:pPr>
      <w:r w:rsidRPr="00D77966">
        <w:rPr>
          <w:rFonts w:cs="Arial"/>
        </w:rPr>
        <w:lastRenderedPageBreak/>
        <w:t>Las existencias del almacén se valúan a costo promedio y se afectará tanto el resultado del ejercicio como el presupuesto de egresos en el momento en que el gasto se considere devengado, en términos de lo dispuesto por el Postulado Contable de Base de Registro, por otro lado, las existencias se controlarán en cuentas de orden.</w:t>
      </w:r>
    </w:p>
    <w:p w14:paraId="607D6F4A" w14:textId="77777777" w:rsidR="00045553" w:rsidRPr="00D77966" w:rsidRDefault="00045553" w:rsidP="00045553">
      <w:pPr>
        <w:numPr>
          <w:ilvl w:val="0"/>
          <w:numId w:val="3"/>
        </w:numPr>
        <w:spacing w:after="0" w:line="276" w:lineRule="auto"/>
        <w:ind w:left="851" w:right="-1"/>
        <w:contextualSpacing/>
        <w:rPr>
          <w:b/>
        </w:rPr>
      </w:pPr>
      <w:r w:rsidRPr="00D77966">
        <w:rPr>
          <w:b/>
        </w:rPr>
        <w:t>Posición en Moneda Extranjera y Protección por Riesgo Cambiario</w:t>
      </w:r>
    </w:p>
    <w:p w14:paraId="47235A6D" w14:textId="77777777" w:rsidR="00045553" w:rsidRPr="00D77966" w:rsidRDefault="00045553" w:rsidP="00045553">
      <w:pPr>
        <w:spacing w:after="101" w:line="276" w:lineRule="auto"/>
        <w:ind w:right="-1"/>
        <w:jc w:val="both"/>
        <w:rPr>
          <w:rFonts w:eastAsia="Times New Roman" w:cs="Arial"/>
          <w:lang w:val="es-ES" w:eastAsia="es-ES"/>
        </w:rPr>
      </w:pPr>
      <w:r w:rsidRPr="00D77966">
        <w:rPr>
          <w:rFonts w:eastAsia="Times New Roman" w:cs="Arial"/>
          <w:lang w:val="es-ES" w:eastAsia="es-ES"/>
        </w:rPr>
        <w:t>Los estados financieros antes mencionados se presentan en moneda de informe peso mexicano, que es igual a la moneda de registro y a su moneda funcional, por lo tanto, este punto no es aplicable para la entidad.</w:t>
      </w:r>
    </w:p>
    <w:p w14:paraId="3250DAB2" w14:textId="77777777" w:rsidR="00045553" w:rsidRPr="00D77966" w:rsidRDefault="00045553" w:rsidP="00045553">
      <w:pPr>
        <w:spacing w:line="259" w:lineRule="auto"/>
        <w:rPr>
          <w:rFonts w:eastAsia="Times New Roman" w:cs="Arial"/>
          <w:lang w:val="es-ES" w:eastAsia="es-ES"/>
        </w:rPr>
      </w:pPr>
    </w:p>
    <w:p w14:paraId="62E2A2FF" w14:textId="77777777" w:rsidR="00045553" w:rsidRPr="00D77966" w:rsidRDefault="00045553" w:rsidP="00045553">
      <w:pPr>
        <w:numPr>
          <w:ilvl w:val="0"/>
          <w:numId w:val="3"/>
        </w:numPr>
        <w:spacing w:after="0" w:line="276" w:lineRule="auto"/>
        <w:ind w:left="851" w:right="-1"/>
        <w:contextualSpacing/>
        <w:rPr>
          <w:b/>
        </w:rPr>
      </w:pPr>
      <w:r w:rsidRPr="00D77966">
        <w:rPr>
          <w:b/>
        </w:rPr>
        <w:t>Reporte Analítico del Activo</w:t>
      </w:r>
    </w:p>
    <w:p w14:paraId="2B9403A7" w14:textId="77777777" w:rsidR="00045553" w:rsidRPr="00D77966" w:rsidRDefault="00045553" w:rsidP="00045553">
      <w:pPr>
        <w:spacing w:after="0" w:line="276" w:lineRule="auto"/>
        <w:ind w:right="-1"/>
        <w:contextualSpacing/>
        <w:rPr>
          <w:b/>
          <w:sz w:val="14"/>
        </w:rPr>
      </w:pPr>
    </w:p>
    <w:p w14:paraId="685CF089" w14:textId="77777777" w:rsidR="00045553" w:rsidRPr="00D77966" w:rsidRDefault="00045553" w:rsidP="00045553">
      <w:pPr>
        <w:spacing w:after="0" w:line="240" w:lineRule="exact"/>
        <w:jc w:val="both"/>
        <w:rPr>
          <w:rFonts w:eastAsia="Times New Roman" w:cs="Arial"/>
          <w:lang w:eastAsia="es-ES"/>
        </w:rPr>
      </w:pPr>
      <w:r w:rsidRPr="00D77966">
        <w:rPr>
          <w:rFonts w:eastAsia="Times New Roman" w:cs="Arial"/>
          <w:noProof/>
          <w:lang w:eastAsia="es-MX"/>
        </w:rPr>
        <mc:AlternateContent>
          <mc:Choice Requires="wpg">
            <w:drawing>
              <wp:anchor distT="0" distB="0" distL="114300" distR="114300" simplePos="0" relativeHeight="251659264" behindDoc="0" locked="0" layoutInCell="1" allowOverlap="1" wp14:anchorId="2F1C8B21" wp14:editId="75124A86">
                <wp:simplePos x="0" y="0"/>
                <wp:positionH relativeFrom="column">
                  <wp:posOffset>-692150</wp:posOffset>
                </wp:positionH>
                <wp:positionV relativeFrom="paragraph">
                  <wp:posOffset>-7432040</wp:posOffset>
                </wp:positionV>
                <wp:extent cx="6467475" cy="1924685"/>
                <wp:effectExtent l="0" t="0" r="0" b="304165"/>
                <wp:wrapNone/>
                <wp:docPr id="516" name="Grupo 516"/>
                <wp:cNvGraphicFramePr/>
                <a:graphic xmlns:a="http://schemas.openxmlformats.org/drawingml/2006/main">
                  <a:graphicData uri="http://schemas.microsoft.com/office/word/2010/wordprocessingGroup">
                    <wpg:wgp>
                      <wpg:cNvGrpSpPr/>
                      <wpg:grpSpPr>
                        <a:xfrm>
                          <a:off x="0" y="0"/>
                          <a:ext cx="6467475" cy="2193290"/>
                          <a:chOff x="0" y="0"/>
                          <a:chExt cx="6467475" cy="2193290"/>
                        </a:xfrm>
                      </wpg:grpSpPr>
                      <wps:wsp>
                        <wps:cNvPr id="25" name="Rectángulo 25"/>
                        <wps:cNvSpPr/>
                        <wps:spPr>
                          <a:xfrm>
                            <a:off x="0" y="0"/>
                            <a:ext cx="6467475" cy="1924685"/>
                          </a:xfrm>
                          <a:prstGeom prst="rect">
                            <a:avLst/>
                          </a:prstGeom>
                          <a:noFill/>
                          <a:ln>
                            <a:noFill/>
                          </a:ln>
                        </wps:spPr>
                        <wps:bodyPr/>
                      </wps:wsp>
                      <wps:wsp>
                        <wps:cNvPr id="26" name="Rectangle 439"/>
                        <wps:cNvSpPr>
                          <a:spLocks noChangeArrowheads="1"/>
                        </wps:cNvSpPr>
                        <wps:spPr bwMode="auto">
                          <a:xfrm>
                            <a:off x="6244590" y="46482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440"/>
                        <wps:cNvCnPr>
                          <a:cxnSpLocks noChangeShapeType="1"/>
                        </wps:cNvCnPr>
                        <wps:spPr bwMode="auto">
                          <a:xfrm>
                            <a:off x="6244590" y="6153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 name="Rectangle 441"/>
                        <wps:cNvSpPr>
                          <a:spLocks noChangeArrowheads="1"/>
                        </wps:cNvSpPr>
                        <wps:spPr bwMode="auto">
                          <a:xfrm>
                            <a:off x="6244590" y="61531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442"/>
                        <wps:cNvCnPr>
                          <a:cxnSpLocks noChangeShapeType="1"/>
                        </wps:cNvCnPr>
                        <wps:spPr bwMode="auto">
                          <a:xfrm>
                            <a:off x="6244590" y="7721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 name="Rectangle 443"/>
                        <wps:cNvSpPr>
                          <a:spLocks noChangeArrowheads="1"/>
                        </wps:cNvSpPr>
                        <wps:spPr bwMode="auto">
                          <a:xfrm>
                            <a:off x="6244590" y="772160"/>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444"/>
                        <wps:cNvCnPr>
                          <a:cxnSpLocks noChangeShapeType="1"/>
                        </wps:cNvCnPr>
                        <wps:spPr bwMode="auto">
                          <a:xfrm>
                            <a:off x="6244590" y="8966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 name="Rectangle 445"/>
                        <wps:cNvSpPr>
                          <a:spLocks noChangeArrowheads="1"/>
                        </wps:cNvSpPr>
                        <wps:spPr bwMode="auto">
                          <a:xfrm>
                            <a:off x="6244590" y="896620"/>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446"/>
                        <wps:cNvCnPr>
                          <a:cxnSpLocks noChangeShapeType="1"/>
                        </wps:cNvCnPr>
                        <wps:spPr bwMode="auto">
                          <a:xfrm>
                            <a:off x="6244590" y="10083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 name="Rectangle 447"/>
                        <wps:cNvSpPr>
                          <a:spLocks noChangeArrowheads="1"/>
                        </wps:cNvSpPr>
                        <wps:spPr bwMode="auto">
                          <a:xfrm>
                            <a:off x="6244590" y="100838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448"/>
                        <wps:cNvCnPr>
                          <a:cxnSpLocks noChangeShapeType="1"/>
                        </wps:cNvCnPr>
                        <wps:spPr bwMode="auto">
                          <a:xfrm>
                            <a:off x="6244590" y="11195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 name="Rectangle 449"/>
                        <wps:cNvSpPr>
                          <a:spLocks noChangeArrowheads="1"/>
                        </wps:cNvSpPr>
                        <wps:spPr bwMode="auto">
                          <a:xfrm>
                            <a:off x="6244590" y="111950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50"/>
                        <wps:cNvCnPr>
                          <a:cxnSpLocks noChangeShapeType="1"/>
                        </wps:cNvCnPr>
                        <wps:spPr bwMode="auto">
                          <a:xfrm>
                            <a:off x="6244590" y="12306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 name="Rectangle 451"/>
                        <wps:cNvSpPr>
                          <a:spLocks noChangeArrowheads="1"/>
                        </wps:cNvSpPr>
                        <wps:spPr bwMode="auto">
                          <a:xfrm>
                            <a:off x="6244590" y="1230630"/>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52"/>
                        <wps:cNvCnPr>
                          <a:cxnSpLocks noChangeShapeType="1"/>
                        </wps:cNvCnPr>
                        <wps:spPr bwMode="auto">
                          <a:xfrm>
                            <a:off x="6244590" y="13423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 name="Rectangle 453"/>
                        <wps:cNvSpPr>
                          <a:spLocks noChangeArrowheads="1"/>
                        </wps:cNvSpPr>
                        <wps:spPr bwMode="auto">
                          <a:xfrm>
                            <a:off x="6244590" y="134239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54"/>
                        <wps:cNvCnPr>
                          <a:cxnSpLocks noChangeShapeType="1"/>
                        </wps:cNvCnPr>
                        <wps:spPr bwMode="auto">
                          <a:xfrm>
                            <a:off x="6244590" y="15125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 name="Rectangle 455"/>
                        <wps:cNvSpPr>
                          <a:spLocks noChangeArrowheads="1"/>
                        </wps:cNvSpPr>
                        <wps:spPr bwMode="auto">
                          <a:xfrm>
                            <a:off x="6244590" y="151257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56"/>
                        <wps:cNvCnPr>
                          <a:cxnSpLocks noChangeShapeType="1"/>
                        </wps:cNvCnPr>
                        <wps:spPr bwMode="auto">
                          <a:xfrm>
                            <a:off x="6244590" y="16236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 name="Rectangle 457"/>
                        <wps:cNvSpPr>
                          <a:spLocks noChangeArrowheads="1"/>
                        </wps:cNvSpPr>
                        <wps:spPr bwMode="auto">
                          <a:xfrm>
                            <a:off x="6244590" y="162369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58"/>
                        <wps:cNvCnPr>
                          <a:cxnSpLocks noChangeShapeType="1"/>
                        </wps:cNvCnPr>
                        <wps:spPr bwMode="auto">
                          <a:xfrm>
                            <a:off x="6244590" y="17348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 name="Rectangle 459"/>
                        <wps:cNvSpPr>
                          <a:spLocks noChangeArrowheads="1"/>
                        </wps:cNvSpPr>
                        <wps:spPr bwMode="auto">
                          <a:xfrm>
                            <a:off x="6244590" y="1734820"/>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460"/>
                        <wps:cNvCnPr>
                          <a:cxnSpLocks noChangeShapeType="1"/>
                        </wps:cNvCnPr>
                        <wps:spPr bwMode="auto">
                          <a:xfrm>
                            <a:off x="6244590" y="1846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 name="Rectangle 461"/>
                        <wps:cNvSpPr>
                          <a:spLocks noChangeArrowheads="1"/>
                        </wps:cNvSpPr>
                        <wps:spPr bwMode="auto">
                          <a:xfrm>
                            <a:off x="6244590" y="184658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62"/>
                        <wps:cNvCnPr>
                          <a:cxnSpLocks noChangeShapeType="1"/>
                        </wps:cNvCnPr>
                        <wps:spPr bwMode="auto">
                          <a:xfrm>
                            <a:off x="6244590" y="19577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 name="Rectangle 463"/>
                        <wps:cNvSpPr>
                          <a:spLocks noChangeArrowheads="1"/>
                        </wps:cNvSpPr>
                        <wps:spPr bwMode="auto">
                          <a:xfrm>
                            <a:off x="6244590" y="195770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464"/>
                        <wps:cNvCnPr>
                          <a:cxnSpLocks noChangeShapeType="1"/>
                        </wps:cNvCnPr>
                        <wps:spPr bwMode="auto">
                          <a:xfrm>
                            <a:off x="6244590" y="20688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4" name="Rectangle 465"/>
                        <wps:cNvSpPr>
                          <a:spLocks noChangeArrowheads="1"/>
                        </wps:cNvSpPr>
                        <wps:spPr bwMode="auto">
                          <a:xfrm>
                            <a:off x="6244590" y="206883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466"/>
                        <wps:cNvCnPr>
                          <a:cxnSpLocks noChangeShapeType="1"/>
                        </wps:cNvCnPr>
                        <wps:spPr bwMode="auto">
                          <a:xfrm>
                            <a:off x="6244590" y="21869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6" name="Rectangle 467"/>
                        <wps:cNvSpPr>
                          <a:spLocks noChangeArrowheads="1"/>
                        </wps:cNvSpPr>
                        <wps:spPr bwMode="auto">
                          <a:xfrm>
                            <a:off x="6244590" y="218694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EC4DC7" id="Grupo 516" o:spid="_x0000_s1026" style="position:absolute;margin-left:-54.5pt;margin-top:-585.2pt;width:509.25pt;height:151.55pt;z-index:251659264" coordsize="64674,2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">
                <v:rect id="Rectángulo 25" o:spid="_x0000_s1027" style="position:absolute;width:64674;height:19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v:rect id="Rectangle 439" o:spid="_x0000_s1028" style="position:absolute;left:62445;top:4648;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" fillcolor="#d4d4d4" stroked="f"/>
                <v:line id="Line 440" o:spid="_x0000_s1029" style="position:absolute;visibility:visible;mso-wrap-style:square" from="62445,6153" to="62452,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" strokecolor="#d4d4d4" strokeweight="0"/>
                <v:rect id="Rectangle 441" o:spid="_x0000_s1030" style="position:absolute;left:62445;top:6153;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" fillcolor="#d4d4d4" stroked="f"/>
                <v:line id="Line 442" o:spid="_x0000_s1031" style="position:absolute;visibility:visible;mso-wrap-style:square" from="62445,7721" to="62452,7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" strokecolor="#d4d4d4" strokeweight="0"/>
                <v:rect id="Rectangle 443" o:spid="_x0000_s1032" style="position:absolute;left:62445;top:7721;width:6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" fillcolor="#d4d4d4" stroked="f"/>
                <v:line id="Line 444" o:spid="_x0000_s1033" style="position:absolute;visibility:visible;mso-wrap-style:square" from="62445,8966" to="62452,8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" strokecolor="#d4d4d4" strokeweight="0"/>
                <v:rect id="Rectangle 445" o:spid="_x0000_s1034" style="position:absolute;left:62445;top:8966;width:6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" fillcolor="#d4d4d4" stroked="f"/>
                <v:line id="Line 446" o:spid="_x0000_s1035" style="position:absolute;visibility:visible;mso-wrap-style:square" from="62445,10083" to="62452,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" strokecolor="#d4d4d4" strokeweight="0"/>
                <v:rect id="Rectangle 447" o:spid="_x0000_s1036" style="position:absolute;left:62445;top:1008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" fillcolor="#d4d4d4" stroked="f"/>
                <v:line id="Line 448" o:spid="_x0000_s1037" style="position:absolute;visibility:visible;mso-wrap-style:square" from="62445,11195" to="62452,1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" strokecolor="#d4d4d4" strokeweight="0"/>
                <v:rect id="Rectangle 449" o:spid="_x0000_s1038" style="position:absolute;left:62445;top:11195;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" fillcolor="#d4d4d4" stroked="f"/>
                <v:line id="Line 450" o:spid="_x0000_s1039" style="position:absolute;visibility:visible;mso-wrap-style:square" from="62445,12306" to="62452,1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" strokecolor="#d4d4d4" strokeweight="0"/>
                <v:rect id="Rectangle 451" o:spid="_x0000_s1040" style="position:absolute;left:62445;top:12306;width:6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" fillcolor="#d4d4d4" stroked="f"/>
                <v:line id="Line 452" o:spid="_x0000_s1041" style="position:absolute;visibility:visible;mso-wrap-style:square" from="62445,13423" to="62452,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" strokecolor="#d4d4d4" strokeweight="0"/>
                <v:rect id="Rectangle 453" o:spid="_x0000_s1042" style="position:absolute;left:62445;top:1342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" fillcolor="#d4d4d4" stroked="f"/>
                <v:line id="Line 454" o:spid="_x0000_s1043" style="position:absolute;visibility:visible;mso-wrap-style:square" from="62445,15125" to="62452,15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" strokecolor="#d4d4d4" strokeweight="0"/>
                <v:rect id="Rectangle 455" o:spid="_x0000_s1044" style="position:absolute;left:62445;top:1512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" fillcolor="#d4d4d4" stroked="f"/>
                <v:line id="Line 456" o:spid="_x0000_s1045" style="position:absolute;visibility:visible;mso-wrap-style:square" from="62445,16236" to="62452,1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" strokecolor="#d4d4d4" strokeweight="0"/>
                <v:rect id="Rectangle 457" o:spid="_x0000_s1046" style="position:absolute;left:62445;top:16236;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" fillcolor="#d4d4d4" stroked="f"/>
                <v:line id="Line 458" o:spid="_x0000_s1047" style="position:absolute;visibility:visible;mso-wrap-style:square" from="62445,17348" to="62452,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" strokecolor="#d4d4d4" strokeweight="0"/>
                <v:rect id="Rectangle 459" o:spid="_x0000_s1048" style="position:absolute;left:62445;top:17348;width:6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" fillcolor="#d4d4d4" stroked="f"/>
                <v:line id="Line 460" o:spid="_x0000_s1049" style="position:absolute;visibility:visible;mso-wrap-style:square" from="62445,18465" to="62452,18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" strokecolor="#d4d4d4" strokeweight="0"/>
                <v:rect id="Rectangle 461" o:spid="_x0000_s1050" style="position:absolute;left:62445;top:1846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" fillcolor="#d4d4d4" stroked="f"/>
                <v:line id="Line 462" o:spid="_x0000_s1051" style="position:absolute;visibility:visible;mso-wrap-style:square" from="62445,19577" to="62452,19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" strokecolor="#d4d4d4" strokeweight="0"/>
                <v:rect id="Rectangle 463" o:spid="_x0000_s1052" style="position:absolute;left:62445;top:19577;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" fillcolor="#d4d4d4" stroked="f"/>
                <v:line id="Line 464" o:spid="_x0000_s1053" style="position:absolute;visibility:visible;mso-wrap-style:square" from="62445,20688" to="62452,20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" strokecolor="#d4d4d4" strokeweight="0"/>
                <v:rect id="Rectangle 465" o:spid="_x0000_s1054" style="position:absolute;left:62445;top:20688;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" fillcolor="#d4d4d4" stroked="f"/>
                <v:line id="Line 466" o:spid="_x0000_s1055" style="position:absolute;visibility:visible;mso-wrap-style:square" from="62445,21869" to="62452,2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" strokecolor="#d4d4d4" strokeweight="0"/>
                <v:rect id="Rectangle 467" o:spid="_x0000_s1056" style="position:absolute;left:62445;top:21869;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" fillcolor="#d4d4d4" stroked="f"/>
              </v:group>
            </w:pict>
          </mc:Fallback>
        </mc:AlternateContent>
      </w:r>
      <w:r w:rsidRPr="00D77966">
        <w:rPr>
          <w:rFonts w:eastAsia="Times New Roman" w:cs="Arial"/>
          <w:lang w:eastAsia="es-ES"/>
        </w:rPr>
        <w:t>En el “</w:t>
      </w:r>
      <w:r w:rsidRPr="00D77966">
        <w:rPr>
          <w:rFonts w:eastAsia="Times New Roman" w:cs="Arial"/>
          <w:b/>
          <w:lang w:eastAsia="es-ES"/>
        </w:rPr>
        <w:t xml:space="preserve">Estado Analítico del Activo”, </w:t>
      </w:r>
      <w:r w:rsidRPr="00D77966">
        <w:rPr>
          <w:rFonts w:eastAsia="Times New Roman" w:cs="Arial"/>
          <w:lang w:eastAsia="es-ES"/>
        </w:rPr>
        <w:t>se observa el comportamiento de los fondos, valores y bienes identificados y cuantificados en términos monetarios, que dispone el Instituto para realizar sus actividades, los cuales fueron comentados en párrafos anteriores y los</w:t>
      </w:r>
      <w:r w:rsidRPr="00D77966">
        <w:rPr>
          <w:rFonts w:eastAsia="Times New Roman" w:cs="Arial"/>
          <w:b/>
          <w:lang w:eastAsia="es-ES"/>
        </w:rPr>
        <w:t xml:space="preserve"> bienes muebles e inmuebles, </w:t>
      </w:r>
      <w:r w:rsidRPr="00D77966">
        <w:rPr>
          <w:rFonts w:eastAsia="Times New Roman" w:cs="Arial"/>
          <w:lang w:eastAsia="es-ES"/>
        </w:rPr>
        <w:t>como</w:t>
      </w:r>
      <w:r w:rsidRPr="00D77966">
        <w:rPr>
          <w:rFonts w:eastAsia="Times New Roman" w:cs="Arial"/>
          <w:b/>
          <w:lang w:eastAsia="es-ES"/>
        </w:rPr>
        <w:t xml:space="preserve"> </w:t>
      </w:r>
      <w:r w:rsidRPr="00D77966">
        <w:rPr>
          <w:rFonts w:eastAsia="Times New Roman" w:cs="Arial"/>
          <w:lang w:eastAsia="es-ES"/>
        </w:rPr>
        <w:t>se detallan a continuación:</w:t>
      </w:r>
    </w:p>
    <w:p w14:paraId="5084B3ED" w14:textId="77777777" w:rsidR="00045553" w:rsidRPr="00D77966" w:rsidRDefault="00045553" w:rsidP="00045553">
      <w:pPr>
        <w:spacing w:after="0" w:line="240" w:lineRule="exact"/>
        <w:jc w:val="both"/>
        <w:rPr>
          <w:rFonts w:eastAsia="Times New Roman" w:cs="Arial"/>
          <w:lang w:eastAsia="es-ES"/>
        </w:rPr>
      </w:pPr>
    </w:p>
    <w:p w14:paraId="0DF7641E" w14:textId="77777777" w:rsidR="00045553" w:rsidRPr="00D77966" w:rsidRDefault="00045553" w:rsidP="00045553">
      <w:pPr>
        <w:spacing w:after="101" w:line="276" w:lineRule="auto"/>
        <w:ind w:right="-1"/>
        <w:jc w:val="center"/>
        <w:rPr>
          <w:noProof/>
          <w:lang w:eastAsia="es-MX"/>
        </w:rPr>
      </w:pPr>
      <w:r w:rsidRPr="00D77966">
        <w:rPr>
          <w:noProof/>
          <w:lang w:eastAsia="es-MX"/>
        </w:rPr>
        <w:drawing>
          <wp:inline distT="0" distB="0" distL="0" distR="0" wp14:anchorId="59C1F934" wp14:editId="67B98CD0">
            <wp:extent cx="5094502" cy="18884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03105" cy="1891679"/>
                    </a:xfrm>
                    <a:prstGeom prst="rect">
                      <a:avLst/>
                    </a:prstGeom>
                    <a:noFill/>
                    <a:ln>
                      <a:noFill/>
                    </a:ln>
                  </pic:spPr>
                </pic:pic>
              </a:graphicData>
            </a:graphic>
          </wp:inline>
        </w:drawing>
      </w:r>
    </w:p>
    <w:p w14:paraId="66C87E48" w14:textId="77777777" w:rsidR="00045553" w:rsidRPr="00D77966" w:rsidRDefault="00045553" w:rsidP="00045553">
      <w:pPr>
        <w:tabs>
          <w:tab w:val="left" w:pos="426"/>
        </w:tabs>
        <w:spacing w:after="101" w:line="276" w:lineRule="auto"/>
        <w:ind w:right="-1"/>
        <w:jc w:val="both"/>
        <w:rPr>
          <w:rFonts w:eastAsia="Times New Roman" w:cs="Arial"/>
          <w:b/>
          <w:lang w:eastAsia="es-ES"/>
        </w:rPr>
      </w:pPr>
    </w:p>
    <w:p w14:paraId="34A17084" w14:textId="77777777" w:rsidR="00045553" w:rsidRPr="00D77966" w:rsidRDefault="00045553" w:rsidP="00045553">
      <w:pPr>
        <w:tabs>
          <w:tab w:val="left" w:pos="426"/>
        </w:tabs>
        <w:spacing w:after="101" w:line="276" w:lineRule="auto"/>
        <w:ind w:right="-1"/>
        <w:jc w:val="both"/>
        <w:rPr>
          <w:rFonts w:eastAsia="Times New Roman" w:cs="Arial"/>
          <w:lang w:eastAsia="es-ES"/>
        </w:rPr>
      </w:pPr>
      <w:r w:rsidRPr="00D77966">
        <w:rPr>
          <w:rFonts w:eastAsia="Times New Roman" w:cs="Arial"/>
          <w:b/>
          <w:lang w:eastAsia="es-ES"/>
        </w:rPr>
        <w:t xml:space="preserve">Depreciación. - </w:t>
      </w:r>
      <w:r w:rsidRPr="00D77966">
        <w:rPr>
          <w:rFonts w:eastAsia="Times New Roman" w:cs="Arial"/>
          <w:lang w:eastAsia="es-ES"/>
        </w:rPr>
        <w:t>Se calcula por el método de línea recta a partir del mes siguiente al de su adquisición, aplicando los porcentajes siguientes:</w:t>
      </w:r>
    </w:p>
    <w:tbl>
      <w:tblPr>
        <w:tblStyle w:val="Tablaconcuadrcula111"/>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2733"/>
      </w:tblGrid>
      <w:tr w:rsidR="00045553" w:rsidRPr="00D77966" w14:paraId="66FD46E8" w14:textId="77777777" w:rsidTr="00415E2E">
        <w:trPr>
          <w:trHeight w:val="807"/>
        </w:trPr>
        <w:tc>
          <w:tcPr>
            <w:tcW w:w="4776" w:type="dxa"/>
            <w:hideMark/>
          </w:tcPr>
          <w:p w14:paraId="3066420F" w14:textId="77777777" w:rsidR="00045553" w:rsidRPr="00D77966" w:rsidRDefault="00045553" w:rsidP="00415E2E">
            <w:pPr>
              <w:spacing w:line="276" w:lineRule="auto"/>
              <w:ind w:right="-1"/>
              <w:jc w:val="both"/>
              <w:rPr>
                <w:rFonts w:ascii="HelveticaNeueLT Std" w:eastAsia="Times New Roman" w:hAnsi="HelveticaNeueLT Std"/>
                <w:b/>
                <w:u w:val="single"/>
              </w:rPr>
            </w:pPr>
            <w:r w:rsidRPr="00D77966">
              <w:rPr>
                <w:rFonts w:ascii="HelveticaNeueLT Std" w:eastAsia="Times New Roman" w:hAnsi="HelveticaNeueLT Std"/>
                <w:b/>
                <w:u w:val="single"/>
              </w:rPr>
              <w:t>Concepto</w:t>
            </w:r>
          </w:p>
          <w:p w14:paraId="5E010593" w14:textId="77777777" w:rsidR="00045553" w:rsidRPr="00D77966" w:rsidRDefault="00045553" w:rsidP="00415E2E">
            <w:pPr>
              <w:spacing w:line="276" w:lineRule="auto"/>
              <w:ind w:right="-1"/>
              <w:jc w:val="both"/>
              <w:rPr>
                <w:rFonts w:ascii="HelveticaNeueLT Std" w:eastAsia="Times New Roman" w:hAnsi="HelveticaNeueLT Std"/>
              </w:rPr>
            </w:pPr>
            <w:r w:rsidRPr="00D77966">
              <w:rPr>
                <w:rFonts w:ascii="HelveticaNeueLT Std" w:eastAsia="Times New Roman" w:hAnsi="HelveticaNeueLT Std"/>
              </w:rPr>
              <w:t xml:space="preserve">Edificios </w:t>
            </w:r>
          </w:p>
          <w:p w14:paraId="683FC738" w14:textId="77777777" w:rsidR="00045553" w:rsidRPr="00D77966" w:rsidRDefault="00045553" w:rsidP="00415E2E">
            <w:pPr>
              <w:spacing w:line="276" w:lineRule="auto"/>
              <w:ind w:right="-1"/>
              <w:jc w:val="both"/>
              <w:rPr>
                <w:rFonts w:ascii="HelveticaNeueLT Std" w:eastAsia="Times New Roman" w:hAnsi="HelveticaNeueLT Std"/>
              </w:rPr>
            </w:pPr>
            <w:r w:rsidRPr="00D77966">
              <w:rPr>
                <w:rFonts w:ascii="HelveticaNeueLT Std" w:eastAsia="Times New Roman" w:hAnsi="HelveticaNeueLT Std"/>
              </w:rPr>
              <w:t>Equipo de cómputo</w:t>
            </w:r>
            <w:r w:rsidRPr="00D77966">
              <w:rPr>
                <w:rFonts w:ascii="HelveticaNeueLT Std" w:eastAsia="Times New Roman" w:hAnsi="HelveticaNeueLT Std"/>
              </w:rPr>
              <w:tab/>
            </w:r>
          </w:p>
          <w:p w14:paraId="71CAA1FB" w14:textId="77777777" w:rsidR="00045553" w:rsidRPr="00D77966" w:rsidRDefault="00045553" w:rsidP="00415E2E">
            <w:pPr>
              <w:spacing w:line="276" w:lineRule="auto"/>
              <w:ind w:right="-1"/>
              <w:jc w:val="both"/>
              <w:rPr>
                <w:rFonts w:ascii="HelveticaNeueLT Std" w:eastAsia="Times New Roman" w:hAnsi="HelveticaNeueLT Std"/>
              </w:rPr>
            </w:pPr>
            <w:r w:rsidRPr="00D77966">
              <w:rPr>
                <w:rFonts w:ascii="HelveticaNeueLT Std" w:eastAsia="Times New Roman" w:hAnsi="HelveticaNeueLT Std"/>
              </w:rPr>
              <w:t>Mobiliario y equipo de oficina</w:t>
            </w:r>
          </w:p>
          <w:p w14:paraId="05B516F1" w14:textId="77777777" w:rsidR="00045553" w:rsidRPr="00D77966" w:rsidRDefault="00045553" w:rsidP="00415E2E">
            <w:pPr>
              <w:spacing w:line="276" w:lineRule="auto"/>
              <w:ind w:right="-1"/>
              <w:rPr>
                <w:rFonts w:ascii="HelveticaNeueLT Std" w:eastAsia="Times New Roman" w:hAnsi="HelveticaNeueLT Std"/>
              </w:rPr>
            </w:pPr>
            <w:r w:rsidRPr="00D77966">
              <w:rPr>
                <w:rFonts w:ascii="HelveticaNeueLT Std" w:eastAsia="Times New Roman" w:hAnsi="HelveticaNeueLT Std"/>
              </w:rPr>
              <w:t>Maquinaria</w:t>
            </w:r>
            <w:r w:rsidRPr="00D77966">
              <w:rPr>
                <w:rFonts w:ascii="HelveticaNeueLT Std" w:eastAsia="Times New Roman" w:hAnsi="HelveticaNeueLT Std"/>
              </w:rPr>
              <w:tab/>
            </w:r>
          </w:p>
          <w:p w14:paraId="0F3DDFAA" w14:textId="77777777" w:rsidR="00045553" w:rsidRPr="00D77966" w:rsidRDefault="00045553" w:rsidP="00415E2E">
            <w:pPr>
              <w:spacing w:line="276" w:lineRule="auto"/>
              <w:ind w:right="-1"/>
              <w:rPr>
                <w:rFonts w:ascii="HelveticaNeueLT Std" w:eastAsia="Times New Roman" w:hAnsi="HelveticaNeueLT Std"/>
              </w:rPr>
            </w:pPr>
            <w:r w:rsidRPr="00D77966">
              <w:rPr>
                <w:rFonts w:ascii="HelveticaNeueLT Std" w:eastAsia="Times New Roman" w:hAnsi="HelveticaNeueLT Std"/>
              </w:rPr>
              <w:t>Vehículos</w:t>
            </w:r>
          </w:p>
        </w:tc>
        <w:tc>
          <w:tcPr>
            <w:tcW w:w="2733" w:type="dxa"/>
            <w:hideMark/>
          </w:tcPr>
          <w:p w14:paraId="53BA3481" w14:textId="77777777" w:rsidR="00045553" w:rsidRPr="00D77966" w:rsidRDefault="00045553" w:rsidP="00415E2E">
            <w:pPr>
              <w:spacing w:line="276" w:lineRule="auto"/>
              <w:ind w:right="-1"/>
              <w:jc w:val="center"/>
              <w:rPr>
                <w:rFonts w:ascii="HelveticaNeueLT Std" w:eastAsia="Times New Roman" w:hAnsi="HelveticaNeueLT Std"/>
              </w:rPr>
            </w:pPr>
            <w:r w:rsidRPr="00D77966">
              <w:rPr>
                <w:rFonts w:ascii="HelveticaNeueLT Std" w:eastAsia="Times New Roman" w:hAnsi="HelveticaNeueLT Std"/>
              </w:rPr>
              <w:t>Tasa</w:t>
            </w:r>
          </w:p>
          <w:p w14:paraId="297D1819" w14:textId="77777777" w:rsidR="00045553" w:rsidRPr="00D77966" w:rsidRDefault="00045553" w:rsidP="00415E2E">
            <w:pPr>
              <w:spacing w:line="276" w:lineRule="auto"/>
              <w:ind w:right="-1"/>
              <w:jc w:val="center"/>
              <w:rPr>
                <w:rFonts w:ascii="HelveticaNeueLT Std" w:eastAsia="Times New Roman" w:hAnsi="HelveticaNeueLT Std"/>
              </w:rPr>
            </w:pPr>
            <w:r w:rsidRPr="00D77966">
              <w:rPr>
                <w:rFonts w:ascii="HelveticaNeueLT Std" w:eastAsia="Times New Roman" w:hAnsi="HelveticaNeueLT Std"/>
              </w:rPr>
              <w:t>2%</w:t>
            </w:r>
          </w:p>
          <w:p w14:paraId="3F124BC0" w14:textId="77777777" w:rsidR="00045553" w:rsidRPr="00D77966" w:rsidRDefault="00045553" w:rsidP="00415E2E">
            <w:pPr>
              <w:spacing w:line="276" w:lineRule="auto"/>
              <w:ind w:right="-1"/>
              <w:jc w:val="center"/>
              <w:rPr>
                <w:rFonts w:ascii="HelveticaNeueLT Std" w:eastAsia="Times New Roman" w:hAnsi="HelveticaNeueLT Std"/>
              </w:rPr>
            </w:pPr>
            <w:r w:rsidRPr="00D77966">
              <w:rPr>
                <w:rFonts w:ascii="HelveticaNeueLT Std" w:eastAsia="Times New Roman" w:hAnsi="HelveticaNeueLT Std"/>
              </w:rPr>
              <w:t>20%</w:t>
            </w:r>
          </w:p>
          <w:p w14:paraId="3BF0E855" w14:textId="77777777" w:rsidR="00045553" w:rsidRPr="00D77966" w:rsidRDefault="00045553" w:rsidP="00415E2E">
            <w:pPr>
              <w:spacing w:line="276" w:lineRule="auto"/>
              <w:ind w:right="-1"/>
              <w:jc w:val="center"/>
              <w:rPr>
                <w:rFonts w:ascii="HelveticaNeueLT Std" w:eastAsia="Times New Roman" w:hAnsi="HelveticaNeueLT Std"/>
              </w:rPr>
            </w:pPr>
            <w:r w:rsidRPr="00D77966">
              <w:rPr>
                <w:rFonts w:ascii="HelveticaNeueLT Std" w:eastAsia="Times New Roman" w:hAnsi="HelveticaNeueLT Std"/>
              </w:rPr>
              <w:t>3%</w:t>
            </w:r>
          </w:p>
          <w:p w14:paraId="240DC7B8" w14:textId="77777777" w:rsidR="00045553" w:rsidRPr="00D77966" w:rsidRDefault="00045553" w:rsidP="00415E2E">
            <w:pPr>
              <w:spacing w:line="276" w:lineRule="auto"/>
              <w:ind w:right="-1"/>
              <w:jc w:val="center"/>
              <w:rPr>
                <w:rFonts w:ascii="HelveticaNeueLT Std" w:eastAsia="Times New Roman" w:hAnsi="HelveticaNeueLT Std"/>
              </w:rPr>
            </w:pPr>
            <w:r w:rsidRPr="00D77966">
              <w:rPr>
                <w:rFonts w:ascii="HelveticaNeueLT Std" w:eastAsia="Times New Roman" w:hAnsi="HelveticaNeueLT Std"/>
              </w:rPr>
              <w:t>10%</w:t>
            </w:r>
          </w:p>
          <w:p w14:paraId="3FB39238" w14:textId="77777777" w:rsidR="00045553" w:rsidRPr="00D77966" w:rsidRDefault="00045553" w:rsidP="00415E2E">
            <w:pPr>
              <w:spacing w:line="276" w:lineRule="auto"/>
              <w:ind w:right="-1"/>
              <w:jc w:val="center"/>
              <w:rPr>
                <w:rFonts w:ascii="HelveticaNeueLT Std" w:eastAsia="Times New Roman" w:hAnsi="HelveticaNeueLT Std"/>
              </w:rPr>
            </w:pPr>
            <w:r w:rsidRPr="00D77966">
              <w:rPr>
                <w:rFonts w:ascii="HelveticaNeueLT Std" w:eastAsia="Times New Roman" w:hAnsi="HelveticaNeueLT Std"/>
              </w:rPr>
              <w:t>10%</w:t>
            </w:r>
          </w:p>
        </w:tc>
      </w:tr>
    </w:tbl>
    <w:p w14:paraId="1D9626F2" w14:textId="77777777" w:rsidR="00045553" w:rsidRPr="00D77966" w:rsidRDefault="00045553" w:rsidP="00045553">
      <w:pPr>
        <w:tabs>
          <w:tab w:val="left" w:pos="1803"/>
        </w:tabs>
        <w:spacing w:after="101" w:line="276" w:lineRule="auto"/>
        <w:ind w:right="-1"/>
        <w:jc w:val="both"/>
        <w:rPr>
          <w:rFonts w:eastAsia="Times New Roman" w:cs="Arial"/>
          <w:b/>
          <w:lang w:eastAsia="es-ES"/>
        </w:rPr>
      </w:pPr>
    </w:p>
    <w:p w14:paraId="2460E4A3" w14:textId="77777777" w:rsidR="00045553" w:rsidRPr="00D77966" w:rsidRDefault="00045553" w:rsidP="00045553">
      <w:pPr>
        <w:tabs>
          <w:tab w:val="left" w:pos="1803"/>
        </w:tabs>
        <w:spacing w:after="101" w:line="276" w:lineRule="auto"/>
        <w:ind w:right="-1"/>
        <w:jc w:val="both"/>
        <w:rPr>
          <w:rFonts w:eastAsia="Times New Roman" w:cs="Arial"/>
          <w:b/>
          <w:lang w:eastAsia="es-ES"/>
        </w:rPr>
      </w:pPr>
    </w:p>
    <w:p w14:paraId="34300912" w14:textId="77777777" w:rsidR="00045553" w:rsidRPr="00D77966" w:rsidRDefault="00045553" w:rsidP="00045553">
      <w:pPr>
        <w:tabs>
          <w:tab w:val="left" w:pos="1803"/>
        </w:tabs>
        <w:spacing w:after="101" w:line="276" w:lineRule="auto"/>
        <w:ind w:right="-1"/>
        <w:jc w:val="both"/>
        <w:rPr>
          <w:rFonts w:eastAsia="Times New Roman" w:cs="Arial"/>
          <w:lang w:eastAsia="es-ES"/>
        </w:rPr>
      </w:pPr>
      <w:r w:rsidRPr="00D77966">
        <w:rPr>
          <w:rFonts w:eastAsia="Times New Roman" w:cs="Arial"/>
          <w:b/>
          <w:lang w:eastAsia="es-ES"/>
        </w:rPr>
        <w:t>Depreciación, Deterioro y Amortización Acumulada de Bienes</w:t>
      </w:r>
      <w:r w:rsidRPr="00D77966">
        <w:rPr>
          <w:rFonts w:eastAsia="Times New Roman" w:cs="Arial"/>
          <w:lang w:eastAsia="es-ES"/>
        </w:rPr>
        <w:t>. - El saldo de 142</w:t>
      </w:r>
      <w:proofErr w:type="gramStart"/>
      <w:r w:rsidRPr="00D77966">
        <w:rPr>
          <w:rFonts w:eastAsia="Times New Roman" w:cs="Arial"/>
          <w:lang w:eastAsia="es-ES"/>
        </w:rPr>
        <w:t>,870,584.83</w:t>
      </w:r>
      <w:proofErr w:type="gramEnd"/>
      <w:r w:rsidRPr="00D77966">
        <w:rPr>
          <w:rFonts w:eastAsia="Times New Roman" w:cs="Arial"/>
          <w:lang w:eastAsia="es-ES"/>
        </w:rPr>
        <w:t xml:space="preserve">  se integra con las siguientes cuentas, dando un total neto en el rubro de activo fijo de 166,428,350.15.</w:t>
      </w:r>
    </w:p>
    <w:p w14:paraId="31D8D8CC" w14:textId="77777777" w:rsidR="00045553" w:rsidRPr="00D77966" w:rsidRDefault="00045553" w:rsidP="00045553">
      <w:pPr>
        <w:spacing w:after="101" w:line="276" w:lineRule="auto"/>
        <w:ind w:right="-1"/>
        <w:jc w:val="both"/>
        <w:rPr>
          <w:rFonts w:eastAsia="Times New Roman" w:cs="Arial"/>
          <w:lang w:eastAsia="es-ES"/>
        </w:rPr>
      </w:pPr>
      <w:r w:rsidRPr="00D77966">
        <w:rPr>
          <w:rFonts w:eastAsia="Times New Roman" w:cs="Arial"/>
          <w:b/>
          <w:lang w:eastAsia="es-ES"/>
        </w:rPr>
        <w:lastRenderedPageBreak/>
        <w:t>Depreciación Acumulada de Bienes Inmuebles. -</w:t>
      </w:r>
      <w:r w:rsidRPr="00D77966">
        <w:rPr>
          <w:rFonts w:eastAsia="Times New Roman" w:cs="Arial"/>
          <w:lang w:eastAsia="es-ES"/>
        </w:rPr>
        <w:t xml:space="preserve"> El saldo </w:t>
      </w:r>
      <w:proofErr w:type="gramStart"/>
      <w:r w:rsidRPr="00D77966">
        <w:rPr>
          <w:rFonts w:eastAsia="Times New Roman" w:cs="Arial"/>
          <w:lang w:eastAsia="es-ES"/>
        </w:rPr>
        <w:t>de  11,031,530.61</w:t>
      </w:r>
      <w:proofErr w:type="gramEnd"/>
      <w:r w:rsidRPr="00D77966">
        <w:rPr>
          <w:rFonts w:eastAsia="Times New Roman" w:cs="Arial"/>
          <w:lang w:eastAsia="es-ES"/>
        </w:rPr>
        <w:t>, es el importe de la disminución a valores históricos de los bienes inmuebles del Instituto, el total neto en la cuenta de Edificios No Habitacionales es por 75,294,204.58.</w:t>
      </w:r>
    </w:p>
    <w:p w14:paraId="6701DB1B" w14:textId="77777777" w:rsidR="00045553" w:rsidRPr="00D77966" w:rsidRDefault="00045553" w:rsidP="00045553">
      <w:pPr>
        <w:spacing w:after="101" w:line="276" w:lineRule="auto"/>
        <w:ind w:right="-1"/>
        <w:jc w:val="both"/>
        <w:rPr>
          <w:rFonts w:eastAsia="Times New Roman" w:cs="Arial"/>
          <w:lang w:eastAsia="es-ES"/>
        </w:rPr>
      </w:pPr>
      <w:r w:rsidRPr="00D77966">
        <w:rPr>
          <w:rFonts w:eastAsia="Times New Roman" w:cs="Arial"/>
          <w:b/>
          <w:lang w:eastAsia="es-ES"/>
        </w:rPr>
        <w:t>Depreciación Acumulada de Bienes Muebles. -</w:t>
      </w:r>
      <w:r w:rsidRPr="00D77966">
        <w:rPr>
          <w:rFonts w:eastAsia="Times New Roman" w:cs="Arial"/>
          <w:lang w:eastAsia="es-ES"/>
        </w:rPr>
        <w:t xml:space="preserve"> El saldo de 131,839,054.22 es el importe de la disminución a valores históricos de los bienes muebles del Instituto, dando un total neto en este rubro por 88,340,936.57.</w:t>
      </w:r>
    </w:p>
    <w:p w14:paraId="4D3F8236" w14:textId="77777777" w:rsidR="00045553" w:rsidRPr="00D77966" w:rsidRDefault="00045553" w:rsidP="00045553">
      <w:pPr>
        <w:spacing w:after="101" w:line="276" w:lineRule="auto"/>
        <w:ind w:right="-1"/>
        <w:jc w:val="both"/>
        <w:rPr>
          <w:rFonts w:eastAsia="Times New Roman" w:cs="Arial"/>
          <w:lang w:eastAsia="es-ES"/>
        </w:rPr>
      </w:pPr>
    </w:p>
    <w:p w14:paraId="18731E92" w14:textId="77777777" w:rsidR="00045553" w:rsidRPr="00D77966" w:rsidRDefault="00045553" w:rsidP="00045553">
      <w:pPr>
        <w:numPr>
          <w:ilvl w:val="0"/>
          <w:numId w:val="3"/>
        </w:numPr>
        <w:spacing w:after="0" w:line="276" w:lineRule="auto"/>
        <w:ind w:left="851" w:right="-1"/>
        <w:contextualSpacing/>
        <w:rPr>
          <w:b/>
        </w:rPr>
      </w:pPr>
      <w:r w:rsidRPr="00D77966">
        <w:rPr>
          <w:b/>
        </w:rPr>
        <w:t>Fideicomisos, Mandatos y Análogos</w:t>
      </w:r>
    </w:p>
    <w:p w14:paraId="13688F6C" w14:textId="77777777" w:rsidR="00045553" w:rsidRPr="00D77966" w:rsidRDefault="00045553" w:rsidP="00045553">
      <w:pPr>
        <w:spacing w:after="0" w:line="276" w:lineRule="auto"/>
        <w:ind w:left="851" w:right="-1"/>
        <w:contextualSpacing/>
        <w:rPr>
          <w:b/>
        </w:rPr>
      </w:pPr>
    </w:p>
    <w:p w14:paraId="2D52E78B" w14:textId="77777777" w:rsidR="00045553" w:rsidRPr="00D77966" w:rsidRDefault="00045553" w:rsidP="00045553">
      <w:pPr>
        <w:numPr>
          <w:ilvl w:val="0"/>
          <w:numId w:val="4"/>
        </w:numPr>
        <w:spacing w:after="240" w:line="276" w:lineRule="auto"/>
        <w:ind w:right="-1"/>
        <w:jc w:val="both"/>
        <w:rPr>
          <w:rFonts w:cs="Arial"/>
        </w:rPr>
      </w:pPr>
      <w:r w:rsidRPr="00D77966">
        <w:rPr>
          <w:rFonts w:cs="Arial"/>
        </w:rPr>
        <w:t>El 12 de mayo de 2010 el Congreso del Estado de México aprobó el Decreto No. 79 (el “Decreto de Autorización”), mediante el cual se reformaron diversas disposiciones del Marco Jurídico Local (entre ellas el Código Financiero del Estado de México y Municipios) y se otorgó autorización al Instituto para: Constituir un fideicomiso; obtener financiamiento a través de dicho fideicomiso destinado a la modernización del Instituto y a Inversión Pública Productiva, traspasar los ingresos del Registro Público de la Propiedad (RPP) al fideicomiso; otorgar una garantía en relación a las obligaciones que el fideicomiso asuma; y que el fiduciario del fideicomiso contrate garantías financieras, con objeto de asegurar el pago de los financiamientos.</w:t>
      </w:r>
    </w:p>
    <w:p w14:paraId="60899A02" w14:textId="77777777" w:rsidR="00045553" w:rsidRPr="00D77966" w:rsidRDefault="00045553" w:rsidP="00045553">
      <w:pPr>
        <w:numPr>
          <w:ilvl w:val="0"/>
          <w:numId w:val="4"/>
        </w:numPr>
        <w:spacing w:after="240" w:line="276" w:lineRule="auto"/>
        <w:ind w:right="-1"/>
        <w:jc w:val="both"/>
        <w:rPr>
          <w:rFonts w:cs="Arial"/>
        </w:rPr>
      </w:pPr>
      <w:r w:rsidRPr="00D77966">
        <w:rPr>
          <w:rFonts w:cs="Arial"/>
        </w:rPr>
        <w:t>Con fecha 21 de junio de 2010, el Consejo Directivo del Instituto celebró una sesión en la cual, entre otros asuntos, autorizó la afectación de los ingresos del Instituto derivados de los servicios que preste en relación con el Registro Público de la Propiedad a un fideicomiso constituido conforme y sujeto a lo previsto en las fracciones XXXI y XXXII del artículo 3 y demás aplicables a la Ley de Creación y Decreto de Autorización.</w:t>
      </w:r>
    </w:p>
    <w:p w14:paraId="19E628C1" w14:textId="77777777" w:rsidR="00045553" w:rsidRPr="00D77966" w:rsidRDefault="00045553" w:rsidP="00045553">
      <w:pPr>
        <w:numPr>
          <w:ilvl w:val="0"/>
          <w:numId w:val="4"/>
        </w:numPr>
        <w:spacing w:after="240" w:line="276" w:lineRule="auto"/>
        <w:ind w:right="-1"/>
        <w:jc w:val="both"/>
        <w:rPr>
          <w:rFonts w:cs="Arial"/>
        </w:rPr>
      </w:pPr>
      <w:r w:rsidRPr="00D77966">
        <w:rPr>
          <w:rFonts w:cs="Arial"/>
        </w:rPr>
        <w:t>De conformidad con lo establecido en el párrafo (d) del Artículo Sexto del Decreto de Autorización, mediante oficio No. 203A-0615/2010 de fecha 16 de julio de 2010, la Secretaría de Finanzas del Estado autorizó al Instituto para determinar y acordar los términos y condiciones relacionados con el Contrato de Fideicomiso Irrevocable No. 80615 y la celebración del mismo.</w:t>
      </w:r>
    </w:p>
    <w:p w14:paraId="2DB6286A" w14:textId="77777777" w:rsidR="00045553" w:rsidRPr="00D77966" w:rsidRDefault="00045553" w:rsidP="00045553">
      <w:pPr>
        <w:numPr>
          <w:ilvl w:val="0"/>
          <w:numId w:val="4"/>
        </w:numPr>
        <w:spacing w:after="240" w:line="276" w:lineRule="auto"/>
        <w:ind w:right="-1"/>
        <w:jc w:val="both"/>
        <w:rPr>
          <w:rFonts w:cs="Arial"/>
        </w:rPr>
      </w:pPr>
      <w:r w:rsidRPr="00D77966">
        <w:rPr>
          <w:rFonts w:cs="Arial"/>
        </w:rPr>
        <w:t xml:space="preserve">Con fecha 29 de julio de 2010, el Instituto de la Función Registral del Estado de México (el Instituto), como Fideicomitente y Fideicomisario en cuarto lugar, constituyó el Fideicomiso Irrevocable número 80615 (el “Fideicomiso de Cobranza”) con Nacional Financiera, S.N.C., Institución de Banca de Desarrollo, Dirección Fiduciaria) como Fiduciario de Cobranza al cual transfiere irrevocablemente los ingresos del RPP, como “Fideicomisario en primer lugar y Emisora” Promotora de Infraestructura Registral, S.A. de C.V. SOFOM, E. N. R., Banco </w:t>
      </w:r>
      <w:proofErr w:type="spellStart"/>
      <w:r w:rsidRPr="00D77966">
        <w:rPr>
          <w:rFonts w:cs="Arial"/>
        </w:rPr>
        <w:t>Invex</w:t>
      </w:r>
      <w:proofErr w:type="spellEnd"/>
      <w:r w:rsidRPr="00D77966">
        <w:rPr>
          <w:rFonts w:cs="Arial"/>
        </w:rPr>
        <w:t xml:space="preserve">, S.A., Institución de Banca Múltiple </w:t>
      </w:r>
      <w:proofErr w:type="spellStart"/>
      <w:r w:rsidRPr="00D77966">
        <w:rPr>
          <w:rFonts w:cs="Arial"/>
        </w:rPr>
        <w:t>Invex</w:t>
      </w:r>
      <w:proofErr w:type="spellEnd"/>
      <w:r w:rsidRPr="00D77966">
        <w:rPr>
          <w:rFonts w:cs="Arial"/>
        </w:rPr>
        <w:t xml:space="preserve"> Grupo Financiero y Monex Casa de Bolsa, S.A. de C.V., como “Fiduciarios” representantes comunes de los tenedores de los Certificados Bursátiles Fiduciarios Series “A” y “B”.</w:t>
      </w:r>
    </w:p>
    <w:p w14:paraId="40393C1B" w14:textId="77777777" w:rsidR="00045553" w:rsidRPr="00D77966" w:rsidRDefault="00045553" w:rsidP="00045553">
      <w:pPr>
        <w:numPr>
          <w:ilvl w:val="0"/>
          <w:numId w:val="4"/>
        </w:numPr>
        <w:spacing w:line="276" w:lineRule="auto"/>
        <w:ind w:right="-1"/>
        <w:jc w:val="both"/>
        <w:rPr>
          <w:rFonts w:cs="Arial"/>
        </w:rPr>
      </w:pPr>
      <w:r w:rsidRPr="00D77966">
        <w:rPr>
          <w:rFonts w:cs="Arial"/>
        </w:rPr>
        <w:t xml:space="preserve">Adicionalmente el 9 de agosto de 2010, la SOFOM, como Fideicomitente, constituyó el Fideicomiso Irrevocable de Administración y Fuente de Pago número F/301051 (el “Fideicomiso de Pago”) con HSBC México, S.A., Institución de Banca Múltiple, Grupo Financiero HSBC, División Fiduciaria, como fiduciario (el “Fiduciario de Pago”), Nacional Financiera, S.N.C., Institución de Banca de Desarrollo, Dirección Fiduciaria, como Fideicomisario en segundo lugar, Monex Casa de Bolsa, S.A. de C.V., Monex Grupo </w:t>
      </w:r>
      <w:r w:rsidRPr="00D77966">
        <w:rPr>
          <w:rFonts w:cs="Arial"/>
        </w:rPr>
        <w:lastRenderedPageBreak/>
        <w:t xml:space="preserve">Financiero, como representante común de los tenedores de los Certificados Bursátiles y </w:t>
      </w:r>
      <w:proofErr w:type="spellStart"/>
      <w:r w:rsidRPr="00D77966">
        <w:rPr>
          <w:rFonts w:cs="Arial"/>
        </w:rPr>
        <w:t>The</w:t>
      </w:r>
      <w:proofErr w:type="spellEnd"/>
      <w:r w:rsidRPr="00D77966">
        <w:rPr>
          <w:rFonts w:cs="Arial"/>
        </w:rPr>
        <w:t xml:space="preserve"> Bank of New York Mellon, S.A., Institución de Banca Múltiple como mandatario del Garante “A” y del Garante “B”.</w:t>
      </w:r>
    </w:p>
    <w:p w14:paraId="6EC3AA3A" w14:textId="77777777" w:rsidR="00045553" w:rsidRPr="00D77966" w:rsidRDefault="00045553" w:rsidP="00045553">
      <w:pPr>
        <w:numPr>
          <w:ilvl w:val="0"/>
          <w:numId w:val="4"/>
        </w:numPr>
        <w:spacing w:after="0"/>
        <w:contextualSpacing/>
        <w:jc w:val="both"/>
        <w:rPr>
          <w:rFonts w:eastAsia="Times New Roman" w:cs="Arial"/>
          <w:lang w:eastAsia="es-MX"/>
        </w:rPr>
      </w:pPr>
      <w:r w:rsidRPr="00D77966">
        <w:rPr>
          <w:rFonts w:eastAsia="Times New Roman" w:cs="Arial"/>
          <w:lang w:eastAsia="es-MX"/>
        </w:rPr>
        <w:t>El 23 de agosto de 2010 el Estado de México, el Instituto y Promotora de Infraestructura Registral, S.A. de C.V. SOFOM, E.N.R., celebran un Convenio Global Estabilizador, en virtud del cual el Estado y el Instituto asumen una serie de obligaciones de hacer y no hacer frente a la Emisora, así como compromisos de indemnización por el incumplimiento de dichas obligaciones.</w:t>
      </w:r>
    </w:p>
    <w:p w14:paraId="63666BC7" w14:textId="77777777" w:rsidR="00045553" w:rsidRPr="00D77966" w:rsidRDefault="00045553" w:rsidP="00045553">
      <w:pPr>
        <w:spacing w:after="0"/>
        <w:ind w:left="786"/>
        <w:contextualSpacing/>
        <w:rPr>
          <w:rFonts w:eastAsia="Times New Roman" w:cs="Arial"/>
          <w:lang w:eastAsia="es-MX"/>
        </w:rPr>
      </w:pPr>
    </w:p>
    <w:p w14:paraId="6B41A31B" w14:textId="77777777" w:rsidR="00045553" w:rsidRPr="00D77966" w:rsidRDefault="00045553" w:rsidP="00045553">
      <w:pPr>
        <w:numPr>
          <w:ilvl w:val="0"/>
          <w:numId w:val="4"/>
        </w:numPr>
        <w:spacing w:line="276" w:lineRule="auto"/>
        <w:ind w:right="-1"/>
        <w:jc w:val="both"/>
        <w:rPr>
          <w:rFonts w:cs="Arial"/>
        </w:rPr>
      </w:pPr>
      <w:r w:rsidRPr="00D77966">
        <w:rPr>
          <w:rFonts w:cs="Arial"/>
        </w:rPr>
        <w:t xml:space="preserve">Con esta misma fecha de conformidad con los artículos 61 a 64 de la Ley del Mercado de Valores, la Emisora Promotora de Infraestructura Registral, S.A. de C.V. SOFOM., E.N.R., emitió, ofreció y colocó, de forma privada, certificados bursátiles fiduciarios serie (i) “A” por un monto de 2 mil 765 millones de pesos, con una tasa de interés anual igual a la suma del U.S. </w:t>
      </w:r>
      <w:proofErr w:type="spellStart"/>
      <w:r w:rsidRPr="00D77966">
        <w:rPr>
          <w:rFonts w:cs="Arial"/>
        </w:rPr>
        <w:t>Treasury</w:t>
      </w:r>
      <w:proofErr w:type="spellEnd"/>
      <w:r w:rsidRPr="00D77966">
        <w:rPr>
          <w:rFonts w:cs="Arial"/>
        </w:rPr>
        <w:t xml:space="preserve"> </w:t>
      </w:r>
      <w:proofErr w:type="spellStart"/>
      <w:r w:rsidRPr="00D77966">
        <w:rPr>
          <w:rFonts w:cs="Arial"/>
        </w:rPr>
        <w:t>Cost</w:t>
      </w:r>
      <w:proofErr w:type="spellEnd"/>
      <w:r w:rsidRPr="00D77966">
        <w:rPr>
          <w:rFonts w:cs="Arial"/>
        </w:rPr>
        <w:t>, más 3.5 por ciento, y (ii) “B” por un monto de 1 mil 300 millones de pesos, con una tasa de interés anual igual al resultado de multiplicar 1.10 por la tasa moratoria que se establece en el Macrotítulo de los Certificados Bursátiles Fiduciarios Serie “B”, y se encuentran respaldados por los remanentes del Fideicomiso de Cobranza.</w:t>
      </w:r>
    </w:p>
    <w:p w14:paraId="501B3FA3" w14:textId="77777777" w:rsidR="00045553" w:rsidRPr="00D77966" w:rsidRDefault="00045553" w:rsidP="00045553">
      <w:pPr>
        <w:numPr>
          <w:ilvl w:val="0"/>
          <w:numId w:val="4"/>
        </w:numPr>
        <w:spacing w:line="276" w:lineRule="auto"/>
        <w:ind w:right="-1"/>
        <w:jc w:val="both"/>
        <w:rPr>
          <w:rFonts w:cs="Arial"/>
        </w:rPr>
      </w:pPr>
      <w:r w:rsidRPr="00D77966">
        <w:rPr>
          <w:rFonts w:cs="Arial"/>
        </w:rPr>
        <w:t>Las emisiones estarán denominadas en su totalidad en pesos, tendrán un plazo de 20 años y realizarán pagos semestrales de intereses y capital, con tasa de interés fija y amortizaciones programadas crecientes. La fuente de pago de las emisiones serán los certificados bursátiles fiduciarios (CBFS) que van a ser adquiridos por la emisora, que a su vez estarán respaldados por el 100 por ciento de los ingresos del Instituto de la Función Registral del Estado de México (el Instituto), derivados de la recaudación de derechos por la prestación de los servicios consistentes en llevar a cabo la función del Registro Público de la Propiedad (Ingresos RPP).</w:t>
      </w:r>
    </w:p>
    <w:p w14:paraId="406541BB" w14:textId="77777777" w:rsidR="00045553" w:rsidRPr="00D77966" w:rsidRDefault="00045553" w:rsidP="00045553">
      <w:pPr>
        <w:numPr>
          <w:ilvl w:val="0"/>
          <w:numId w:val="4"/>
        </w:numPr>
        <w:spacing w:after="240" w:line="276" w:lineRule="auto"/>
        <w:ind w:right="-1"/>
        <w:jc w:val="both"/>
        <w:rPr>
          <w:rFonts w:cs="Arial"/>
        </w:rPr>
      </w:pPr>
      <w:r w:rsidRPr="00D77966">
        <w:rPr>
          <w:rFonts w:cs="Arial"/>
        </w:rPr>
        <w:t xml:space="preserve">Adicionalmente los CBFS Serie A contarán con una garantía financiera de </w:t>
      </w:r>
      <w:proofErr w:type="spellStart"/>
      <w:r w:rsidRPr="00D77966">
        <w:rPr>
          <w:rFonts w:cs="Arial"/>
        </w:rPr>
        <w:t>Overseas</w:t>
      </w:r>
      <w:proofErr w:type="spellEnd"/>
      <w:r w:rsidRPr="00D77966">
        <w:rPr>
          <w:rFonts w:cs="Arial"/>
        </w:rPr>
        <w:t xml:space="preserve"> </w:t>
      </w:r>
      <w:proofErr w:type="spellStart"/>
      <w:r w:rsidRPr="00D77966">
        <w:rPr>
          <w:rFonts w:cs="Arial"/>
        </w:rPr>
        <w:t>Private</w:t>
      </w:r>
      <w:proofErr w:type="spellEnd"/>
      <w:r w:rsidRPr="00D77966">
        <w:rPr>
          <w:rFonts w:cs="Arial"/>
        </w:rPr>
        <w:t xml:space="preserve"> </w:t>
      </w:r>
      <w:proofErr w:type="spellStart"/>
      <w:r w:rsidRPr="00D77966">
        <w:rPr>
          <w:rFonts w:cs="Arial"/>
        </w:rPr>
        <w:t>Investment</w:t>
      </w:r>
      <w:proofErr w:type="spellEnd"/>
      <w:r w:rsidRPr="00D77966">
        <w:rPr>
          <w:rFonts w:cs="Arial"/>
        </w:rPr>
        <w:t xml:space="preserve"> </w:t>
      </w:r>
      <w:proofErr w:type="spellStart"/>
      <w:r w:rsidRPr="00D77966">
        <w:rPr>
          <w:rFonts w:cs="Arial"/>
        </w:rPr>
        <w:t>Corporation</w:t>
      </w:r>
      <w:proofErr w:type="spellEnd"/>
      <w:r w:rsidRPr="00D77966">
        <w:rPr>
          <w:rFonts w:cs="Arial"/>
        </w:rPr>
        <w:t xml:space="preserve"> (OPIC) por US $250 millones de dólares (MDD) de principal más los intereses asociados; mientras que los CBFS Serie B tendrán una garantía financiera de Corporación Andina de Fomento (CAF) por el 30 por ciento del saldo insoluto.</w:t>
      </w:r>
    </w:p>
    <w:p w14:paraId="079783E5" w14:textId="77777777" w:rsidR="00045553" w:rsidRPr="00D77966" w:rsidRDefault="00045553" w:rsidP="00045553">
      <w:pPr>
        <w:numPr>
          <w:ilvl w:val="0"/>
          <w:numId w:val="4"/>
        </w:numPr>
        <w:spacing w:line="259" w:lineRule="auto"/>
        <w:ind w:right="-1"/>
        <w:jc w:val="both"/>
        <w:rPr>
          <w:rFonts w:cs="Arial"/>
        </w:rPr>
      </w:pPr>
      <w:r w:rsidRPr="00D77966">
        <w:rPr>
          <w:rFonts w:cs="Arial"/>
        </w:rPr>
        <w:t>En Sesión Ordinaria del Consejo Directivo de fecha 21 de febrero de 2011, el Instituto presentó propuesta para aprobar previa autorización de la Secretaría de Finanzas del Gobierno del Estado de México, conforme a lo establecido en el Decreto número 79, aprobado por la H. “LVII” Legislatura del Estado y publicado en la “Gaceta del Gobierno” el 12 de mayo de 2010, se celebró y se obligó conforme a los contratos y demás instrumentos que resultaron necesarios o convenientes, la emisión y suscripción de los Certificados Bursátiles Fiduciarios Subordinados (Serie “C”), equivalente a 650,901.5 miles de UDIS. A la fecha de la emisión, dichas UDIS representaron un importe de 3 mil millones 11.2 miles de pesos; tendrá un plazo de 20 años y realizarán pagos semestrales de interés y capital, con tasa de interés fija. La cobranza y garantía de los mismos, incluyendo de forma enunciativa, más no limitativa, los contratos de garantía y compra venta con los adquirentes de los Certificados Bursátiles Fiduciarios Subordinados (Serie “C”), pudiendo asumir obligaciones en beneficio de dichos adquirentes, tales como el pago de comisiones y la creación y mantenimiento de fondos de reserva o cualesquiera otros mecanismos similares, y los demás contratos y documentos relacionados a la operación antes mencionada a la fecha.</w:t>
      </w:r>
    </w:p>
    <w:p w14:paraId="5AAB9D50" w14:textId="77777777" w:rsidR="00045553" w:rsidRPr="00D77966" w:rsidRDefault="00045553" w:rsidP="00045553">
      <w:pPr>
        <w:numPr>
          <w:ilvl w:val="0"/>
          <w:numId w:val="4"/>
        </w:numPr>
        <w:spacing w:line="276" w:lineRule="auto"/>
        <w:ind w:right="-1"/>
        <w:jc w:val="both"/>
        <w:rPr>
          <w:rFonts w:cs="Arial"/>
        </w:rPr>
      </w:pPr>
      <w:r w:rsidRPr="00D77966">
        <w:rPr>
          <w:rFonts w:cs="Arial"/>
        </w:rPr>
        <w:lastRenderedPageBreak/>
        <w:t>En el caso específico del Fideicomiso de Cobranza No. 80615 el Fideicomitente es el Instituto y el Fideicomisario la SOFOM, por lo tanto, de conformidad con lo establecido en el Artículo 265 B Bis del Código Financiero del Estado de México y Municipios y en el Artículo 7 de la Ley para la Coordinación y Control de Organismos Auxiliares del Estado de México, no se trata de un fideicomiso público.</w:t>
      </w:r>
    </w:p>
    <w:p w14:paraId="04BEFDF4" w14:textId="77777777" w:rsidR="00045553" w:rsidRPr="00D77966" w:rsidRDefault="00045553" w:rsidP="00045553">
      <w:pPr>
        <w:numPr>
          <w:ilvl w:val="0"/>
          <w:numId w:val="4"/>
        </w:numPr>
        <w:spacing w:line="276" w:lineRule="auto"/>
        <w:ind w:right="-1"/>
        <w:jc w:val="both"/>
        <w:rPr>
          <w:rFonts w:cs="Arial"/>
        </w:rPr>
      </w:pPr>
      <w:r w:rsidRPr="00D77966">
        <w:rPr>
          <w:rFonts w:cs="Arial"/>
        </w:rPr>
        <w:t>Por lo anterior, desde el ejercicio de 2010, se definió que el Fideicomiso de Cobranza se reconociera en el Instituto, de acuerdo al Manual Único de Contabilidad Gubernamental para las Dependencias y Entidades Públicas del Gobierno y Municipios del Estado de México, en cumplimiento con los lineamientos de la Guía Contabilizadora del Gobierno del Estado de México.</w:t>
      </w:r>
    </w:p>
    <w:p w14:paraId="4CD17D6D" w14:textId="3190E97A" w:rsidR="00045553" w:rsidRPr="00F62DC9" w:rsidRDefault="00045553" w:rsidP="00CE12AF">
      <w:pPr>
        <w:numPr>
          <w:ilvl w:val="0"/>
          <w:numId w:val="4"/>
        </w:numPr>
        <w:spacing w:line="259" w:lineRule="auto"/>
        <w:ind w:right="-1"/>
        <w:jc w:val="both"/>
        <w:rPr>
          <w:rFonts w:cs="Arial"/>
        </w:rPr>
      </w:pPr>
      <w:r w:rsidRPr="00F62DC9">
        <w:rPr>
          <w:rFonts w:cs="Arial"/>
        </w:rPr>
        <w:t>El día 30 de noviembre de 2015 Promotora de Infraestructura Registral II, S.A. de C.V., SOFOM E.R. (antes Promotora de Infraestructura Registral, S.A. de C.V.), fue inscrita en el registro de prestadores de servicios financieros (SIPRES) que mantiene la Comisión Nacional para la Protección y Defensa de los Usuarios de Servicios Financieros (CONDUSEF) como Sociedad Financiera de Objeto Múltiple Regulada, en términos del segundo párrafo del artículo 87-b de la Ley General de Organizaciones y Actividades Auxiliares del Crédito.</w:t>
      </w:r>
    </w:p>
    <w:p w14:paraId="1BC5AC85" w14:textId="77777777" w:rsidR="00045553" w:rsidRPr="00D77966" w:rsidRDefault="00045553" w:rsidP="00045553">
      <w:pPr>
        <w:numPr>
          <w:ilvl w:val="0"/>
          <w:numId w:val="3"/>
        </w:numPr>
        <w:spacing w:after="0" w:line="276" w:lineRule="auto"/>
        <w:ind w:left="851" w:right="-1"/>
        <w:contextualSpacing/>
        <w:rPr>
          <w:rFonts w:cs="Arial"/>
        </w:rPr>
      </w:pPr>
      <w:r w:rsidRPr="00D77966">
        <w:rPr>
          <w:b/>
        </w:rPr>
        <w:t>Reporte de la Recaudación</w:t>
      </w:r>
    </w:p>
    <w:p w14:paraId="09782FB4" w14:textId="77777777" w:rsidR="00045553" w:rsidRPr="00D77966" w:rsidRDefault="00045553" w:rsidP="00045553">
      <w:pPr>
        <w:spacing w:after="0" w:line="240" w:lineRule="auto"/>
        <w:jc w:val="center"/>
        <w:rPr>
          <w:rFonts w:eastAsia="Times New Roman"/>
          <w:lang w:eastAsia="es-ES"/>
        </w:rPr>
      </w:pPr>
    </w:p>
    <w:p w14:paraId="62CAC782" w14:textId="77777777" w:rsidR="00045553" w:rsidRPr="00D77966" w:rsidRDefault="00045553" w:rsidP="00045553">
      <w:pPr>
        <w:pStyle w:val="Sinespaciado"/>
        <w:jc w:val="both"/>
        <w:rPr>
          <w:rFonts w:ascii="Helvetica" w:hAnsi="Helvetica"/>
        </w:rPr>
      </w:pPr>
      <w:r w:rsidRPr="00D77966">
        <w:rPr>
          <w:noProof/>
          <w:lang w:eastAsia="es-MX"/>
        </w:rPr>
        <w:drawing>
          <wp:inline distT="0" distB="0" distL="0" distR="0" wp14:anchorId="798ED0AB" wp14:editId="1C767794">
            <wp:extent cx="6306300" cy="416732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15803" cy="4173601"/>
                    </a:xfrm>
                    <a:prstGeom prst="rect">
                      <a:avLst/>
                    </a:prstGeom>
                    <a:noFill/>
                    <a:ln>
                      <a:noFill/>
                    </a:ln>
                  </pic:spPr>
                </pic:pic>
              </a:graphicData>
            </a:graphic>
          </wp:inline>
        </w:drawing>
      </w:r>
    </w:p>
    <w:p w14:paraId="1854AC22" w14:textId="77777777" w:rsidR="00045553" w:rsidRPr="00D77966" w:rsidRDefault="00045553" w:rsidP="00045553">
      <w:pPr>
        <w:pStyle w:val="Sinespaciado"/>
        <w:jc w:val="both"/>
        <w:rPr>
          <w:rFonts w:cs="Arial"/>
          <w:b/>
        </w:rPr>
      </w:pPr>
    </w:p>
    <w:p w14:paraId="035C4908" w14:textId="39CC8279" w:rsidR="00045553" w:rsidRPr="00D77966" w:rsidRDefault="008049BC" w:rsidP="00045553">
      <w:pPr>
        <w:pStyle w:val="Sinespaciado"/>
        <w:jc w:val="both"/>
        <w:rPr>
          <w:rFonts w:cs="Arial"/>
          <w:b/>
        </w:rPr>
      </w:pPr>
      <w:r>
        <w:rPr>
          <w:rFonts w:cs="Arial"/>
          <w:b/>
        </w:rPr>
        <w:lastRenderedPageBreak/>
        <w:t>INGRESOS</w:t>
      </w:r>
    </w:p>
    <w:p w14:paraId="066A5F9F" w14:textId="77777777" w:rsidR="00045553" w:rsidRPr="00D77966" w:rsidRDefault="00045553" w:rsidP="00045553">
      <w:pPr>
        <w:pStyle w:val="Sinespaciado"/>
        <w:tabs>
          <w:tab w:val="left" w:pos="7560"/>
        </w:tabs>
        <w:jc w:val="both"/>
        <w:rPr>
          <w:rFonts w:ascii="Helvetica" w:hAnsi="Helvetica"/>
        </w:rPr>
      </w:pPr>
      <w:r w:rsidRPr="00D77966">
        <w:rPr>
          <w:rFonts w:ascii="Helvetica" w:hAnsi="Helvetica"/>
        </w:rPr>
        <w:tab/>
      </w:r>
    </w:p>
    <w:p w14:paraId="39E31494" w14:textId="77777777" w:rsidR="00045553" w:rsidRPr="00D77966" w:rsidRDefault="00045553" w:rsidP="00045553">
      <w:pPr>
        <w:pStyle w:val="Sinespaciado"/>
        <w:jc w:val="both"/>
        <w:rPr>
          <w:rFonts w:cs="Arial"/>
        </w:rPr>
      </w:pPr>
      <w:r w:rsidRPr="00D77966">
        <w:rPr>
          <w:rFonts w:cs="Arial"/>
        </w:rPr>
        <w:t xml:space="preserve">Inicialmente se previó recaudar en la Ley de Ingresos Estimada la cantidad de 2,398,812,320.00. Se dio una asignación en el Capítulo de Inversión Pública por 38,658,686.65 que corresponden al Programa Acciones para el Desarrollo (PAD), denominado “Regularización de Tenencia de la Tierra, provenientes del Gobierno del Estado de México (GEM), cuya fuente de financiamiento son recursos estatales, dando un total autorizado de 2,437,471,006.65.  Se han realizado ampliaciones por un total de 281,862,608.78 al presupuesto. El importe total recaudado al mes de marzo fue de 913,395,057.51, por lo que existe una variación del 66.4 por ciento con respecto al total autorizado anual. </w:t>
      </w:r>
    </w:p>
    <w:p w14:paraId="579945FC" w14:textId="77777777" w:rsidR="00045553" w:rsidRPr="00D77966" w:rsidRDefault="00045553" w:rsidP="00045553">
      <w:pPr>
        <w:pStyle w:val="Sinespaciado"/>
        <w:jc w:val="both"/>
        <w:rPr>
          <w:rFonts w:cs="Arial"/>
        </w:rPr>
      </w:pPr>
    </w:p>
    <w:p w14:paraId="2E1EB4AE" w14:textId="77777777" w:rsidR="00045553" w:rsidRPr="00D77966" w:rsidRDefault="00045553" w:rsidP="00045553">
      <w:pPr>
        <w:pStyle w:val="Sinespaciado"/>
        <w:jc w:val="both"/>
        <w:rPr>
          <w:rFonts w:cs="Arial"/>
        </w:rPr>
      </w:pPr>
    </w:p>
    <w:p w14:paraId="6B0652C5" w14:textId="698E2C8A" w:rsidR="00045553" w:rsidRPr="00D77966" w:rsidRDefault="008049BC" w:rsidP="00045553">
      <w:pPr>
        <w:pStyle w:val="Sinespaciado"/>
        <w:jc w:val="both"/>
        <w:rPr>
          <w:rFonts w:cs="Arial"/>
          <w:b/>
        </w:rPr>
      </w:pPr>
      <w:r>
        <w:rPr>
          <w:rFonts w:cs="Arial"/>
          <w:b/>
        </w:rPr>
        <w:t>INGRESOS DE GESTIÓN</w:t>
      </w:r>
    </w:p>
    <w:p w14:paraId="6CA24E6B" w14:textId="77777777" w:rsidR="00045553" w:rsidRPr="00D77966" w:rsidRDefault="00045553" w:rsidP="00045553">
      <w:pPr>
        <w:pStyle w:val="Sinespaciado"/>
        <w:jc w:val="both"/>
        <w:rPr>
          <w:rFonts w:cs="Arial"/>
        </w:rPr>
      </w:pPr>
    </w:p>
    <w:p w14:paraId="29A74CA5" w14:textId="77777777" w:rsidR="00045553" w:rsidRPr="00D77966" w:rsidRDefault="00045553" w:rsidP="00045553">
      <w:pPr>
        <w:pStyle w:val="Sinespaciado"/>
        <w:jc w:val="both"/>
        <w:rPr>
          <w:rFonts w:cs="Arial"/>
          <w:color w:val="C00000"/>
        </w:rPr>
      </w:pPr>
      <w:r w:rsidRPr="00D77966">
        <w:rPr>
          <w:rFonts w:cs="Arial"/>
        </w:rPr>
        <w:t>De acuerdo a lo señalado en la Ley de Ingresos para el ejercicio 2022, se previó recaudar ingresos por concepto de derechos del Registro Público de la Propiedad y Comercio un importe de 2,398,612,320.00. Se han realizado “traspasos internos” para dar suficiencia a otros ingresos.</w:t>
      </w:r>
    </w:p>
    <w:p w14:paraId="12340D77" w14:textId="77777777" w:rsidR="00045553" w:rsidRPr="00D77966" w:rsidRDefault="00045553" w:rsidP="00045553">
      <w:pPr>
        <w:pStyle w:val="Sinespaciado"/>
        <w:jc w:val="both"/>
        <w:rPr>
          <w:rFonts w:cs="Arial"/>
        </w:rPr>
      </w:pPr>
    </w:p>
    <w:p w14:paraId="71F5588E" w14:textId="77777777" w:rsidR="00045553" w:rsidRPr="00D77966" w:rsidRDefault="00045553" w:rsidP="00045553">
      <w:pPr>
        <w:pStyle w:val="Sinespaciado"/>
        <w:jc w:val="both"/>
        <w:rPr>
          <w:rFonts w:cs="Arial"/>
        </w:rPr>
      </w:pPr>
      <w:r w:rsidRPr="00D77966">
        <w:rPr>
          <w:rFonts w:cs="Arial"/>
        </w:rPr>
        <w:t xml:space="preserve">Se han recaudado por los derechos de los servicios que presta el Instituto 398,789,853.00, lo que representa el 81.1 por ciento menos respecto del autorizado anual. </w:t>
      </w:r>
    </w:p>
    <w:p w14:paraId="6C5346FB" w14:textId="77777777" w:rsidR="00045553" w:rsidRPr="00D77966" w:rsidRDefault="00045553" w:rsidP="00045553">
      <w:pPr>
        <w:pStyle w:val="Sinespaciado"/>
        <w:jc w:val="both"/>
        <w:rPr>
          <w:rFonts w:cs="Arial"/>
        </w:rPr>
      </w:pPr>
    </w:p>
    <w:p w14:paraId="51D6EDB7" w14:textId="1E0A9C2A" w:rsidR="00045553" w:rsidRPr="00D77966" w:rsidRDefault="00045553" w:rsidP="00045553">
      <w:pPr>
        <w:pStyle w:val="Sinespaciado"/>
        <w:jc w:val="both"/>
        <w:rPr>
          <w:rFonts w:cs="Arial"/>
          <w:b/>
        </w:rPr>
      </w:pPr>
      <w:r w:rsidRPr="00D77966">
        <w:rPr>
          <w:rFonts w:cs="Arial"/>
          <w:b/>
        </w:rPr>
        <w:t>PARTICIPACIONES, APORTACIONES, TRANSFERENCIAS, ASIGNAC</w:t>
      </w:r>
      <w:r w:rsidR="008049BC">
        <w:rPr>
          <w:rFonts w:cs="Arial"/>
          <w:b/>
        </w:rPr>
        <w:t>IONES, SUBSIDIOS Y OTRAS AYUDAS</w:t>
      </w:r>
    </w:p>
    <w:p w14:paraId="3D6A59ED" w14:textId="77777777" w:rsidR="00045553" w:rsidRPr="00D77966" w:rsidRDefault="00045553" w:rsidP="00045553">
      <w:pPr>
        <w:pStyle w:val="Sinespaciado"/>
        <w:jc w:val="both"/>
        <w:rPr>
          <w:rFonts w:cs="Arial"/>
          <w:color w:val="7030A0"/>
        </w:rPr>
      </w:pPr>
    </w:p>
    <w:p w14:paraId="3408A7C6" w14:textId="77777777" w:rsidR="00045553" w:rsidRPr="00D77966" w:rsidRDefault="00045553" w:rsidP="00045553">
      <w:pPr>
        <w:pStyle w:val="Sinespaciado"/>
        <w:jc w:val="both"/>
        <w:rPr>
          <w:rFonts w:cs="Arial"/>
        </w:rPr>
      </w:pPr>
      <w:r w:rsidRPr="00D77966">
        <w:rPr>
          <w:rFonts w:cs="Arial"/>
        </w:rPr>
        <w:t xml:space="preserve">Se autorizó la asignación presupuestal del proyecto denominado “Regularización de Tenencia de la Tierra” por 38,658,686.65, este importe se refleja en el rubro del Programa de Acciones para el Desarrollo (PAD) y se va recaudando con los depósitos que realiza mensualmente el GEM, que al mes de marzo son 6,185,389.86. </w:t>
      </w:r>
    </w:p>
    <w:p w14:paraId="4B192621" w14:textId="77777777" w:rsidR="00045553" w:rsidRPr="00D77966" w:rsidRDefault="00045553" w:rsidP="00045553">
      <w:pPr>
        <w:pStyle w:val="Sinespaciado"/>
        <w:jc w:val="both"/>
        <w:rPr>
          <w:rFonts w:cs="Arial"/>
          <w:b/>
        </w:rPr>
      </w:pPr>
    </w:p>
    <w:p w14:paraId="1ED8999B" w14:textId="11D684E3" w:rsidR="00045553" w:rsidRPr="00D77966" w:rsidRDefault="008049BC" w:rsidP="00045553">
      <w:pPr>
        <w:pStyle w:val="Sinespaciado"/>
        <w:jc w:val="both"/>
        <w:rPr>
          <w:rFonts w:cs="Arial"/>
          <w:b/>
        </w:rPr>
      </w:pPr>
      <w:r>
        <w:rPr>
          <w:rFonts w:cs="Arial"/>
          <w:b/>
        </w:rPr>
        <w:t>OTROS INGRESOS Y BENEFICIOS</w:t>
      </w:r>
    </w:p>
    <w:p w14:paraId="76898C13" w14:textId="77777777" w:rsidR="00045553" w:rsidRPr="00D77966" w:rsidRDefault="00045553" w:rsidP="00045553">
      <w:pPr>
        <w:pStyle w:val="Sinespaciado"/>
        <w:jc w:val="both"/>
        <w:rPr>
          <w:rFonts w:cs="Arial"/>
        </w:rPr>
      </w:pPr>
    </w:p>
    <w:p w14:paraId="15CF9AA8" w14:textId="77777777" w:rsidR="00045553" w:rsidRPr="00D77966" w:rsidRDefault="00045553" w:rsidP="00045553">
      <w:pPr>
        <w:pStyle w:val="Sinespaciado"/>
        <w:jc w:val="both"/>
        <w:rPr>
          <w:rFonts w:cs="Arial"/>
        </w:rPr>
      </w:pPr>
      <w:r w:rsidRPr="00D77966">
        <w:rPr>
          <w:rFonts w:cs="Arial"/>
        </w:rPr>
        <w:t>De acuerdo a lo señalado en la Ley de Ingresos para el ejercicio 2022, se previó recaudar ingresos por 59,030,000.00 Otros Ingresos y Beneficios Varios.</w:t>
      </w:r>
    </w:p>
    <w:p w14:paraId="586CEC48" w14:textId="77777777" w:rsidR="00045553" w:rsidRPr="00D77966" w:rsidRDefault="00045553" w:rsidP="00045553">
      <w:pPr>
        <w:pStyle w:val="Sinespaciado"/>
        <w:jc w:val="both"/>
        <w:rPr>
          <w:rFonts w:cs="Arial"/>
        </w:rPr>
      </w:pPr>
    </w:p>
    <w:p w14:paraId="65B16A69" w14:textId="77777777" w:rsidR="00045553" w:rsidRPr="00D77966" w:rsidRDefault="00045553" w:rsidP="00045553">
      <w:pPr>
        <w:pStyle w:val="Sinespaciado"/>
        <w:jc w:val="both"/>
        <w:rPr>
          <w:rFonts w:cs="Arial"/>
        </w:rPr>
      </w:pPr>
      <w:r w:rsidRPr="00D77966">
        <w:rPr>
          <w:rFonts w:cs="Arial"/>
        </w:rPr>
        <w:t>Se han realizado traspasos internos para dar suficiencia presupuestal a los otros ingresos y beneficios varios</w:t>
      </w:r>
    </w:p>
    <w:p w14:paraId="624C1955" w14:textId="77777777" w:rsidR="00045553" w:rsidRPr="00D77966" w:rsidRDefault="00045553" w:rsidP="00045553">
      <w:pPr>
        <w:pStyle w:val="Sinespaciado"/>
        <w:jc w:val="both"/>
        <w:rPr>
          <w:rFonts w:cs="Arial"/>
        </w:rPr>
      </w:pPr>
    </w:p>
    <w:p w14:paraId="1C74ADE5" w14:textId="77777777" w:rsidR="00045553" w:rsidRPr="00D77966" w:rsidRDefault="00045553" w:rsidP="00045553">
      <w:pPr>
        <w:pStyle w:val="Sinespaciado"/>
        <w:jc w:val="both"/>
        <w:rPr>
          <w:rFonts w:cs="Arial"/>
        </w:rPr>
      </w:pPr>
      <w:r w:rsidRPr="00D77966">
        <w:rPr>
          <w:rFonts w:cs="Arial"/>
          <w:b/>
        </w:rPr>
        <w:t>Otros Ingresos Financieros. -</w:t>
      </w:r>
      <w:r w:rsidRPr="00D77966">
        <w:rPr>
          <w:rFonts w:cs="Arial"/>
        </w:rPr>
        <w:t xml:space="preserve"> Se tiene recaudado la cantidad de 121,300,779.30, de los cuales 118,245,973.59 </w:t>
      </w:r>
      <w:r w:rsidRPr="00D77966">
        <w:t xml:space="preserve">corresponden a los ingresos del Fideicomiso de Cobranza para los pagos de intereses de los bonos correspondientes al ejercicio y 3,054,805.71 se derivan de rendimientos </w:t>
      </w:r>
      <w:r w:rsidRPr="00D77966">
        <w:rPr>
          <w:rFonts w:cs="Arial"/>
        </w:rPr>
        <w:t>por intereses financieros generados por las inversiones de las Instituciones Bancarias de este Instituto.</w:t>
      </w:r>
    </w:p>
    <w:p w14:paraId="433FDFC4" w14:textId="77777777" w:rsidR="00045553" w:rsidRPr="00D77966" w:rsidRDefault="00045553" w:rsidP="00045553">
      <w:pPr>
        <w:pStyle w:val="Sinespaciado"/>
        <w:jc w:val="both"/>
        <w:rPr>
          <w:rFonts w:cs="Arial"/>
        </w:rPr>
      </w:pPr>
    </w:p>
    <w:p w14:paraId="0478372D" w14:textId="77777777" w:rsidR="00045553" w:rsidRPr="00D77966" w:rsidRDefault="00045553" w:rsidP="00045553">
      <w:pPr>
        <w:pStyle w:val="Sinespaciado"/>
        <w:jc w:val="both"/>
        <w:rPr>
          <w:rFonts w:cs="Arial"/>
        </w:rPr>
      </w:pPr>
      <w:r w:rsidRPr="00D77966">
        <w:rPr>
          <w:rFonts w:cs="Arial"/>
          <w:b/>
        </w:rPr>
        <w:t xml:space="preserve">Otros Ingresos Diversos. - </w:t>
      </w:r>
      <w:r w:rsidRPr="00D77966">
        <w:rPr>
          <w:rFonts w:cs="Arial"/>
        </w:rPr>
        <w:t>Se registran en otros ingresos y beneficios varios recaudados por 172,119,035.45, los cuales se componen principalmente de la siguiente forma: 102,592,876.50</w:t>
      </w:r>
      <w:r w:rsidRPr="00D77966">
        <w:t xml:space="preserve"> para pagos de amortización de capital de las series “A” y “B” por la emisión de los Certificados Bursátiles Fiduciarios</w:t>
      </w:r>
      <w:r w:rsidRPr="00D77966">
        <w:rPr>
          <w:rFonts w:cs="Arial"/>
        </w:rPr>
        <w:t>; 66,862,608.78 de ingresos por disponibilidades presupuestarias, 20,882.98</w:t>
      </w:r>
      <w:r w:rsidRPr="00D77966">
        <w:t xml:space="preserve"> </w:t>
      </w:r>
      <w:r w:rsidRPr="00D77966">
        <w:rPr>
          <w:rFonts w:cs="Arial"/>
        </w:rPr>
        <w:t xml:space="preserve">de los intereses generados por las transferencias de los depósitos del Registro Público de Comercio (rendimientos de la remesa de ingresos por RPC). Asimismo, se han recaudado 2,642,667.19 de ingresos varios (depósitos no referenciados, llamadas no oficiales, reposición de credenciales, entre otros). </w:t>
      </w:r>
    </w:p>
    <w:p w14:paraId="12E96C14" w14:textId="77777777" w:rsidR="00045553" w:rsidRPr="00D77966" w:rsidRDefault="00045553" w:rsidP="00045553">
      <w:pPr>
        <w:spacing w:after="0" w:line="240" w:lineRule="auto"/>
        <w:jc w:val="both"/>
        <w:rPr>
          <w:rFonts w:cs="Arial"/>
          <w:b/>
        </w:rPr>
      </w:pPr>
    </w:p>
    <w:p w14:paraId="1FE3ED9F" w14:textId="77777777" w:rsidR="00045553" w:rsidRPr="00D77966" w:rsidRDefault="00045553" w:rsidP="00045553">
      <w:pPr>
        <w:spacing w:after="0" w:line="240" w:lineRule="auto"/>
        <w:jc w:val="both"/>
        <w:rPr>
          <w:rFonts w:eastAsia="Times New Roman" w:cs="Arial"/>
          <w:lang w:eastAsia="es-ES"/>
        </w:rPr>
      </w:pPr>
    </w:p>
    <w:p w14:paraId="061FA2A4" w14:textId="77777777" w:rsidR="00045553" w:rsidRPr="00D77966" w:rsidRDefault="00045553" w:rsidP="00045553">
      <w:pPr>
        <w:spacing w:after="0" w:line="240" w:lineRule="auto"/>
        <w:jc w:val="both"/>
        <w:rPr>
          <w:rFonts w:eastAsia="Times New Roman" w:cs="Arial"/>
          <w:lang w:eastAsia="es-ES"/>
        </w:rPr>
      </w:pPr>
    </w:p>
    <w:p w14:paraId="3E19B7EE" w14:textId="77777777" w:rsidR="00045553" w:rsidRPr="00D77966" w:rsidRDefault="00045553" w:rsidP="00045553">
      <w:pPr>
        <w:numPr>
          <w:ilvl w:val="0"/>
          <w:numId w:val="3"/>
        </w:numPr>
        <w:spacing w:after="0" w:line="276" w:lineRule="auto"/>
        <w:ind w:left="851" w:right="-1"/>
        <w:contextualSpacing/>
        <w:rPr>
          <w:b/>
        </w:rPr>
      </w:pPr>
      <w:r w:rsidRPr="00D77966">
        <w:rPr>
          <w:b/>
        </w:rPr>
        <w:t>Información sobre la Deuda y el Reporte Analítico de la Deuda</w:t>
      </w:r>
    </w:p>
    <w:p w14:paraId="7BB1FF39" w14:textId="77777777" w:rsidR="00045553" w:rsidRPr="00D77966" w:rsidRDefault="00045553" w:rsidP="00045553">
      <w:pPr>
        <w:spacing w:after="0" w:line="276" w:lineRule="auto"/>
        <w:ind w:left="851" w:right="-1"/>
        <w:contextualSpacing/>
        <w:rPr>
          <w:b/>
        </w:rPr>
      </w:pPr>
    </w:p>
    <w:p w14:paraId="76991EC5" w14:textId="77777777" w:rsidR="00045553" w:rsidRPr="00D77966" w:rsidRDefault="00045553" w:rsidP="00045553">
      <w:pPr>
        <w:spacing w:line="276" w:lineRule="auto"/>
        <w:ind w:right="-1"/>
        <w:jc w:val="both"/>
        <w:rPr>
          <w:rFonts w:cs="Arial"/>
        </w:rPr>
      </w:pPr>
      <w:r w:rsidRPr="00D77966">
        <w:rPr>
          <w:rFonts w:cs="Arial"/>
        </w:rPr>
        <w:t>Al mes actual el análisis de la deuda se integra de la siguiente manera:</w:t>
      </w:r>
    </w:p>
    <w:p w14:paraId="6B3E6F83" w14:textId="77777777" w:rsidR="00045553" w:rsidRPr="00D77966" w:rsidRDefault="00045553" w:rsidP="00045553">
      <w:pPr>
        <w:spacing w:after="0" w:line="276" w:lineRule="auto"/>
        <w:ind w:right="-1"/>
        <w:rPr>
          <w:rFonts w:cs="Arial"/>
        </w:rPr>
      </w:pPr>
      <w:r w:rsidRPr="00D77966">
        <w:rPr>
          <w:rFonts w:cs="Arial"/>
        </w:rPr>
        <w:t xml:space="preserve">Mensual: </w:t>
      </w:r>
    </w:p>
    <w:p w14:paraId="5548EFD9" w14:textId="77777777" w:rsidR="00045553" w:rsidRPr="00D77966" w:rsidRDefault="00045553" w:rsidP="00045553">
      <w:pPr>
        <w:spacing w:after="0" w:line="276" w:lineRule="auto"/>
        <w:ind w:right="-1"/>
        <w:rPr>
          <w:rFonts w:cs="Arial"/>
        </w:rPr>
      </w:pPr>
    </w:p>
    <w:p w14:paraId="6A262A07" w14:textId="77777777" w:rsidR="00045553" w:rsidRPr="00D77966" w:rsidRDefault="00045553" w:rsidP="00045553">
      <w:pPr>
        <w:spacing w:after="0" w:line="276" w:lineRule="auto"/>
        <w:ind w:right="-1"/>
        <w:rPr>
          <w:rFonts w:cs="Arial"/>
        </w:rPr>
      </w:pPr>
      <w:r w:rsidRPr="00D77966">
        <w:rPr>
          <w:noProof/>
          <w:lang w:eastAsia="es-MX"/>
        </w:rPr>
        <w:drawing>
          <wp:inline distT="0" distB="0" distL="0" distR="0" wp14:anchorId="43568BAA" wp14:editId="6A38D119">
            <wp:extent cx="6389370" cy="188630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89370" cy="1886309"/>
                    </a:xfrm>
                    <a:prstGeom prst="rect">
                      <a:avLst/>
                    </a:prstGeom>
                    <a:noFill/>
                    <a:ln>
                      <a:noFill/>
                    </a:ln>
                  </pic:spPr>
                </pic:pic>
              </a:graphicData>
            </a:graphic>
          </wp:inline>
        </w:drawing>
      </w:r>
    </w:p>
    <w:p w14:paraId="55273259" w14:textId="77777777" w:rsidR="00045553" w:rsidRPr="00D77966" w:rsidRDefault="00045553" w:rsidP="00045553">
      <w:pPr>
        <w:spacing w:after="0" w:line="276" w:lineRule="auto"/>
        <w:ind w:right="-1"/>
        <w:rPr>
          <w:rFonts w:cs="Arial"/>
        </w:rPr>
      </w:pPr>
    </w:p>
    <w:p w14:paraId="5BC35812" w14:textId="77777777" w:rsidR="00045553" w:rsidRPr="00D77966" w:rsidRDefault="00045553" w:rsidP="00045553">
      <w:pPr>
        <w:spacing w:after="0" w:line="240" w:lineRule="atLeast"/>
        <w:rPr>
          <w:rFonts w:cs="Arial"/>
        </w:rPr>
      </w:pPr>
      <w:r w:rsidRPr="00D77966">
        <w:rPr>
          <w:rFonts w:cs="Arial"/>
        </w:rPr>
        <w:t xml:space="preserve">Acumulada: </w:t>
      </w:r>
    </w:p>
    <w:p w14:paraId="70169F46" w14:textId="77777777" w:rsidR="00045553" w:rsidRPr="00D77966" w:rsidRDefault="00045553" w:rsidP="00045553">
      <w:pPr>
        <w:spacing w:after="0" w:line="240" w:lineRule="atLeast"/>
        <w:rPr>
          <w:rFonts w:cs="Arial"/>
        </w:rPr>
      </w:pPr>
    </w:p>
    <w:p w14:paraId="2EE9407C" w14:textId="77777777" w:rsidR="00045553" w:rsidRPr="00D77966" w:rsidRDefault="00045553" w:rsidP="00045553">
      <w:pPr>
        <w:spacing w:after="0" w:line="240" w:lineRule="atLeast"/>
        <w:rPr>
          <w:rFonts w:cs="Arial"/>
        </w:rPr>
      </w:pPr>
    </w:p>
    <w:p w14:paraId="455B98DB" w14:textId="77777777" w:rsidR="00045553" w:rsidRPr="00D77966" w:rsidRDefault="00045553" w:rsidP="00045553">
      <w:pPr>
        <w:spacing w:after="0" w:line="240" w:lineRule="atLeast"/>
        <w:rPr>
          <w:rFonts w:cs="Arial"/>
        </w:rPr>
      </w:pPr>
      <w:r w:rsidRPr="00D77966">
        <w:rPr>
          <w:rFonts w:cs="Arial"/>
          <w:noProof/>
          <w:lang w:eastAsia="es-MX"/>
        </w:rPr>
        <w:drawing>
          <wp:inline distT="0" distB="0" distL="0" distR="0" wp14:anchorId="20BA8BD8" wp14:editId="2F939631">
            <wp:extent cx="6389370" cy="19875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9370" cy="1987550"/>
                    </a:xfrm>
                    <a:prstGeom prst="rect">
                      <a:avLst/>
                    </a:prstGeom>
                    <a:noFill/>
                  </pic:spPr>
                </pic:pic>
              </a:graphicData>
            </a:graphic>
          </wp:inline>
        </w:drawing>
      </w:r>
    </w:p>
    <w:p w14:paraId="6603F228" w14:textId="77777777" w:rsidR="00045553" w:rsidRPr="00D77966" w:rsidRDefault="00045553" w:rsidP="00045553">
      <w:pPr>
        <w:spacing w:line="259" w:lineRule="auto"/>
        <w:rPr>
          <w:rFonts w:cs="Arial"/>
          <w:lang w:eastAsia="es-ES"/>
        </w:rPr>
      </w:pPr>
      <w:r w:rsidRPr="00D77966">
        <w:rPr>
          <w:rFonts w:cs="Arial"/>
          <w:lang w:eastAsia="es-ES"/>
        </w:rPr>
        <w:br w:type="page"/>
      </w:r>
    </w:p>
    <w:p w14:paraId="406DD840" w14:textId="77777777" w:rsidR="00045553" w:rsidRPr="00D77966" w:rsidRDefault="00045553" w:rsidP="00045553">
      <w:pPr>
        <w:spacing w:line="259" w:lineRule="auto"/>
        <w:rPr>
          <w:noProof/>
          <w:lang w:eastAsia="es-MX"/>
        </w:rPr>
      </w:pPr>
      <w:r w:rsidRPr="00D77966">
        <w:rPr>
          <w:rFonts w:cs="Arial"/>
          <w:lang w:eastAsia="es-ES"/>
        </w:rPr>
        <w:lastRenderedPageBreak/>
        <w:t>La operación del Fideicomiso de Cobranza se ha comportado de la siguiente forma:</w:t>
      </w:r>
      <w:r w:rsidRPr="00D77966">
        <w:rPr>
          <w:noProof/>
          <w:lang w:eastAsia="es-MX"/>
        </w:rPr>
        <w:t xml:space="preserve"> </w:t>
      </w:r>
    </w:p>
    <w:p w14:paraId="510DE26B" w14:textId="77777777" w:rsidR="00045553" w:rsidRPr="00D77966" w:rsidRDefault="00045553" w:rsidP="00045553">
      <w:pPr>
        <w:spacing w:line="259" w:lineRule="auto"/>
        <w:jc w:val="center"/>
        <w:rPr>
          <w:noProof/>
          <w:lang w:eastAsia="es-MX"/>
        </w:rPr>
      </w:pPr>
      <w:r w:rsidRPr="00D77966">
        <w:rPr>
          <w:noProof/>
          <w:lang w:eastAsia="es-MX"/>
        </w:rPr>
        <w:drawing>
          <wp:inline distT="0" distB="0" distL="0" distR="0" wp14:anchorId="4BF59C88" wp14:editId="2882F93B">
            <wp:extent cx="6389370" cy="3144779"/>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89370" cy="3144779"/>
                    </a:xfrm>
                    <a:prstGeom prst="rect">
                      <a:avLst/>
                    </a:prstGeom>
                    <a:noFill/>
                    <a:ln>
                      <a:noFill/>
                    </a:ln>
                  </pic:spPr>
                </pic:pic>
              </a:graphicData>
            </a:graphic>
          </wp:inline>
        </w:drawing>
      </w:r>
    </w:p>
    <w:p w14:paraId="1CB4148A" w14:textId="77777777" w:rsidR="00045553" w:rsidRPr="00D77966" w:rsidRDefault="00045553" w:rsidP="00045553">
      <w:pPr>
        <w:jc w:val="both"/>
        <w:rPr>
          <w:rFonts w:cs="Arial"/>
        </w:rPr>
      </w:pPr>
      <w:r w:rsidRPr="00D77966">
        <w:rPr>
          <w:rFonts w:cs="Arial"/>
        </w:rPr>
        <w:t xml:space="preserve">El saldo de la cuenta 2221 “Documentos Comerciales Por Pagar a Largo Plazo”, después de la proyección y con la reclasificación de la porción de largo a corto plazo es de: 5,423,995,129.63, que se componen de; los CBFS de la Serie “A” por 1,705,543,023.80 , para los CBFS de la Serie “B”, 801,882,796.00 y para los CBFS Subordinados de la Serie “C”, 2,916,569,309.83, cabe mencionar que esta última se contrató en Unidades de </w:t>
      </w:r>
      <w:r w:rsidRPr="0024379C">
        <w:rPr>
          <w:rFonts w:cs="Arial"/>
        </w:rPr>
        <w:t xml:space="preserve">Inversión (UDI), por lo tanto, el Saldo Capital es de: 428,571,568.87 UDI; para la Amortización de capital es de 16,950,267.60 UDI y para los intereses es de 13,077,147.16 UDI, de acuerdo </w:t>
      </w:r>
      <w:r w:rsidRPr="00D77966">
        <w:rPr>
          <w:rFonts w:cs="Arial"/>
        </w:rPr>
        <w:t>con la Tabla de Amortización, Crédito 9439 del Fideicomiso F/1426.</w:t>
      </w:r>
    </w:p>
    <w:p w14:paraId="4384BAAA" w14:textId="77777777" w:rsidR="00045553" w:rsidRPr="00D77966" w:rsidRDefault="00045553" w:rsidP="00045553">
      <w:pPr>
        <w:spacing w:line="259" w:lineRule="auto"/>
        <w:jc w:val="both"/>
        <w:rPr>
          <w:rFonts w:cs="Arial"/>
        </w:rPr>
      </w:pPr>
      <w:r w:rsidRPr="00D77966">
        <w:rPr>
          <w:rFonts w:eastAsia="Times New Roman" w:cs="Arial"/>
          <w:lang w:eastAsia="es-ES"/>
        </w:rPr>
        <w:t>A</w:t>
      </w:r>
      <w:r w:rsidRPr="00D77966">
        <w:rPr>
          <w:shd w:val="clear" w:color="auto" w:fill="FFFFFF"/>
        </w:rPr>
        <w:t xml:space="preserve">l inicio del ejercicio se realiza la reclasificación </w:t>
      </w:r>
      <w:r w:rsidRPr="00D77966">
        <w:rPr>
          <w:rFonts w:cs="Arial"/>
        </w:rPr>
        <w:t xml:space="preserve">de la porción a Corto Plazo de la Deuda a Largo Plazo para el pago de la amortización correspondiente al primer periodo del presente ejercicio de las emisiones de los CEBUR’S, revisable mensualmente debido a que en el mes de julio de cada ejercicio, cuando se recibe la programación de los pagos de los bonos procede la segunda reclasificación por el siguiente periodo. El presupuesto se afecta en el momento del pago, para efectos de que en el Sistema de Contabilidad Gubernamental se muestre el ejercido en ese momento contable y presupuestal. </w:t>
      </w:r>
    </w:p>
    <w:p w14:paraId="55F9DF01" w14:textId="77777777" w:rsidR="00045553" w:rsidRPr="00D77966" w:rsidRDefault="00045553" w:rsidP="00045553">
      <w:pPr>
        <w:spacing w:line="259" w:lineRule="auto"/>
        <w:jc w:val="both"/>
        <w:rPr>
          <w:rFonts w:cs="Arial"/>
        </w:rPr>
      </w:pPr>
      <w:r w:rsidRPr="00D77966">
        <w:rPr>
          <w:rFonts w:cs="Arial"/>
        </w:rPr>
        <w:t>Las fechas de vencimiento para este ejercicio fueron las siguientes:</w:t>
      </w:r>
    </w:p>
    <w:tbl>
      <w:tblPr>
        <w:tblStyle w:val="Tablaconcuadrcula211"/>
        <w:tblW w:w="0" w:type="auto"/>
        <w:jc w:val="center"/>
        <w:tblLook w:val="04A0" w:firstRow="1" w:lastRow="0" w:firstColumn="1" w:lastColumn="0" w:noHBand="0" w:noVBand="1"/>
      </w:tblPr>
      <w:tblGrid>
        <w:gridCol w:w="5880"/>
        <w:gridCol w:w="14"/>
        <w:gridCol w:w="2301"/>
      </w:tblGrid>
      <w:tr w:rsidR="00045553" w:rsidRPr="00D77966" w14:paraId="064DADD3" w14:textId="77777777" w:rsidTr="00415E2E">
        <w:trPr>
          <w:trHeight w:val="156"/>
          <w:jc w:val="center"/>
        </w:trPr>
        <w:tc>
          <w:tcPr>
            <w:tcW w:w="5880" w:type="dxa"/>
          </w:tcPr>
          <w:p w14:paraId="6DECFBA2" w14:textId="77777777" w:rsidR="00045553" w:rsidRPr="00D77966" w:rsidRDefault="00045553" w:rsidP="00415E2E">
            <w:pPr>
              <w:spacing w:line="259" w:lineRule="auto"/>
              <w:jc w:val="center"/>
              <w:rPr>
                <w:rFonts w:ascii="HelveticaNeueLT Std" w:eastAsia="Times New Roman" w:hAnsi="HelveticaNeueLT Std" w:cs="Arial"/>
                <w:lang w:eastAsia="es-ES"/>
              </w:rPr>
            </w:pPr>
            <w:r w:rsidRPr="00D77966">
              <w:rPr>
                <w:rFonts w:ascii="HelveticaNeueLT Std" w:hAnsi="HelveticaNeueLT Std" w:cs="Arial"/>
              </w:rPr>
              <w:br w:type="page"/>
            </w:r>
            <w:proofErr w:type="spellStart"/>
            <w:r w:rsidRPr="00D77966">
              <w:rPr>
                <w:rFonts w:ascii="HelveticaNeueLT Std" w:eastAsia="Arial" w:hAnsi="HelveticaNeueLT Std" w:cs="Arial"/>
                <w:b/>
                <w:lang w:val="en-US" w:eastAsia="en-US"/>
              </w:rPr>
              <w:t>Emisión</w:t>
            </w:r>
            <w:proofErr w:type="spellEnd"/>
          </w:p>
        </w:tc>
        <w:tc>
          <w:tcPr>
            <w:tcW w:w="2315" w:type="dxa"/>
            <w:gridSpan w:val="2"/>
          </w:tcPr>
          <w:p w14:paraId="377E60A0" w14:textId="77777777" w:rsidR="00045553" w:rsidRPr="00D77966" w:rsidRDefault="00045553" w:rsidP="00415E2E">
            <w:pPr>
              <w:spacing w:line="259" w:lineRule="auto"/>
              <w:jc w:val="center"/>
              <w:rPr>
                <w:rFonts w:ascii="HelveticaNeueLT Std" w:eastAsia="Times New Roman" w:hAnsi="HelveticaNeueLT Std" w:cs="Arial"/>
                <w:lang w:eastAsia="es-ES"/>
              </w:rPr>
            </w:pPr>
            <w:proofErr w:type="spellStart"/>
            <w:r w:rsidRPr="00D77966">
              <w:rPr>
                <w:rFonts w:ascii="HelveticaNeueLT Std" w:eastAsia="Arial" w:hAnsi="HelveticaNeueLT Std" w:cs="Arial"/>
                <w:b/>
                <w:lang w:val="en-US" w:eastAsia="en-US"/>
              </w:rPr>
              <w:t>Fecha</w:t>
            </w:r>
            <w:proofErr w:type="spellEnd"/>
            <w:r w:rsidRPr="00D77966">
              <w:rPr>
                <w:rFonts w:ascii="HelveticaNeueLT Std" w:eastAsia="Arial" w:hAnsi="HelveticaNeueLT Std" w:cs="Arial"/>
                <w:b/>
                <w:lang w:val="en-US" w:eastAsia="en-US"/>
              </w:rPr>
              <w:t xml:space="preserve"> </w:t>
            </w:r>
            <w:proofErr w:type="spellStart"/>
            <w:r w:rsidRPr="00D77966">
              <w:rPr>
                <w:rFonts w:ascii="HelveticaNeueLT Std" w:eastAsia="Arial" w:hAnsi="HelveticaNeueLT Std" w:cs="Arial"/>
                <w:b/>
                <w:w w:val="95"/>
                <w:lang w:val="en-US" w:eastAsia="en-US"/>
              </w:rPr>
              <w:t>vencimiento</w:t>
            </w:r>
            <w:proofErr w:type="spellEnd"/>
          </w:p>
        </w:tc>
      </w:tr>
      <w:tr w:rsidR="00045553" w:rsidRPr="00D77966" w14:paraId="046E06E0" w14:textId="77777777" w:rsidTr="00415E2E">
        <w:trPr>
          <w:trHeight w:val="258"/>
          <w:jc w:val="center"/>
        </w:trPr>
        <w:tc>
          <w:tcPr>
            <w:tcW w:w="5880" w:type="dxa"/>
            <w:vAlign w:val="center"/>
          </w:tcPr>
          <w:p w14:paraId="6D122701" w14:textId="77777777" w:rsidR="00045553" w:rsidRPr="00D77966" w:rsidRDefault="00045553" w:rsidP="00415E2E">
            <w:pPr>
              <w:spacing w:after="160" w:line="259" w:lineRule="auto"/>
              <w:jc w:val="both"/>
              <w:rPr>
                <w:rFonts w:ascii="HelveticaNeueLT Std" w:eastAsiaTheme="minorHAnsi" w:hAnsi="HelveticaNeueLT Std" w:cs="Arial"/>
                <w:lang w:eastAsia="en-US"/>
              </w:rPr>
            </w:pPr>
            <w:r w:rsidRPr="00D77966">
              <w:rPr>
                <w:rFonts w:ascii="HelveticaNeueLT Std" w:hAnsi="HelveticaNeueLT Std" w:cs="Arial"/>
              </w:rPr>
              <w:t xml:space="preserve">Certificados Bursátiles </w:t>
            </w:r>
            <w:proofErr w:type="spellStart"/>
            <w:r w:rsidRPr="00D77966">
              <w:rPr>
                <w:rFonts w:ascii="HelveticaNeueLT Std" w:hAnsi="HelveticaNeueLT Std" w:cs="Arial"/>
              </w:rPr>
              <w:t>FiduciariosPreferentes</w:t>
            </w:r>
            <w:proofErr w:type="spellEnd"/>
            <w:r w:rsidRPr="00D77966">
              <w:rPr>
                <w:rFonts w:ascii="HelveticaNeueLT Std" w:hAnsi="HelveticaNeueLT Std" w:cs="Arial"/>
              </w:rPr>
              <w:t xml:space="preserve"> Serie A y B</w:t>
            </w:r>
          </w:p>
        </w:tc>
        <w:tc>
          <w:tcPr>
            <w:tcW w:w="2315" w:type="dxa"/>
            <w:gridSpan w:val="2"/>
            <w:vAlign w:val="center"/>
          </w:tcPr>
          <w:p w14:paraId="6C6F49C5" w14:textId="77777777" w:rsidR="00045553" w:rsidRPr="00D77966" w:rsidRDefault="00045553" w:rsidP="00415E2E">
            <w:pPr>
              <w:spacing w:line="259" w:lineRule="auto"/>
              <w:jc w:val="both"/>
              <w:rPr>
                <w:rFonts w:ascii="HelveticaNeueLT Std" w:eastAsia="Times New Roman" w:hAnsi="HelveticaNeueLT Std" w:cs="Arial"/>
                <w:lang w:eastAsia="es-ES"/>
              </w:rPr>
            </w:pPr>
            <w:r w:rsidRPr="00D77966">
              <w:rPr>
                <w:rFonts w:ascii="HelveticaNeueLT Std" w:eastAsia="Arial" w:hAnsi="HelveticaNeueLT Std" w:cs="Arial"/>
                <w:lang w:val="en-US" w:eastAsia="en-US"/>
              </w:rPr>
              <w:t xml:space="preserve">28-feb-22 y </w:t>
            </w:r>
            <w:r w:rsidRPr="00D77966">
              <w:rPr>
                <w:rFonts w:ascii="HelveticaNeueLT Std" w:eastAsia="Arial" w:hAnsi="HelveticaNeueLT Std" w:cs="Arial"/>
                <w:w w:val="105"/>
                <w:lang w:val="en-US" w:eastAsia="en-US"/>
              </w:rPr>
              <w:t>28-ago-22</w:t>
            </w:r>
          </w:p>
        </w:tc>
      </w:tr>
      <w:tr w:rsidR="00045553" w:rsidRPr="00D77966" w14:paraId="43E278CB" w14:textId="77777777" w:rsidTr="00415E2E">
        <w:trPr>
          <w:trHeight w:val="182"/>
          <w:jc w:val="center"/>
        </w:trPr>
        <w:tc>
          <w:tcPr>
            <w:tcW w:w="5894" w:type="dxa"/>
            <w:gridSpan w:val="2"/>
            <w:vAlign w:val="center"/>
          </w:tcPr>
          <w:p w14:paraId="0C0A800B" w14:textId="77777777" w:rsidR="00045553" w:rsidRPr="00D77966" w:rsidRDefault="00045553" w:rsidP="00415E2E">
            <w:pPr>
              <w:spacing w:after="160" w:line="259" w:lineRule="auto"/>
              <w:jc w:val="both"/>
              <w:rPr>
                <w:rFonts w:ascii="HelveticaNeueLT Std" w:eastAsiaTheme="minorHAnsi" w:hAnsi="HelveticaNeueLT Std" w:cs="Arial"/>
                <w:lang w:eastAsia="en-US"/>
              </w:rPr>
            </w:pPr>
            <w:r w:rsidRPr="00D77966">
              <w:rPr>
                <w:rFonts w:ascii="HelveticaNeueLT Std" w:hAnsi="HelveticaNeueLT Std" w:cs="Arial"/>
              </w:rPr>
              <w:t>Certificados Bursátiles Fiduciarios Subordinados denominados en Unidades de Inversión</w:t>
            </w:r>
          </w:p>
        </w:tc>
        <w:tc>
          <w:tcPr>
            <w:tcW w:w="2301" w:type="dxa"/>
            <w:vAlign w:val="center"/>
          </w:tcPr>
          <w:p w14:paraId="09DED01C" w14:textId="77777777" w:rsidR="00045553" w:rsidRPr="00D77966" w:rsidRDefault="00045553" w:rsidP="00415E2E">
            <w:pPr>
              <w:spacing w:line="259" w:lineRule="auto"/>
              <w:ind w:left="708" w:hanging="708"/>
              <w:jc w:val="both"/>
              <w:rPr>
                <w:rFonts w:ascii="HelveticaNeueLT Std" w:eastAsia="Times New Roman" w:hAnsi="HelveticaNeueLT Std" w:cs="Arial"/>
                <w:lang w:eastAsia="es-ES"/>
              </w:rPr>
            </w:pPr>
            <w:r w:rsidRPr="00D77966">
              <w:rPr>
                <w:rFonts w:ascii="HelveticaNeueLT Std" w:eastAsia="Arial" w:hAnsi="HelveticaNeueLT Std" w:cs="Arial"/>
                <w:lang w:val="en-US" w:eastAsia="en-US"/>
              </w:rPr>
              <w:t>29-mar-22 y 28-sep-22</w:t>
            </w:r>
          </w:p>
        </w:tc>
      </w:tr>
    </w:tbl>
    <w:p w14:paraId="6240ED8B" w14:textId="77777777" w:rsidR="00045553" w:rsidRPr="00D77966" w:rsidRDefault="00045553" w:rsidP="00045553">
      <w:pPr>
        <w:spacing w:line="259" w:lineRule="auto"/>
        <w:rPr>
          <w:rFonts w:cs="Arial"/>
        </w:rPr>
      </w:pPr>
    </w:p>
    <w:p w14:paraId="5FDA605B" w14:textId="77777777" w:rsidR="00045553" w:rsidRPr="00D77966" w:rsidRDefault="00045553" w:rsidP="00045553">
      <w:pPr>
        <w:spacing w:line="259" w:lineRule="auto"/>
        <w:rPr>
          <w:rFonts w:cs="Arial"/>
        </w:rPr>
      </w:pPr>
      <w:r w:rsidRPr="00D77966">
        <w:rPr>
          <w:rFonts w:cs="Arial"/>
        </w:rPr>
        <w:lastRenderedPageBreak/>
        <w:t xml:space="preserve">Los pagos de intereses más la amortización de capital por los cupones programados se observan en el siguiente cuadro:  </w:t>
      </w:r>
    </w:p>
    <w:p w14:paraId="57AF7ADE" w14:textId="77777777" w:rsidR="00045553" w:rsidRPr="00D77966" w:rsidRDefault="00045553" w:rsidP="00F62DC9">
      <w:pPr>
        <w:spacing w:line="259" w:lineRule="auto"/>
        <w:jc w:val="center"/>
        <w:rPr>
          <w:rFonts w:cs="Arial"/>
        </w:rPr>
      </w:pPr>
      <w:r w:rsidRPr="00D77966">
        <w:rPr>
          <w:noProof/>
          <w:lang w:eastAsia="es-MX"/>
        </w:rPr>
        <w:drawing>
          <wp:inline distT="0" distB="0" distL="0" distR="0" wp14:anchorId="43A00E85" wp14:editId="2F02A0ED">
            <wp:extent cx="5328141" cy="1885916"/>
            <wp:effectExtent l="0" t="0" r="635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66941" cy="1899649"/>
                    </a:xfrm>
                    <a:prstGeom prst="rect">
                      <a:avLst/>
                    </a:prstGeom>
                    <a:noFill/>
                    <a:ln>
                      <a:noFill/>
                    </a:ln>
                  </pic:spPr>
                </pic:pic>
              </a:graphicData>
            </a:graphic>
          </wp:inline>
        </w:drawing>
      </w:r>
    </w:p>
    <w:p w14:paraId="41B9BFBA" w14:textId="77777777" w:rsidR="00045553" w:rsidRPr="00D77966" w:rsidRDefault="00045553" w:rsidP="00045553">
      <w:pPr>
        <w:spacing w:line="259" w:lineRule="auto"/>
        <w:jc w:val="both"/>
        <w:rPr>
          <w:rFonts w:cs="Arial"/>
        </w:rPr>
      </w:pPr>
      <w:r w:rsidRPr="00D77966">
        <w:rPr>
          <w:rFonts w:cs="Arial"/>
        </w:rPr>
        <w:t xml:space="preserve">Las transferencias al Gobierno del Estado de México de los remanentes así como al Fideicomiso de Cobranza, más los intereses generados, se destinan a la inversión productiva de acuerdo a lo establecido en el contrato irrevocable No. 80615 y se han llevado a cabo como sigue: </w:t>
      </w:r>
    </w:p>
    <w:p w14:paraId="3FF04B13" w14:textId="77777777" w:rsidR="00045553" w:rsidRPr="00D77966" w:rsidRDefault="00045553" w:rsidP="00045553">
      <w:pPr>
        <w:spacing w:line="259" w:lineRule="auto"/>
        <w:jc w:val="center"/>
        <w:rPr>
          <w:rFonts w:cs="Arial"/>
        </w:rPr>
      </w:pPr>
      <w:r w:rsidRPr="00D77966">
        <w:rPr>
          <w:noProof/>
          <w:lang w:eastAsia="es-MX"/>
        </w:rPr>
        <w:drawing>
          <wp:inline distT="0" distB="0" distL="0" distR="0" wp14:anchorId="09DD2880" wp14:editId="22C1CD85">
            <wp:extent cx="4300500" cy="2434581"/>
            <wp:effectExtent l="0" t="0" r="5080" b="4445"/>
            <wp:docPr id="518" name="Imagen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19111" cy="2445117"/>
                    </a:xfrm>
                    <a:prstGeom prst="rect">
                      <a:avLst/>
                    </a:prstGeom>
                    <a:noFill/>
                    <a:ln>
                      <a:noFill/>
                    </a:ln>
                  </pic:spPr>
                </pic:pic>
              </a:graphicData>
            </a:graphic>
          </wp:inline>
        </w:drawing>
      </w:r>
      <w:r w:rsidRPr="00D77966">
        <w:rPr>
          <w:rFonts w:cs="Arial"/>
        </w:rPr>
        <w:t xml:space="preserve"> |</w:t>
      </w:r>
    </w:p>
    <w:p w14:paraId="007CE0D0" w14:textId="03004CF5" w:rsidR="00F62DC9" w:rsidRDefault="00045553" w:rsidP="00045553">
      <w:pPr>
        <w:spacing w:line="240" w:lineRule="auto"/>
        <w:jc w:val="both"/>
        <w:rPr>
          <w:rFonts w:eastAsia="Times New Roman" w:cs="Times New Roman"/>
          <w:lang w:eastAsia="es-MX"/>
        </w:rPr>
      </w:pPr>
      <w:r w:rsidRPr="00D77966">
        <w:t>*Con relación a los remanentes correspondientes a la distribución 116 en el ejercicio 2020, por la cantidad de $289,495,051.69 y con fundamento en el artículo 265 B bis del Código Financiero del Estado de México de acuerdo con el oficio número 2075002A000000000-730/2020, de fecha 11 de noviembre de 2020, mediante el cual el Subsecretario de Tesorería del Gobierno del Estado de México y el Director General de Crédito, autorizan que los recursos transferidos por Nacional Financiera, S.N.C., por este concepto, fueran destinados para cubrir parte del déficit en el pago de las obligaciones financieras asumidas en el Contrato de Fideicomiso Irrevocable número F/1426, se informa que en el ejercicio 2020</w:t>
      </w:r>
      <w:r w:rsidRPr="00D77966">
        <w:rPr>
          <w:rFonts w:eastAsia="Times New Roman" w:cs="Times New Roman"/>
          <w:lang w:eastAsia="es-MX"/>
        </w:rPr>
        <w:t xml:space="preserve"> y en el </w:t>
      </w:r>
      <w:r w:rsidRPr="00D77966">
        <w:t xml:space="preserve">mes de marzo 2021, se transfirieron al fideicomiso, para complementar el pago de los Certificados Bursátiles Fiduciarios Serie Subordinada “C”. Cabe señalar que el total de Remanentes con sus productos, a la fecha han representado la cantidad de </w:t>
      </w:r>
      <w:r w:rsidRPr="00D77966">
        <w:rPr>
          <w:rFonts w:eastAsia="Times New Roman" w:cs="Times New Roman"/>
          <w:lang w:eastAsia="es-MX"/>
        </w:rPr>
        <w:t>2,456,808,754.29.</w:t>
      </w:r>
    </w:p>
    <w:p w14:paraId="3D950236" w14:textId="77777777" w:rsidR="00F62DC9" w:rsidRDefault="00F62DC9">
      <w:pPr>
        <w:spacing w:line="259" w:lineRule="auto"/>
        <w:rPr>
          <w:rFonts w:eastAsia="Times New Roman" w:cs="Times New Roman"/>
          <w:lang w:eastAsia="es-MX"/>
        </w:rPr>
      </w:pPr>
      <w:r>
        <w:rPr>
          <w:rFonts w:eastAsia="Times New Roman" w:cs="Times New Roman"/>
          <w:lang w:eastAsia="es-MX"/>
        </w:rPr>
        <w:br w:type="page"/>
      </w:r>
    </w:p>
    <w:p w14:paraId="51C934EC" w14:textId="77777777" w:rsidR="00045553" w:rsidRPr="00D77966" w:rsidRDefault="00045553" w:rsidP="00045553">
      <w:pPr>
        <w:numPr>
          <w:ilvl w:val="0"/>
          <w:numId w:val="3"/>
        </w:numPr>
        <w:spacing w:after="0" w:line="276" w:lineRule="auto"/>
        <w:ind w:left="851" w:right="-1"/>
        <w:contextualSpacing/>
        <w:rPr>
          <w:rFonts w:eastAsia="Times New Roman" w:cs="Times New Roman"/>
          <w:lang w:eastAsia="es-MX"/>
        </w:rPr>
      </w:pPr>
      <w:r w:rsidRPr="00D77966">
        <w:rPr>
          <w:b/>
        </w:rPr>
        <w:lastRenderedPageBreak/>
        <w:t>Calificaciones otorgadas</w:t>
      </w:r>
    </w:p>
    <w:p w14:paraId="2F0025C4" w14:textId="77777777" w:rsidR="00045553" w:rsidRPr="00D77966" w:rsidRDefault="00045553" w:rsidP="00045553">
      <w:pPr>
        <w:spacing w:before="240"/>
        <w:jc w:val="both"/>
      </w:pPr>
      <w:r w:rsidRPr="00D77966">
        <w:t>Las obligaciones contraídas en términos del Convenio Global Estabilizador, durante la vigencia de los Certificados Bursátiles, celebrar los contratos necesarios con 2 Agencias Calificadoras, con objeto de que se obtenga, por lo menos una vez cada año calendario, un reporte con una opinión sobre la calificación crediticia (México I. d., Contrato de Fideicomiso Irrevocable N° 80615, 2010, pág. 82), la cual, fue la siguiente:</w:t>
      </w:r>
    </w:p>
    <w:p w14:paraId="33B5A1F3" w14:textId="77777777" w:rsidR="00045553" w:rsidRPr="00D77966" w:rsidRDefault="00045553" w:rsidP="00335251">
      <w:pPr>
        <w:numPr>
          <w:ilvl w:val="0"/>
          <w:numId w:val="6"/>
        </w:numPr>
        <w:spacing w:before="240" w:line="252" w:lineRule="auto"/>
        <w:ind w:right="423"/>
        <w:contextualSpacing/>
        <w:jc w:val="both"/>
        <w:rPr>
          <w:i/>
        </w:rPr>
      </w:pPr>
      <w:r w:rsidRPr="00D77966">
        <w:rPr>
          <w:rFonts w:eastAsia="Times New Roman" w:cs="Times New Roman"/>
          <w:i/>
          <w:lang w:eastAsia="es-MX"/>
        </w:rPr>
        <w:t xml:space="preserve"> “</w:t>
      </w:r>
      <w:r w:rsidRPr="00D77966">
        <w:rPr>
          <w:i/>
        </w:rPr>
        <w:t>Fitch Ratifica la Calificación de IFREM</w:t>
      </w:r>
    </w:p>
    <w:p w14:paraId="5A12C7A2" w14:textId="77777777" w:rsidR="00045553" w:rsidRPr="00D77966" w:rsidRDefault="00045553" w:rsidP="00045553">
      <w:pPr>
        <w:spacing w:before="240" w:line="252" w:lineRule="auto"/>
        <w:ind w:right="423"/>
        <w:contextualSpacing/>
        <w:jc w:val="both"/>
        <w:rPr>
          <w:i/>
        </w:rPr>
      </w:pPr>
    </w:p>
    <w:p w14:paraId="1D818252" w14:textId="77777777" w:rsidR="00045553" w:rsidRPr="00D77966" w:rsidRDefault="00045553" w:rsidP="00045553">
      <w:pPr>
        <w:spacing w:line="276" w:lineRule="auto"/>
        <w:ind w:left="567" w:right="423"/>
        <w:contextualSpacing/>
        <w:jc w:val="both"/>
        <w:rPr>
          <w:i/>
        </w:rPr>
      </w:pPr>
      <w:r w:rsidRPr="00D77966">
        <w:rPr>
          <w:i/>
        </w:rPr>
        <w:t>Mie 27 de octubre de 2021-05:03 ET</w:t>
      </w:r>
    </w:p>
    <w:p w14:paraId="0C714FEB" w14:textId="77777777" w:rsidR="00045553" w:rsidRPr="00D77966" w:rsidRDefault="00045553" w:rsidP="00045553">
      <w:pPr>
        <w:spacing w:line="276" w:lineRule="auto"/>
        <w:ind w:left="567" w:right="423"/>
        <w:contextualSpacing/>
        <w:jc w:val="both"/>
        <w:rPr>
          <w:i/>
        </w:rPr>
      </w:pPr>
      <w:r w:rsidRPr="00D77966">
        <w:rPr>
          <w:i/>
        </w:rPr>
        <w:t xml:space="preserve">Fitch Ratings - Ciudad de México - 27 de octubre de 2021: Fitch Ratings ratificó en </w:t>
      </w:r>
      <w:proofErr w:type="gramStart"/>
      <w:r w:rsidRPr="00D77966">
        <w:rPr>
          <w:i/>
        </w:rPr>
        <w:t>'AAA(</w:t>
      </w:r>
      <w:proofErr w:type="spellStart"/>
      <w:proofErr w:type="gramEnd"/>
      <w:r w:rsidRPr="00D77966">
        <w:rPr>
          <w:i/>
        </w:rPr>
        <w:t>mex</w:t>
      </w:r>
      <w:proofErr w:type="spellEnd"/>
      <w:r w:rsidRPr="00D77966">
        <w:rPr>
          <w:i/>
        </w:rPr>
        <w:t>)</w:t>
      </w:r>
      <w:proofErr w:type="spellStart"/>
      <w:r w:rsidRPr="00D77966">
        <w:rPr>
          <w:i/>
        </w:rPr>
        <w:t>vra</w:t>
      </w:r>
      <w:proofErr w:type="spellEnd"/>
      <w:r w:rsidRPr="00D77966">
        <w:rPr>
          <w:i/>
        </w:rPr>
        <w:t xml:space="preserve">' las </w:t>
      </w:r>
      <w:proofErr w:type="spellStart"/>
      <w:r w:rsidRPr="00D77966">
        <w:rPr>
          <w:i/>
        </w:rPr>
        <w:t>calificaciónes</w:t>
      </w:r>
      <w:proofErr w:type="spellEnd"/>
      <w:r w:rsidRPr="00D77966">
        <w:rPr>
          <w:i/>
        </w:rPr>
        <w:t xml:space="preserve"> específicas de los </w:t>
      </w:r>
      <w:proofErr w:type="spellStart"/>
      <w:r w:rsidRPr="00D77966">
        <w:rPr>
          <w:i/>
        </w:rPr>
        <w:t>financiamentos</w:t>
      </w:r>
      <w:proofErr w:type="spellEnd"/>
      <w:r w:rsidRPr="00D77966">
        <w:rPr>
          <w:i/>
        </w:rPr>
        <w:t xml:space="preserve"> que integran la deuda directa del Instituto de la Función Registral del Estado de México (IFREM). Los saldos de las emisiones son al 31 de agosto de 2021 y el del crédito bancario es al 31 de julio 2021. </w:t>
      </w:r>
    </w:p>
    <w:p w14:paraId="7213B2D3" w14:textId="77777777" w:rsidR="00045553" w:rsidRPr="00D77966" w:rsidRDefault="00045553" w:rsidP="00045553">
      <w:pPr>
        <w:spacing w:line="276" w:lineRule="auto"/>
        <w:ind w:left="567" w:right="423"/>
        <w:contextualSpacing/>
        <w:jc w:val="both"/>
        <w:rPr>
          <w:i/>
        </w:rPr>
      </w:pPr>
      <w:r w:rsidRPr="00D77966">
        <w:rPr>
          <w:i/>
        </w:rPr>
        <w:t>--PROIN 10, monto inicial: MXN2</w:t>
      </w:r>
      <w:proofErr w:type="gramStart"/>
      <w:r w:rsidRPr="00D77966">
        <w:rPr>
          <w:i/>
        </w:rPr>
        <w:t>,765</w:t>
      </w:r>
      <w:proofErr w:type="gramEnd"/>
      <w:r w:rsidRPr="00D77966">
        <w:rPr>
          <w:i/>
        </w:rPr>
        <w:t xml:space="preserve"> millones y saldo:MXN1,842.2 millones;</w:t>
      </w:r>
    </w:p>
    <w:p w14:paraId="78C03B4A" w14:textId="77777777" w:rsidR="00045553" w:rsidRPr="00D77966" w:rsidRDefault="00045553" w:rsidP="00045553">
      <w:pPr>
        <w:spacing w:line="276" w:lineRule="auto"/>
        <w:ind w:left="567" w:right="423"/>
        <w:contextualSpacing/>
        <w:jc w:val="both"/>
        <w:rPr>
          <w:i/>
        </w:rPr>
      </w:pPr>
      <w:r w:rsidRPr="00D77966">
        <w:rPr>
          <w:i/>
        </w:rPr>
        <w:t>--PROIN 10-2, monto inicial: MXN1,300 millones y saldo: MXN866.1 millones;</w:t>
      </w:r>
    </w:p>
    <w:p w14:paraId="01AF82CB" w14:textId="77777777" w:rsidR="00045553" w:rsidRPr="00D77966" w:rsidRDefault="00045553" w:rsidP="00045553">
      <w:pPr>
        <w:spacing w:line="276" w:lineRule="auto"/>
        <w:ind w:left="567" w:right="423"/>
        <w:contextualSpacing/>
        <w:jc w:val="both"/>
        <w:rPr>
          <w:i/>
        </w:rPr>
      </w:pPr>
      <w:r w:rsidRPr="00D77966">
        <w:rPr>
          <w:i/>
        </w:rPr>
        <w:t>--Banobras 11 monto inicial: 654.2 millones de unidades de inversión (</w:t>
      </w:r>
      <w:proofErr w:type="spellStart"/>
      <w:r w:rsidRPr="00D77966">
        <w:rPr>
          <w:i/>
        </w:rPr>
        <w:t>Udis</w:t>
      </w:r>
      <w:proofErr w:type="spellEnd"/>
      <w:r w:rsidRPr="00D77966">
        <w:rPr>
          <w:i/>
        </w:rPr>
        <w:t xml:space="preserve">) y saldo: 460.2 millones de </w:t>
      </w:r>
      <w:proofErr w:type="spellStart"/>
      <w:r w:rsidRPr="00D77966">
        <w:rPr>
          <w:i/>
        </w:rPr>
        <w:t>Udis</w:t>
      </w:r>
      <w:proofErr w:type="spellEnd"/>
      <w:r w:rsidRPr="00D77966">
        <w:rPr>
          <w:i/>
        </w:rPr>
        <w:t>.</w:t>
      </w:r>
    </w:p>
    <w:p w14:paraId="4539516E" w14:textId="77777777" w:rsidR="00045553" w:rsidRPr="00D77966" w:rsidRDefault="00045553" w:rsidP="00045553">
      <w:pPr>
        <w:spacing w:line="276" w:lineRule="auto"/>
        <w:ind w:left="567" w:right="423"/>
        <w:contextualSpacing/>
        <w:jc w:val="both"/>
        <w:rPr>
          <w:i/>
        </w:rPr>
      </w:pPr>
    </w:p>
    <w:p w14:paraId="42F5BED5" w14:textId="77777777" w:rsidR="00045553" w:rsidRPr="00D77966" w:rsidRDefault="00045553" w:rsidP="00045553">
      <w:pPr>
        <w:spacing w:line="276" w:lineRule="auto"/>
        <w:ind w:left="567" w:right="423"/>
        <w:contextualSpacing/>
        <w:jc w:val="both"/>
        <w:rPr>
          <w:i/>
        </w:rPr>
      </w:pPr>
      <w:r w:rsidRPr="00D77966">
        <w:rPr>
          <w:i/>
        </w:rPr>
        <w:t>Fitch Ratings- Ciudad de México- 27 de octubre de 2021: Fitch Ratings afirmó en ´AA+(</w:t>
      </w:r>
      <w:proofErr w:type="spellStart"/>
      <w:r w:rsidRPr="00D77966">
        <w:rPr>
          <w:i/>
        </w:rPr>
        <w:t>mex</w:t>
      </w:r>
      <w:proofErr w:type="spellEnd"/>
      <w:r w:rsidRPr="00D77966">
        <w:rPr>
          <w:i/>
        </w:rPr>
        <w:t>)´ la calificación de la calidad crediticia del Instituto de la Función Registral del Estado de México (IFREM). La perspectiva es Estable.</w:t>
      </w:r>
    </w:p>
    <w:p w14:paraId="68A6C200" w14:textId="77777777" w:rsidR="00045553" w:rsidRPr="00D77966" w:rsidRDefault="00045553" w:rsidP="00045553">
      <w:pPr>
        <w:spacing w:line="276" w:lineRule="auto"/>
        <w:ind w:left="567" w:right="423"/>
        <w:contextualSpacing/>
        <w:jc w:val="both"/>
        <w:rPr>
          <w:i/>
        </w:rPr>
      </w:pPr>
    </w:p>
    <w:p w14:paraId="606D64EC" w14:textId="77777777" w:rsidR="00045553" w:rsidRPr="0024379C" w:rsidRDefault="00045553" w:rsidP="00335251">
      <w:pPr>
        <w:numPr>
          <w:ilvl w:val="0"/>
          <w:numId w:val="6"/>
        </w:numPr>
        <w:spacing w:before="240" w:line="252" w:lineRule="auto"/>
        <w:ind w:right="423"/>
        <w:contextualSpacing/>
        <w:jc w:val="both"/>
        <w:rPr>
          <w:rFonts w:eastAsia="Times New Roman" w:cs="Times New Roman"/>
          <w:i/>
          <w:lang w:eastAsia="es-MX"/>
        </w:rPr>
      </w:pPr>
      <w:r w:rsidRPr="0024379C">
        <w:rPr>
          <w:rFonts w:eastAsia="Times New Roman" w:cs="Times New Roman"/>
          <w:i/>
          <w:lang w:eastAsia="es-MX"/>
        </w:rPr>
        <w:t xml:space="preserve">“ S&amp;P Global Ratings, </w:t>
      </w:r>
      <w:r w:rsidRPr="0024379C">
        <w:rPr>
          <w:i/>
        </w:rPr>
        <w:t>la Calificación de IFREM</w:t>
      </w:r>
    </w:p>
    <w:p w14:paraId="5FC5934A" w14:textId="77777777" w:rsidR="00045553" w:rsidRPr="0024379C" w:rsidRDefault="00045553" w:rsidP="00045553">
      <w:pPr>
        <w:spacing w:before="240" w:line="252" w:lineRule="auto"/>
        <w:ind w:left="360" w:right="423"/>
        <w:contextualSpacing/>
        <w:jc w:val="both"/>
        <w:rPr>
          <w:rFonts w:eastAsia="Times New Roman" w:cs="Times New Roman"/>
          <w:i/>
          <w:lang w:eastAsia="es-MX"/>
        </w:rPr>
      </w:pPr>
    </w:p>
    <w:p w14:paraId="39B06AC1" w14:textId="77777777" w:rsidR="00045553" w:rsidRPr="0024379C" w:rsidRDefault="00045553" w:rsidP="00045553">
      <w:pPr>
        <w:spacing w:before="240" w:line="252" w:lineRule="auto"/>
        <w:ind w:left="567" w:right="423"/>
        <w:contextualSpacing/>
        <w:jc w:val="both"/>
        <w:rPr>
          <w:rFonts w:eastAsia="Times New Roman" w:cs="Times New Roman"/>
          <w:i/>
          <w:lang w:eastAsia="es-MX"/>
        </w:rPr>
      </w:pPr>
      <w:r w:rsidRPr="0024379C">
        <w:rPr>
          <w:rFonts w:eastAsia="Times New Roman" w:cs="Times New Roman"/>
          <w:i/>
          <w:lang w:eastAsia="es-MX"/>
        </w:rPr>
        <w:t xml:space="preserve">“…El 23 de marzo de 2022, S&amp;P Global Ratings </w:t>
      </w:r>
      <w:proofErr w:type="spellStart"/>
      <w:r w:rsidRPr="0024379C">
        <w:rPr>
          <w:rFonts w:eastAsia="Times New Roman" w:cs="Times New Roman"/>
          <w:i/>
          <w:lang w:eastAsia="es-MX"/>
        </w:rPr>
        <w:t>subio</w:t>
      </w:r>
      <w:proofErr w:type="spellEnd"/>
      <w:r w:rsidRPr="0024379C">
        <w:rPr>
          <w:rFonts w:eastAsia="Times New Roman" w:cs="Times New Roman"/>
          <w:i/>
          <w:lang w:eastAsia="es-MX"/>
        </w:rPr>
        <w:t xml:space="preserve"> su calificación crediticia de emisor de largo plazo en escala nacional –</w:t>
      </w:r>
      <w:proofErr w:type="spellStart"/>
      <w:r w:rsidRPr="0024379C">
        <w:rPr>
          <w:rFonts w:eastAsia="Times New Roman" w:cs="Times New Roman"/>
          <w:i/>
          <w:lang w:eastAsia="es-MX"/>
        </w:rPr>
        <w:t>CaVal</w:t>
      </w:r>
      <w:proofErr w:type="spellEnd"/>
      <w:r w:rsidRPr="0024379C">
        <w:rPr>
          <w:rFonts w:eastAsia="Times New Roman" w:cs="Times New Roman"/>
          <w:i/>
          <w:lang w:eastAsia="es-MX"/>
        </w:rPr>
        <w:t>– de '</w:t>
      </w:r>
      <w:proofErr w:type="spellStart"/>
      <w:r w:rsidRPr="0024379C">
        <w:rPr>
          <w:rFonts w:eastAsia="Times New Roman" w:cs="Times New Roman"/>
          <w:i/>
          <w:lang w:eastAsia="es-MX"/>
        </w:rPr>
        <w:t>mxAA</w:t>
      </w:r>
      <w:proofErr w:type="spellEnd"/>
      <w:r w:rsidRPr="0024379C">
        <w:rPr>
          <w:rFonts w:eastAsia="Times New Roman" w:cs="Times New Roman"/>
          <w:i/>
          <w:lang w:eastAsia="es-MX"/>
        </w:rPr>
        <w:t>-' del Instituto de la Función Registral del Estado de México (IFREM). La perspectiva se mantiene estable.</w:t>
      </w:r>
    </w:p>
    <w:p w14:paraId="3FFC4508" w14:textId="77777777" w:rsidR="00045553" w:rsidRPr="0024379C" w:rsidRDefault="00045553" w:rsidP="00045553">
      <w:pPr>
        <w:spacing w:before="240" w:line="252" w:lineRule="auto"/>
        <w:ind w:left="720" w:right="423"/>
        <w:contextualSpacing/>
        <w:jc w:val="both"/>
        <w:rPr>
          <w:rFonts w:eastAsia="Times New Roman" w:cs="Times New Roman"/>
          <w:i/>
          <w:lang w:eastAsia="es-MX"/>
        </w:rPr>
      </w:pPr>
    </w:p>
    <w:p w14:paraId="4BF1125B" w14:textId="77777777" w:rsidR="00045553" w:rsidRPr="0024379C" w:rsidRDefault="00045553" w:rsidP="00045553">
      <w:pPr>
        <w:spacing w:line="276" w:lineRule="auto"/>
        <w:ind w:left="567" w:right="423"/>
        <w:contextualSpacing/>
        <w:jc w:val="both"/>
        <w:rPr>
          <w:i/>
        </w:rPr>
      </w:pPr>
      <w:r w:rsidRPr="0024379C">
        <w:rPr>
          <w:i/>
        </w:rPr>
        <w:t xml:space="preserve">La perspectiva estable de la calificación del IFREM  refleja la </w:t>
      </w:r>
      <w:proofErr w:type="spellStart"/>
      <w:r w:rsidRPr="0024379C">
        <w:rPr>
          <w:i/>
        </w:rPr>
        <w:t>calificaión</w:t>
      </w:r>
      <w:proofErr w:type="spellEnd"/>
      <w:r w:rsidRPr="0024379C">
        <w:rPr>
          <w:i/>
        </w:rPr>
        <w:t xml:space="preserve"> del Estado de México, así como nuestra expectativa de que, en los próximos 12 a 18 meses, se mantenga la probabilidad casi cierta de apoyo extraordinario del Estado de México al Instituto. Esperamos que mantenga su </w:t>
      </w:r>
      <w:proofErr w:type="spellStart"/>
      <w:r w:rsidRPr="0024379C">
        <w:rPr>
          <w:i/>
        </w:rPr>
        <w:t>vinculo</w:t>
      </w:r>
      <w:proofErr w:type="spellEnd"/>
      <w:r w:rsidRPr="0024379C">
        <w:rPr>
          <w:i/>
        </w:rPr>
        <w:t xml:space="preserve"> integral y rol </w:t>
      </w:r>
      <w:proofErr w:type="spellStart"/>
      <w:r w:rsidRPr="0024379C">
        <w:rPr>
          <w:i/>
        </w:rPr>
        <w:t>critico</w:t>
      </w:r>
      <w:proofErr w:type="spellEnd"/>
      <w:r w:rsidRPr="0024379C">
        <w:rPr>
          <w:i/>
        </w:rPr>
        <w:t xml:space="preserve"> con el estado que no consideramos este sujeto al riesgo de transiciones en el gobierno, dado el nivel de institucionalización y la solides del marco en el que opera el IFREM.</w:t>
      </w:r>
    </w:p>
    <w:p w14:paraId="7A5A0DB6" w14:textId="77777777" w:rsidR="00045553" w:rsidRPr="0024379C" w:rsidRDefault="00045553" w:rsidP="00045553">
      <w:pPr>
        <w:spacing w:before="240" w:line="252" w:lineRule="auto"/>
        <w:ind w:left="720" w:right="423"/>
        <w:contextualSpacing/>
        <w:jc w:val="both"/>
        <w:rPr>
          <w:rFonts w:eastAsia="Times New Roman" w:cs="Times New Roman"/>
          <w:i/>
          <w:lang w:eastAsia="es-MX"/>
        </w:rPr>
      </w:pPr>
      <w:r w:rsidRPr="0024379C">
        <w:rPr>
          <w:rFonts w:eastAsia="Times New Roman" w:cs="Times New Roman"/>
          <w:i/>
          <w:lang w:eastAsia="es-MX"/>
        </w:rPr>
        <w:t>“…El 23 de marzo de 2022, S&amp;P Global Ratings, confirmo sus calificaciones de deuda de largo plazo en escala nacional –</w:t>
      </w:r>
      <w:proofErr w:type="spellStart"/>
      <w:r w:rsidRPr="0024379C">
        <w:rPr>
          <w:rFonts w:eastAsia="Times New Roman" w:cs="Times New Roman"/>
          <w:i/>
          <w:lang w:eastAsia="es-MX"/>
        </w:rPr>
        <w:t>CaVal</w:t>
      </w:r>
      <w:proofErr w:type="spellEnd"/>
      <w:r w:rsidRPr="0024379C">
        <w:rPr>
          <w:rFonts w:eastAsia="Times New Roman" w:cs="Times New Roman"/>
          <w:i/>
          <w:lang w:eastAsia="es-MX"/>
        </w:rPr>
        <w:t>– de '</w:t>
      </w:r>
      <w:proofErr w:type="spellStart"/>
      <w:r w:rsidRPr="0024379C">
        <w:rPr>
          <w:rFonts w:eastAsia="Times New Roman" w:cs="Times New Roman"/>
          <w:i/>
          <w:lang w:eastAsia="es-MX"/>
        </w:rPr>
        <w:t>mxAAA</w:t>
      </w:r>
      <w:proofErr w:type="spellEnd"/>
      <w:r w:rsidRPr="0024379C">
        <w:rPr>
          <w:rFonts w:eastAsia="Times New Roman" w:cs="Times New Roman"/>
          <w:i/>
          <w:lang w:eastAsia="es-MX"/>
        </w:rPr>
        <w:t xml:space="preserve">' de los certificados </w:t>
      </w:r>
      <w:proofErr w:type="spellStart"/>
      <w:r w:rsidRPr="0024379C">
        <w:rPr>
          <w:rFonts w:eastAsia="Times New Roman" w:cs="Times New Roman"/>
          <w:i/>
          <w:lang w:eastAsia="es-MX"/>
        </w:rPr>
        <w:t>bursatiles</w:t>
      </w:r>
      <w:proofErr w:type="spellEnd"/>
      <w:r w:rsidRPr="0024379C">
        <w:rPr>
          <w:rFonts w:eastAsia="Times New Roman" w:cs="Times New Roman"/>
          <w:i/>
          <w:lang w:eastAsia="es-MX"/>
        </w:rPr>
        <w:t xml:space="preserve"> serie A, con clave de pizarra PROIN 10, y serie B, con clave de pizarra PROIN 10-2, del Instituto de la Función Registral del Estado de México (IFREM; </w:t>
      </w:r>
      <w:proofErr w:type="spellStart"/>
      <w:r w:rsidRPr="0024379C">
        <w:rPr>
          <w:rFonts w:eastAsia="Times New Roman" w:cs="Times New Roman"/>
          <w:i/>
          <w:lang w:eastAsia="es-MX"/>
        </w:rPr>
        <w:t>mxAA</w:t>
      </w:r>
      <w:proofErr w:type="spellEnd"/>
      <w:r w:rsidRPr="0024379C">
        <w:rPr>
          <w:rFonts w:eastAsia="Times New Roman" w:cs="Times New Roman"/>
          <w:i/>
          <w:lang w:eastAsia="es-MX"/>
        </w:rPr>
        <w:t>-/Estable/--). Asimismo, confirmamos la calificación de deuda de '</w:t>
      </w:r>
      <w:proofErr w:type="spellStart"/>
      <w:r w:rsidRPr="0024379C">
        <w:rPr>
          <w:rFonts w:eastAsia="Times New Roman" w:cs="Times New Roman"/>
          <w:i/>
          <w:lang w:eastAsia="es-MX"/>
        </w:rPr>
        <w:t>mxAA</w:t>
      </w:r>
      <w:proofErr w:type="spellEnd"/>
      <w:r w:rsidRPr="0024379C">
        <w:rPr>
          <w:rFonts w:eastAsia="Times New Roman" w:cs="Times New Roman"/>
          <w:i/>
          <w:lang w:eastAsia="es-MX"/>
        </w:rPr>
        <w:t>+' del crédito bancario que contrato el IFREM con el Banco Nacional de Obras y Servicios Públicos, S.N.C.(Banobras).</w:t>
      </w:r>
    </w:p>
    <w:p w14:paraId="6BCD0B75" w14:textId="188295BB" w:rsidR="00F62DC9" w:rsidRDefault="00F62DC9">
      <w:pPr>
        <w:spacing w:line="259" w:lineRule="auto"/>
        <w:rPr>
          <w:i/>
        </w:rPr>
      </w:pPr>
      <w:r>
        <w:rPr>
          <w:i/>
        </w:rPr>
        <w:br w:type="page"/>
      </w:r>
    </w:p>
    <w:p w14:paraId="343D6996" w14:textId="77777777" w:rsidR="00045553" w:rsidRPr="0024379C" w:rsidRDefault="00045553" w:rsidP="00335251">
      <w:pPr>
        <w:numPr>
          <w:ilvl w:val="0"/>
          <w:numId w:val="11"/>
        </w:numPr>
        <w:spacing w:after="0" w:line="276" w:lineRule="auto"/>
        <w:ind w:left="1134" w:right="-1" w:hanging="425"/>
        <w:contextualSpacing/>
        <w:rPr>
          <w:b/>
        </w:rPr>
      </w:pPr>
      <w:r w:rsidRPr="0024379C">
        <w:rPr>
          <w:b/>
        </w:rPr>
        <w:lastRenderedPageBreak/>
        <w:t>Proceso de Mejora</w:t>
      </w:r>
    </w:p>
    <w:p w14:paraId="3308707E" w14:textId="77777777" w:rsidR="00045553" w:rsidRPr="0024379C" w:rsidRDefault="00045553" w:rsidP="00045553">
      <w:pPr>
        <w:spacing w:before="240" w:line="276" w:lineRule="auto"/>
        <w:ind w:right="-1"/>
        <w:jc w:val="both"/>
      </w:pPr>
      <w:r w:rsidRPr="0024379C">
        <w:t xml:space="preserve">En enero de 2020 la Unidad de Informática del IFREM, obtuvo la certificación en </w:t>
      </w:r>
      <w:r w:rsidRPr="0024379C">
        <w:rPr>
          <w:b/>
        </w:rPr>
        <w:t>ISO/IEC 27001:2013</w:t>
      </w:r>
      <w:r w:rsidRPr="0024379C">
        <w:t>, Sistema de Gestión de Seguridad de la Información (SGSI).</w:t>
      </w:r>
    </w:p>
    <w:p w14:paraId="65D052CF" w14:textId="77777777" w:rsidR="00045553" w:rsidRPr="0024379C" w:rsidRDefault="00045553" w:rsidP="00045553">
      <w:pPr>
        <w:spacing w:before="240" w:line="276" w:lineRule="auto"/>
        <w:ind w:right="-1"/>
        <w:jc w:val="both"/>
      </w:pPr>
      <w:r w:rsidRPr="0024379C">
        <w:t xml:space="preserve">A la fecha el Instituto ha mantenido la certificación bajo la norma </w:t>
      </w:r>
      <w:r w:rsidRPr="0024379C">
        <w:rPr>
          <w:b/>
        </w:rPr>
        <w:t>ISO 9001:2015</w:t>
      </w:r>
      <w:r w:rsidRPr="0024379C">
        <w:t>, se encuentra inmerso en el proceso de mejora continua y sigue modernizando sus procesos.</w:t>
      </w:r>
    </w:p>
    <w:p w14:paraId="0405C285" w14:textId="77777777" w:rsidR="00045553" w:rsidRPr="0024379C" w:rsidRDefault="00045553" w:rsidP="00045553">
      <w:pPr>
        <w:spacing w:line="276" w:lineRule="auto"/>
        <w:ind w:right="-1"/>
        <w:jc w:val="both"/>
      </w:pPr>
      <w:r w:rsidRPr="0024379C">
        <w:t xml:space="preserve">El Estado de México ha pasado a mostrar un avance sobresaliente en la clasificación </w:t>
      </w:r>
      <w:proofErr w:type="spellStart"/>
      <w:r w:rsidRPr="0024379C">
        <w:rPr>
          <w:b/>
        </w:rPr>
        <w:t>Doing</w:t>
      </w:r>
      <w:proofErr w:type="spellEnd"/>
      <w:r w:rsidRPr="0024379C">
        <w:rPr>
          <w:b/>
        </w:rPr>
        <w:t xml:space="preserve"> Business en México</w:t>
      </w:r>
      <w:r w:rsidRPr="0024379C">
        <w:t xml:space="preserve"> de 16 posiciones con respecto al año 2012, habiéndose clasificado en ese periodo en el lugar décimo octavo de 32 entidades económicas. A logrado posicionarse en el segundo lugar de acuerdo a los siguientes indicadores: apertura de una empresa, obtención de permisos de construcción, registro de la propiedad y cumplimiento de contratos; lo que conlleva a que el Estado de México sea uno de los casos de mejor desempeño en todo el país.</w:t>
      </w:r>
    </w:p>
    <w:p w14:paraId="6C040A55" w14:textId="77777777" w:rsidR="00045553" w:rsidRPr="0024379C" w:rsidRDefault="00045553" w:rsidP="00335251">
      <w:pPr>
        <w:numPr>
          <w:ilvl w:val="0"/>
          <w:numId w:val="11"/>
        </w:numPr>
        <w:spacing w:after="0" w:line="276" w:lineRule="auto"/>
        <w:ind w:left="851" w:right="-1"/>
        <w:contextualSpacing/>
        <w:rPr>
          <w:b/>
        </w:rPr>
      </w:pPr>
      <w:r w:rsidRPr="0024379C">
        <w:rPr>
          <w:rFonts w:eastAsia="Times New Roman"/>
          <w:b/>
          <w:lang w:eastAsia="es-MX"/>
        </w:rPr>
        <w:t>Información por Segmentos</w:t>
      </w:r>
    </w:p>
    <w:p w14:paraId="720D4A8C" w14:textId="77777777" w:rsidR="00045553" w:rsidRPr="0024379C" w:rsidRDefault="00045553" w:rsidP="00045553">
      <w:pPr>
        <w:spacing w:after="0" w:line="276" w:lineRule="auto"/>
        <w:ind w:left="567" w:right="-1"/>
        <w:contextualSpacing/>
        <w:jc w:val="both"/>
        <w:rPr>
          <w:rFonts w:eastAsia="Times New Roman"/>
          <w:b/>
          <w:lang w:eastAsia="es-MX"/>
        </w:rPr>
      </w:pPr>
    </w:p>
    <w:p w14:paraId="02F1DDD1" w14:textId="77777777" w:rsidR="00045553" w:rsidRPr="0024379C" w:rsidRDefault="00045553" w:rsidP="00045553">
      <w:pPr>
        <w:spacing w:line="276" w:lineRule="auto"/>
        <w:ind w:right="-1"/>
        <w:jc w:val="both"/>
        <w:rPr>
          <w:bCs/>
        </w:rPr>
      </w:pPr>
      <w:r w:rsidRPr="0024379C">
        <w:rPr>
          <w:bCs/>
        </w:rPr>
        <w:t>El Instituto no cuenta con información por segmentos.</w:t>
      </w:r>
    </w:p>
    <w:p w14:paraId="13D73F45" w14:textId="77777777" w:rsidR="00045553" w:rsidRPr="0024379C" w:rsidRDefault="00045553" w:rsidP="00335251">
      <w:pPr>
        <w:numPr>
          <w:ilvl w:val="0"/>
          <w:numId w:val="11"/>
        </w:numPr>
        <w:spacing w:after="0" w:line="276" w:lineRule="auto"/>
        <w:ind w:left="851" w:right="-1"/>
        <w:contextualSpacing/>
        <w:rPr>
          <w:b/>
        </w:rPr>
      </w:pPr>
      <w:r w:rsidRPr="0024379C">
        <w:rPr>
          <w:b/>
        </w:rPr>
        <w:t>Eventos Posteriores al Cierre</w:t>
      </w:r>
    </w:p>
    <w:p w14:paraId="43A2F137" w14:textId="77777777" w:rsidR="00045553" w:rsidRPr="0024379C" w:rsidRDefault="00045553" w:rsidP="00045553">
      <w:pPr>
        <w:spacing w:after="0" w:line="276" w:lineRule="auto"/>
        <w:ind w:right="-1"/>
        <w:jc w:val="both"/>
        <w:rPr>
          <w:bCs/>
        </w:rPr>
      </w:pPr>
    </w:p>
    <w:p w14:paraId="5D0CAFD5" w14:textId="77777777" w:rsidR="00045553" w:rsidRPr="0024379C" w:rsidRDefault="00045553" w:rsidP="00045553">
      <w:pPr>
        <w:spacing w:line="276" w:lineRule="auto"/>
        <w:ind w:right="-1"/>
        <w:jc w:val="both"/>
      </w:pPr>
      <w:r w:rsidRPr="0024379C">
        <w:t>El Instituto no presenta eventos posteriores al cierre que pudieran tener un efecto importante en su situación financiera y resultados de operación futuros.</w:t>
      </w:r>
    </w:p>
    <w:p w14:paraId="4AC26AF3" w14:textId="77777777" w:rsidR="00045553" w:rsidRPr="0024379C" w:rsidRDefault="00045553" w:rsidP="00335251">
      <w:pPr>
        <w:numPr>
          <w:ilvl w:val="0"/>
          <w:numId w:val="11"/>
        </w:numPr>
        <w:spacing w:after="0" w:line="276" w:lineRule="auto"/>
        <w:ind w:left="851" w:right="-1"/>
        <w:contextualSpacing/>
        <w:rPr>
          <w:b/>
        </w:rPr>
      </w:pPr>
      <w:r w:rsidRPr="0024379C">
        <w:rPr>
          <w:b/>
        </w:rPr>
        <w:t>Partes Relacionadas</w:t>
      </w:r>
    </w:p>
    <w:p w14:paraId="1F8DCDB0" w14:textId="77777777" w:rsidR="00045553" w:rsidRPr="0024379C" w:rsidRDefault="00045553" w:rsidP="00045553">
      <w:pPr>
        <w:spacing w:after="0" w:line="276" w:lineRule="auto"/>
        <w:ind w:right="-1"/>
        <w:jc w:val="both"/>
        <w:rPr>
          <w:bCs/>
        </w:rPr>
      </w:pPr>
    </w:p>
    <w:p w14:paraId="1E189183" w14:textId="77777777" w:rsidR="00045553" w:rsidRPr="0024379C" w:rsidRDefault="00045553" w:rsidP="00045553">
      <w:pPr>
        <w:spacing w:line="276" w:lineRule="auto"/>
        <w:ind w:right="-1"/>
        <w:jc w:val="both"/>
        <w:rPr>
          <w:rFonts w:cs="Arial"/>
        </w:rPr>
      </w:pPr>
      <w:r w:rsidRPr="0024379C">
        <w:rPr>
          <w:rFonts w:cs="Arial"/>
        </w:rPr>
        <w:t>No existen partes relacionadas que pudieran ejercer influencia significativa sobre la toma de decisiones financieras y operativas en este Instituto.</w:t>
      </w:r>
    </w:p>
    <w:p w14:paraId="2F930763" w14:textId="77777777" w:rsidR="00045553" w:rsidRPr="0024379C" w:rsidRDefault="00045553" w:rsidP="00335251">
      <w:pPr>
        <w:numPr>
          <w:ilvl w:val="0"/>
          <w:numId w:val="11"/>
        </w:numPr>
        <w:spacing w:after="0" w:line="276" w:lineRule="auto"/>
        <w:ind w:left="851" w:right="-1"/>
        <w:contextualSpacing/>
        <w:rPr>
          <w:b/>
        </w:rPr>
      </w:pPr>
      <w:r w:rsidRPr="0024379C">
        <w:rPr>
          <w:b/>
        </w:rPr>
        <w:t>Responsabilidad Sobre la Presentación Razonable de los Estados Financieros</w:t>
      </w:r>
    </w:p>
    <w:p w14:paraId="368F2EAB" w14:textId="77777777" w:rsidR="00045553" w:rsidRPr="0024379C" w:rsidRDefault="00045553" w:rsidP="00045553">
      <w:pPr>
        <w:spacing w:after="0" w:line="276" w:lineRule="auto"/>
        <w:ind w:left="851" w:right="-1"/>
        <w:contextualSpacing/>
        <w:rPr>
          <w:b/>
        </w:rPr>
      </w:pPr>
    </w:p>
    <w:p w14:paraId="35324E61" w14:textId="77777777" w:rsidR="003A411E" w:rsidRDefault="00045553" w:rsidP="003A411E">
      <w:pPr>
        <w:spacing w:line="276" w:lineRule="auto"/>
        <w:ind w:right="-1"/>
        <w:jc w:val="both"/>
        <w:rPr>
          <w:rFonts w:cs="Arial"/>
        </w:rPr>
      </w:pPr>
      <w:r w:rsidRPr="0024379C">
        <w:rPr>
          <w:rFonts w:cs="Arial"/>
        </w:rPr>
        <w:t>“Bajo protesta de decir verdad declaramos que los Estados Financieros y sus Notas, son razonablemente correctos y son responsabilidad del emisor”.</w:t>
      </w:r>
    </w:p>
    <w:p w14:paraId="07D6CC55" w14:textId="7FDF50F9" w:rsidR="00045553" w:rsidRPr="0024379C" w:rsidRDefault="00045553" w:rsidP="003A411E">
      <w:pPr>
        <w:spacing w:line="276" w:lineRule="auto"/>
        <w:ind w:right="-1"/>
        <w:jc w:val="center"/>
        <w:rPr>
          <w:rFonts w:eastAsia="Times New Roman" w:cs="Arial"/>
          <w:b/>
          <w:lang w:eastAsia="es-MX"/>
        </w:rPr>
      </w:pPr>
      <w:bookmarkStart w:id="4" w:name="_GoBack"/>
      <w:bookmarkEnd w:id="4"/>
      <w:r w:rsidRPr="0024379C">
        <w:rPr>
          <w:rFonts w:eastAsia="Times New Roman" w:cs="Arial"/>
          <w:b/>
          <w:lang w:eastAsia="es-MX"/>
        </w:rPr>
        <w:t>Firmas</w:t>
      </w:r>
    </w:p>
    <w:p w14:paraId="2AE3E91A" w14:textId="77777777" w:rsidR="00045553" w:rsidRPr="0024379C" w:rsidRDefault="00045553" w:rsidP="00045553">
      <w:pPr>
        <w:tabs>
          <w:tab w:val="left" w:pos="3994"/>
        </w:tabs>
        <w:spacing w:after="0" w:line="276" w:lineRule="auto"/>
        <w:ind w:right="-1"/>
        <w:contextualSpacing/>
        <w:rPr>
          <w:rFonts w:eastAsia="Times New Roman" w:cs="Arial"/>
          <w:b/>
          <w:lang w:eastAsia="es-MX"/>
        </w:rPr>
      </w:pPr>
    </w:p>
    <w:tbl>
      <w:tblPr>
        <w:tblStyle w:val="Tablaconcuadrcula31"/>
        <w:tblW w:w="10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89"/>
        <w:gridCol w:w="3360"/>
        <w:gridCol w:w="405"/>
        <w:gridCol w:w="3143"/>
        <w:gridCol w:w="621"/>
      </w:tblGrid>
      <w:tr w:rsidR="00045553" w:rsidRPr="0024379C" w14:paraId="51F9A913" w14:textId="77777777" w:rsidTr="00415E2E">
        <w:trPr>
          <w:gridAfter w:val="1"/>
          <w:wAfter w:w="621" w:type="dxa"/>
          <w:trHeight w:val="617"/>
        </w:trPr>
        <w:tc>
          <w:tcPr>
            <w:tcW w:w="3119" w:type="dxa"/>
          </w:tcPr>
          <w:p w14:paraId="047256E0" w14:textId="77777777" w:rsidR="00045553" w:rsidRPr="0024379C" w:rsidRDefault="00045553" w:rsidP="00415E2E">
            <w:pPr>
              <w:spacing w:line="276" w:lineRule="auto"/>
              <w:ind w:right="-1"/>
              <w:jc w:val="center"/>
              <w:rPr>
                <w:rFonts w:cs="Arial"/>
                <w:sz w:val="17"/>
                <w:szCs w:val="17"/>
              </w:rPr>
            </w:pPr>
          </w:p>
          <w:p w14:paraId="317B8D58" w14:textId="77777777" w:rsidR="00045553" w:rsidRPr="0024379C" w:rsidRDefault="00045553" w:rsidP="00415E2E">
            <w:pPr>
              <w:spacing w:line="276" w:lineRule="auto"/>
              <w:ind w:right="-1"/>
              <w:jc w:val="center"/>
              <w:rPr>
                <w:rFonts w:cs="Arial"/>
                <w:sz w:val="17"/>
                <w:szCs w:val="17"/>
              </w:rPr>
            </w:pPr>
            <w:r w:rsidRPr="0024379C">
              <w:rPr>
                <w:rFonts w:cs="Arial"/>
                <w:sz w:val="17"/>
                <w:szCs w:val="17"/>
              </w:rPr>
              <w:t>__________________________________________</w:t>
            </w:r>
          </w:p>
          <w:p w14:paraId="6BEA24C2" w14:textId="77777777" w:rsidR="00045553" w:rsidRPr="0024379C" w:rsidRDefault="00045553" w:rsidP="00415E2E">
            <w:pPr>
              <w:spacing w:line="276" w:lineRule="auto"/>
              <w:ind w:right="-1"/>
              <w:jc w:val="center"/>
              <w:rPr>
                <w:rFonts w:ascii="HelveticaNeueLT Std" w:hAnsi="HelveticaNeueLT Std" w:cs="Arial"/>
                <w:sz w:val="17"/>
                <w:szCs w:val="17"/>
              </w:rPr>
            </w:pPr>
            <w:r w:rsidRPr="0024379C">
              <w:rPr>
                <w:rFonts w:ascii="HelveticaNeueLT Std" w:hAnsi="HelveticaNeueLT Std" w:cs="Arial"/>
                <w:sz w:val="17"/>
                <w:szCs w:val="17"/>
              </w:rPr>
              <w:t>M.A.P. Antonio Hernández Tenorio</w:t>
            </w:r>
          </w:p>
          <w:p w14:paraId="109124BC" w14:textId="77777777" w:rsidR="00045553" w:rsidRPr="0024379C" w:rsidRDefault="00045553" w:rsidP="00415E2E">
            <w:pPr>
              <w:tabs>
                <w:tab w:val="left" w:pos="3994"/>
              </w:tabs>
              <w:spacing w:line="276" w:lineRule="auto"/>
              <w:ind w:right="-1"/>
              <w:contextualSpacing/>
              <w:jc w:val="center"/>
              <w:rPr>
                <w:rFonts w:eastAsia="Times New Roman" w:cs="Arial"/>
                <w:sz w:val="17"/>
                <w:szCs w:val="17"/>
              </w:rPr>
            </w:pPr>
            <w:r w:rsidRPr="0024379C">
              <w:rPr>
                <w:rFonts w:ascii="HelveticaNeueLT Std" w:hAnsi="HelveticaNeueLT Std" w:cs="Arial"/>
                <w:b/>
                <w:sz w:val="17"/>
                <w:szCs w:val="17"/>
              </w:rPr>
              <w:t>Subdirector de Finanzas</w:t>
            </w:r>
          </w:p>
        </w:tc>
        <w:tc>
          <w:tcPr>
            <w:tcW w:w="3549" w:type="dxa"/>
            <w:gridSpan w:val="2"/>
          </w:tcPr>
          <w:p w14:paraId="2B3AF652" w14:textId="77777777" w:rsidR="00045553" w:rsidRPr="0024379C" w:rsidRDefault="00045553" w:rsidP="00415E2E">
            <w:pPr>
              <w:spacing w:line="276" w:lineRule="auto"/>
              <w:ind w:right="-1"/>
              <w:jc w:val="center"/>
              <w:rPr>
                <w:rFonts w:cs="Arial"/>
                <w:sz w:val="17"/>
                <w:szCs w:val="17"/>
              </w:rPr>
            </w:pPr>
          </w:p>
          <w:p w14:paraId="10088035" w14:textId="77777777" w:rsidR="00045553" w:rsidRPr="0024379C" w:rsidRDefault="00045553" w:rsidP="00415E2E">
            <w:pPr>
              <w:spacing w:line="276" w:lineRule="auto"/>
              <w:ind w:right="-1"/>
              <w:jc w:val="center"/>
              <w:rPr>
                <w:rFonts w:cs="Arial"/>
                <w:sz w:val="17"/>
                <w:szCs w:val="17"/>
              </w:rPr>
            </w:pPr>
            <w:r w:rsidRPr="0024379C">
              <w:rPr>
                <w:rFonts w:cs="Arial"/>
                <w:sz w:val="17"/>
                <w:szCs w:val="17"/>
              </w:rPr>
              <w:t>_________________________________________________</w:t>
            </w:r>
          </w:p>
          <w:p w14:paraId="312B319E" w14:textId="77777777" w:rsidR="00045553" w:rsidRPr="0024379C" w:rsidRDefault="00045553" w:rsidP="00415E2E">
            <w:pPr>
              <w:spacing w:line="276" w:lineRule="auto"/>
              <w:ind w:right="-1"/>
              <w:jc w:val="center"/>
              <w:rPr>
                <w:rFonts w:cs="Arial"/>
                <w:sz w:val="17"/>
                <w:szCs w:val="17"/>
              </w:rPr>
            </w:pPr>
            <w:r w:rsidRPr="0024379C">
              <w:rPr>
                <w:rFonts w:ascii="HelveticaNeueLT Std" w:hAnsi="HelveticaNeueLT Std" w:cs="Arial"/>
                <w:sz w:val="17"/>
                <w:szCs w:val="17"/>
              </w:rPr>
              <w:t>L.A.E. Raúl Napoleón Lazcano Martínez</w:t>
            </w:r>
          </w:p>
          <w:p w14:paraId="611B555C" w14:textId="77777777" w:rsidR="00045553" w:rsidRPr="0024379C" w:rsidRDefault="00045553" w:rsidP="00415E2E">
            <w:pPr>
              <w:tabs>
                <w:tab w:val="left" w:pos="3994"/>
              </w:tabs>
              <w:spacing w:line="276" w:lineRule="auto"/>
              <w:ind w:right="-1"/>
              <w:contextualSpacing/>
              <w:jc w:val="center"/>
              <w:rPr>
                <w:rFonts w:eastAsia="Times New Roman" w:cs="Arial"/>
                <w:sz w:val="17"/>
                <w:szCs w:val="17"/>
              </w:rPr>
            </w:pPr>
            <w:r w:rsidRPr="0024379C">
              <w:rPr>
                <w:rFonts w:ascii="HelveticaNeueLT Std" w:hAnsi="HelveticaNeueLT Std" w:cs="Arial"/>
                <w:b/>
                <w:sz w:val="17"/>
                <w:szCs w:val="17"/>
              </w:rPr>
              <w:t>Director de Administración y Finanzas</w:t>
            </w:r>
          </w:p>
        </w:tc>
        <w:tc>
          <w:tcPr>
            <w:tcW w:w="3548" w:type="dxa"/>
            <w:gridSpan w:val="2"/>
          </w:tcPr>
          <w:p w14:paraId="70A697E4" w14:textId="77777777" w:rsidR="00045553" w:rsidRPr="0024379C" w:rsidRDefault="00045553" w:rsidP="00415E2E">
            <w:pPr>
              <w:spacing w:line="276" w:lineRule="auto"/>
              <w:ind w:right="-1"/>
              <w:jc w:val="center"/>
              <w:rPr>
                <w:rFonts w:cs="Arial"/>
                <w:sz w:val="17"/>
                <w:szCs w:val="17"/>
              </w:rPr>
            </w:pPr>
          </w:p>
          <w:p w14:paraId="421DEE21" w14:textId="77777777" w:rsidR="00045553" w:rsidRPr="0024379C" w:rsidRDefault="00045553" w:rsidP="00415E2E">
            <w:pPr>
              <w:spacing w:line="276" w:lineRule="auto"/>
              <w:ind w:right="-1"/>
              <w:jc w:val="center"/>
              <w:rPr>
                <w:rFonts w:cs="Arial"/>
                <w:sz w:val="17"/>
                <w:szCs w:val="17"/>
              </w:rPr>
            </w:pPr>
            <w:r w:rsidRPr="0024379C">
              <w:rPr>
                <w:rFonts w:cs="Arial"/>
                <w:sz w:val="17"/>
                <w:szCs w:val="17"/>
              </w:rPr>
              <w:t>__________________________________________________</w:t>
            </w:r>
          </w:p>
          <w:p w14:paraId="11453BD6" w14:textId="77777777" w:rsidR="00045553" w:rsidRPr="0024379C" w:rsidRDefault="00045553" w:rsidP="00415E2E">
            <w:pPr>
              <w:spacing w:line="276" w:lineRule="auto"/>
              <w:ind w:right="-1"/>
              <w:jc w:val="center"/>
              <w:rPr>
                <w:rFonts w:ascii="HelveticaNeueLT Std" w:hAnsi="HelveticaNeueLT Std" w:cs="Arial"/>
                <w:sz w:val="17"/>
                <w:szCs w:val="17"/>
              </w:rPr>
            </w:pPr>
            <w:r w:rsidRPr="0024379C">
              <w:rPr>
                <w:rFonts w:ascii="HelveticaNeueLT Std" w:hAnsi="HelveticaNeueLT Std" w:cs="Arial"/>
                <w:sz w:val="17"/>
                <w:szCs w:val="17"/>
              </w:rPr>
              <w:t xml:space="preserve">L. en D. Christian Gerardo Gasca </w:t>
            </w:r>
            <w:proofErr w:type="spellStart"/>
            <w:r w:rsidRPr="0024379C">
              <w:rPr>
                <w:rFonts w:ascii="HelveticaNeueLT Std" w:hAnsi="HelveticaNeueLT Std" w:cs="Arial"/>
                <w:sz w:val="17"/>
                <w:szCs w:val="17"/>
              </w:rPr>
              <w:t>Droppert</w:t>
            </w:r>
            <w:proofErr w:type="spellEnd"/>
          </w:p>
          <w:p w14:paraId="28153E09" w14:textId="77777777" w:rsidR="00045553" w:rsidRPr="0024379C" w:rsidRDefault="00045553" w:rsidP="00415E2E">
            <w:pPr>
              <w:tabs>
                <w:tab w:val="left" w:pos="3994"/>
              </w:tabs>
              <w:spacing w:line="276" w:lineRule="auto"/>
              <w:ind w:right="-1"/>
              <w:contextualSpacing/>
              <w:jc w:val="center"/>
              <w:rPr>
                <w:rFonts w:ascii="HelveticaNeueLT Std" w:eastAsia="Times New Roman" w:hAnsi="HelveticaNeueLT Std" w:cs="Arial"/>
                <w:sz w:val="17"/>
                <w:szCs w:val="17"/>
              </w:rPr>
            </w:pPr>
            <w:r w:rsidRPr="0024379C">
              <w:rPr>
                <w:rFonts w:ascii="HelveticaNeueLT Std" w:hAnsi="HelveticaNeueLT Std" w:cs="Arial"/>
                <w:b/>
                <w:sz w:val="17"/>
                <w:szCs w:val="17"/>
              </w:rPr>
              <w:t>Director General del IFREM</w:t>
            </w:r>
          </w:p>
        </w:tc>
      </w:tr>
      <w:tr w:rsidR="00045553" w:rsidRPr="006E6801" w14:paraId="4DBD8976" w14:textId="77777777" w:rsidTr="00415E2E">
        <w:trPr>
          <w:trHeight w:val="901"/>
        </w:trPr>
        <w:tc>
          <w:tcPr>
            <w:tcW w:w="3308" w:type="dxa"/>
            <w:gridSpan w:val="2"/>
          </w:tcPr>
          <w:p w14:paraId="71D81484" w14:textId="77777777" w:rsidR="00045553" w:rsidRPr="006E6801" w:rsidRDefault="00045553" w:rsidP="00415E2E">
            <w:pPr>
              <w:tabs>
                <w:tab w:val="left" w:pos="3994"/>
              </w:tabs>
              <w:spacing w:line="276" w:lineRule="auto"/>
              <w:ind w:right="-1"/>
              <w:contextualSpacing/>
              <w:rPr>
                <w:rFonts w:eastAsia="Times New Roman" w:cs="Arial"/>
                <w:sz w:val="17"/>
                <w:szCs w:val="17"/>
              </w:rPr>
            </w:pPr>
          </w:p>
        </w:tc>
        <w:tc>
          <w:tcPr>
            <w:tcW w:w="3765" w:type="dxa"/>
            <w:gridSpan w:val="2"/>
          </w:tcPr>
          <w:p w14:paraId="09980B43" w14:textId="77777777" w:rsidR="00045553" w:rsidRPr="006E6801" w:rsidRDefault="00045553" w:rsidP="00415E2E">
            <w:pPr>
              <w:tabs>
                <w:tab w:val="left" w:pos="3994"/>
              </w:tabs>
              <w:spacing w:line="276" w:lineRule="auto"/>
              <w:ind w:right="-1"/>
              <w:contextualSpacing/>
              <w:jc w:val="center"/>
              <w:rPr>
                <w:rFonts w:eastAsia="Times New Roman" w:cs="Arial"/>
                <w:sz w:val="17"/>
                <w:szCs w:val="17"/>
              </w:rPr>
            </w:pPr>
          </w:p>
        </w:tc>
        <w:tc>
          <w:tcPr>
            <w:tcW w:w="3764" w:type="dxa"/>
            <w:gridSpan w:val="2"/>
          </w:tcPr>
          <w:p w14:paraId="28F4ADD5" w14:textId="77777777" w:rsidR="00045553" w:rsidRPr="006E6801" w:rsidRDefault="00045553" w:rsidP="00415E2E">
            <w:pPr>
              <w:tabs>
                <w:tab w:val="left" w:pos="3994"/>
              </w:tabs>
              <w:spacing w:line="276" w:lineRule="auto"/>
              <w:ind w:right="-1"/>
              <w:contextualSpacing/>
              <w:jc w:val="center"/>
              <w:rPr>
                <w:rFonts w:eastAsia="Times New Roman" w:cs="Arial"/>
                <w:sz w:val="17"/>
                <w:szCs w:val="17"/>
              </w:rPr>
            </w:pPr>
          </w:p>
        </w:tc>
      </w:tr>
    </w:tbl>
    <w:p w14:paraId="7B4F5FD6" w14:textId="77777777" w:rsidR="00045553" w:rsidRPr="00865867" w:rsidRDefault="00045553" w:rsidP="00045553">
      <w:pPr>
        <w:spacing w:line="259" w:lineRule="auto"/>
        <w:rPr>
          <w:rFonts w:eastAsiaTheme="minorEastAsia" w:cs="Arial"/>
        </w:rPr>
      </w:pPr>
    </w:p>
    <w:p w14:paraId="0C166A47" w14:textId="49079A15" w:rsidR="00046032" w:rsidRPr="00865867" w:rsidRDefault="00046032" w:rsidP="00045553">
      <w:pPr>
        <w:spacing w:line="276" w:lineRule="auto"/>
        <w:ind w:right="-1"/>
        <w:jc w:val="both"/>
        <w:rPr>
          <w:rFonts w:eastAsiaTheme="minorEastAsia" w:cs="Arial"/>
        </w:rPr>
      </w:pPr>
    </w:p>
    <w:sectPr w:rsidR="00046032" w:rsidRPr="00865867" w:rsidSect="00553E8A">
      <w:headerReference w:type="default" r:id="rId29"/>
      <w:footerReference w:type="default" r:id="rId30"/>
      <w:pgSz w:w="12240" w:h="15840" w:code="1"/>
      <w:pgMar w:top="1418" w:right="902" w:bottom="1843"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17D75" w14:textId="77777777" w:rsidR="001A4C66" w:rsidRDefault="001A4C66" w:rsidP="0033212B">
      <w:pPr>
        <w:spacing w:after="0" w:line="240" w:lineRule="auto"/>
      </w:pPr>
      <w:r>
        <w:separator/>
      </w:r>
    </w:p>
  </w:endnote>
  <w:endnote w:type="continuationSeparator" w:id="0">
    <w:p w14:paraId="33C67B27" w14:textId="77777777" w:rsidR="001A4C66" w:rsidRDefault="001A4C66" w:rsidP="0033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NeueLT Std Lt">
    <w:panose1 w:val="00000000000000000000"/>
    <w:charset w:val="00"/>
    <w:family w:val="swiss"/>
    <w:notTrueType/>
    <w:pitch w:val="variable"/>
    <w:sig w:usb0="800000AF" w:usb1="4000204A"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029720"/>
      <w:docPartObj>
        <w:docPartGallery w:val="Page Numbers (Bottom of Page)"/>
        <w:docPartUnique/>
      </w:docPartObj>
    </w:sdtPr>
    <w:sdtEndPr/>
    <w:sdtContent>
      <w:p w14:paraId="669210FB" w14:textId="77777777" w:rsidR="00765137" w:rsidRDefault="00765137" w:rsidP="006351E0">
        <w:pPr>
          <w:tabs>
            <w:tab w:val="left" w:pos="5685"/>
            <w:tab w:val="left" w:pos="8745"/>
            <w:tab w:val="right" w:pos="10062"/>
          </w:tabs>
        </w:pPr>
      </w:p>
      <w:p w14:paraId="0CA25423" w14:textId="77777777" w:rsidR="00765137" w:rsidRDefault="00765137" w:rsidP="006351E0">
        <w:pPr>
          <w:tabs>
            <w:tab w:val="left" w:pos="5685"/>
            <w:tab w:val="left" w:pos="8745"/>
            <w:tab w:val="right" w:pos="10062"/>
          </w:tabs>
        </w:pPr>
        <w:r>
          <w:rPr>
            <w:noProof/>
            <w:lang w:eastAsia="es-MX"/>
          </w:rPr>
          <w:drawing>
            <wp:anchor distT="0" distB="0" distL="114300" distR="114300" simplePos="0" relativeHeight="251657216" behindDoc="1" locked="0" layoutInCell="1" allowOverlap="1" wp14:anchorId="3C64784C" wp14:editId="7567D871">
              <wp:simplePos x="0" y="0"/>
              <wp:positionH relativeFrom="column">
                <wp:posOffset>-800735</wp:posOffset>
              </wp:positionH>
              <wp:positionV relativeFrom="paragraph">
                <wp:posOffset>-179070</wp:posOffset>
              </wp:positionV>
              <wp:extent cx="7760970" cy="1419225"/>
              <wp:effectExtent l="0" t="0" r="0" b="952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ja IFREM pie.jpg"/>
                      <pic:cNvPicPr/>
                    </pic:nvPicPr>
                    <pic:blipFill>
                      <a:blip r:embed="rId1">
                        <a:extLst>
                          <a:ext uri="{28A0092B-C50C-407E-A947-70E740481C1C}">
                            <a14:useLocalDpi xmlns:a14="http://schemas.microsoft.com/office/drawing/2010/main" val="0"/>
                          </a:ext>
                        </a:extLst>
                      </a:blip>
                      <a:stretch>
                        <a:fillRect/>
                      </a:stretch>
                    </pic:blipFill>
                    <pic:spPr>
                      <a:xfrm>
                        <a:off x="0" y="0"/>
                        <a:ext cx="7760970" cy="1419225"/>
                      </a:xfrm>
                      <a:prstGeom prst="rect">
                        <a:avLst/>
                      </a:prstGeom>
                    </pic:spPr>
                  </pic:pic>
                </a:graphicData>
              </a:graphic>
              <wp14:sizeRelH relativeFrom="margin">
                <wp14:pctWidth>0</wp14:pctWidth>
              </wp14:sizeRelH>
              <wp14:sizeRelV relativeFrom="margin">
                <wp14:pctHeight>0</wp14:pctHeight>
              </wp14:sizeRelV>
            </wp:anchor>
          </w:drawing>
        </w:r>
        <w:r>
          <w:tab/>
        </w:r>
      </w:p>
      <w:p w14:paraId="4A828C38" w14:textId="736D7856" w:rsidR="00765137" w:rsidRDefault="00765137" w:rsidP="00FD4233">
        <w:pPr>
          <w:tabs>
            <w:tab w:val="left" w:pos="1635"/>
            <w:tab w:val="center" w:pos="5031"/>
            <w:tab w:val="left" w:pos="6360"/>
            <w:tab w:val="left" w:pos="8445"/>
            <w:tab w:val="right" w:pos="10062"/>
          </w:tabs>
        </w:pPr>
        <w:r>
          <w:tab/>
        </w:r>
        <w:r>
          <w:tab/>
        </w:r>
        <w:r>
          <w:rPr>
            <w:b/>
            <w:bCs/>
          </w:rPr>
          <w:fldChar w:fldCharType="begin"/>
        </w:r>
        <w:r>
          <w:rPr>
            <w:b/>
            <w:bCs/>
          </w:rPr>
          <w:instrText>PAGE  \* Arabic  \* MERGEFORMAT</w:instrText>
        </w:r>
        <w:r>
          <w:rPr>
            <w:b/>
            <w:bCs/>
          </w:rPr>
          <w:fldChar w:fldCharType="separate"/>
        </w:r>
        <w:r w:rsidR="00551B6C">
          <w:rPr>
            <w:b/>
            <w:bCs/>
            <w:noProof/>
          </w:rPr>
          <w:t>29</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551B6C">
          <w:rPr>
            <w:b/>
            <w:bCs/>
            <w:noProof/>
          </w:rPr>
          <w:t>29</w:t>
        </w:r>
        <w:r>
          <w:rPr>
            <w:b/>
            <w:bCs/>
          </w:rPr>
          <w:fldChar w:fldCharType="end"/>
        </w:r>
      </w:p>
      <w:p w14:paraId="0D4A2174" w14:textId="77777777" w:rsidR="00765137" w:rsidRDefault="00765137" w:rsidP="00FD4233">
        <w:pPr>
          <w:tabs>
            <w:tab w:val="left" w:pos="1635"/>
            <w:tab w:val="center" w:pos="5031"/>
            <w:tab w:val="left" w:pos="6360"/>
            <w:tab w:val="left" w:pos="8445"/>
            <w:tab w:val="right" w:pos="10062"/>
          </w:tabs>
        </w:pPr>
        <w:r>
          <w:tab/>
        </w:r>
        <w:r>
          <w:tab/>
        </w:r>
        <w:r>
          <w:tab/>
        </w:r>
      </w:p>
      <w:p w14:paraId="6FF22233" w14:textId="77777777" w:rsidR="00765137" w:rsidRDefault="00765137" w:rsidP="001A70A8">
        <w:pPr>
          <w:pStyle w:val="Piedepgina"/>
          <w:jc w:val="center"/>
        </w:pPr>
      </w:p>
      <w:p w14:paraId="3716EE2C" w14:textId="77777777" w:rsidR="00765137" w:rsidRDefault="00765137" w:rsidP="00FD4233">
        <w:pPr>
          <w:pStyle w:val="Piedepgina"/>
          <w:jc w:val="right"/>
        </w:pPr>
      </w:p>
      <w:p w14:paraId="05BBDA57" w14:textId="77777777" w:rsidR="00765137" w:rsidRDefault="00765137" w:rsidP="001A70A8">
        <w:pPr>
          <w:pStyle w:val="Piedepgina"/>
          <w:jc w:val="center"/>
        </w:pPr>
      </w:p>
      <w:p w14:paraId="12B3F29B" w14:textId="77777777" w:rsidR="00765137" w:rsidRDefault="00765137" w:rsidP="00AB0FF1">
        <w:pPr>
          <w:pStyle w:val="Piedepgina"/>
          <w:tabs>
            <w:tab w:val="center" w:pos="5031"/>
            <w:tab w:val="left" w:pos="8520"/>
          </w:tabs>
        </w:pPr>
        <w:r>
          <w:tab/>
        </w:r>
        <w:r>
          <w:tab/>
        </w:r>
        <w:r>
          <w:tab/>
        </w:r>
      </w:p>
    </w:sdtContent>
  </w:sdt>
  <w:p w14:paraId="1C6EE43A" w14:textId="77777777" w:rsidR="00765137" w:rsidRDefault="00765137" w:rsidP="00CA6DC8">
    <w:pPr>
      <w:pStyle w:val="Piedepgina"/>
      <w:tabs>
        <w:tab w:val="clear" w:pos="4419"/>
        <w:tab w:val="center" w:pos="4181"/>
        <w:tab w:val="left" w:pos="8838"/>
      </w:tabs>
      <w:ind w:left="-1701"/>
    </w:pPr>
    <w:r>
      <w:rPr>
        <w:noProof/>
        <w:lang w:eastAsia="es-MX"/>
      </w:rPr>
      <w:t xml:space="preserve"> </w:t>
    </w:r>
    <w:r>
      <w:rPr>
        <w:noProof/>
        <w:lang w:eastAsia="es-MX"/>
      </w:rPr>
      <w:tab/>
    </w:r>
    <w:r>
      <w:rPr>
        <w:noProof/>
        <w:lang w:eastAsia="es-MX"/>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D33F6" w14:textId="77777777" w:rsidR="001A4C66" w:rsidRDefault="001A4C66" w:rsidP="0033212B">
      <w:pPr>
        <w:spacing w:after="0" w:line="240" w:lineRule="auto"/>
      </w:pPr>
      <w:r>
        <w:separator/>
      </w:r>
    </w:p>
  </w:footnote>
  <w:footnote w:type="continuationSeparator" w:id="0">
    <w:p w14:paraId="59A77155" w14:textId="77777777" w:rsidR="001A4C66" w:rsidRDefault="001A4C66" w:rsidP="00332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AB6E5" w14:textId="77777777" w:rsidR="00765137" w:rsidRDefault="00765137" w:rsidP="000316D9">
    <w:pPr>
      <w:pStyle w:val="Encabezado"/>
      <w:tabs>
        <w:tab w:val="clear" w:pos="4419"/>
        <w:tab w:val="clear" w:pos="8838"/>
      </w:tabs>
      <w:ind w:left="-1560" w:right="-1652"/>
      <w:jc w:val="center"/>
      <w:rPr>
        <w:noProof/>
        <w:lang w:eastAsia="es-MX"/>
      </w:rPr>
    </w:pPr>
    <w:r w:rsidRPr="007C7EC0">
      <w:rPr>
        <w:noProof/>
        <w:lang w:eastAsia="es-MX"/>
      </w:rPr>
      <w:drawing>
        <wp:anchor distT="0" distB="0" distL="114300" distR="114300" simplePos="0" relativeHeight="251660800" behindDoc="1" locked="0" layoutInCell="1" allowOverlap="1" wp14:anchorId="67137C2F" wp14:editId="71900032">
          <wp:simplePos x="0" y="0"/>
          <wp:positionH relativeFrom="page">
            <wp:posOffset>209550</wp:posOffset>
          </wp:positionH>
          <wp:positionV relativeFrom="page">
            <wp:posOffset>161925</wp:posOffset>
          </wp:positionV>
          <wp:extent cx="7356475" cy="657225"/>
          <wp:effectExtent l="0" t="0" r="0" b="0"/>
          <wp:wrapNone/>
          <wp:docPr id="37" name="Imagen 37" descr="C:\Users\Bruce\Google Drive\U - Informática_\Diseño Grafico\Diseño 2018\Hoja Membretada 2018\VertiU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ce\Google Drive\U - Informática_\Diseño Grafico\Diseño 2018\Hoja Membretada 2018\VertiUp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64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C71B52" w14:textId="77777777" w:rsidR="00765137" w:rsidRDefault="00765137" w:rsidP="000316D9">
    <w:pPr>
      <w:pStyle w:val="Encabezado"/>
      <w:tabs>
        <w:tab w:val="clear" w:pos="4419"/>
        <w:tab w:val="clear" w:pos="8838"/>
      </w:tabs>
      <w:ind w:left="-1560" w:right="-1652"/>
      <w:jc w:val="center"/>
      <w:rPr>
        <w:noProof/>
        <w:lang w:eastAsia="es-MX"/>
      </w:rPr>
    </w:pPr>
  </w:p>
  <w:p w14:paraId="22701878" w14:textId="77777777" w:rsidR="00765137" w:rsidRDefault="00765137" w:rsidP="000316D9">
    <w:pPr>
      <w:pStyle w:val="Encabezado"/>
      <w:tabs>
        <w:tab w:val="clear" w:pos="4419"/>
        <w:tab w:val="clear" w:pos="8838"/>
      </w:tabs>
      <w:ind w:left="-1560" w:right="-1652"/>
      <w:jc w:val="center"/>
      <w:rPr>
        <w:noProof/>
        <w:lang w:eastAsia="es-MX"/>
      </w:rPr>
    </w:pPr>
  </w:p>
  <w:p w14:paraId="41677ADA" w14:textId="77777777" w:rsidR="00765137" w:rsidRDefault="00765137" w:rsidP="00834FA0">
    <w:pPr>
      <w:pStyle w:val="Encabezado"/>
      <w:tabs>
        <w:tab w:val="clear" w:pos="4419"/>
        <w:tab w:val="clear" w:pos="8838"/>
        <w:tab w:val="left" w:pos="165"/>
        <w:tab w:val="left" w:pos="1710"/>
        <w:tab w:val="left" w:pos="5745"/>
      </w:tabs>
      <w:ind w:left="-1560" w:right="-1652"/>
      <w:rPr>
        <w:noProof/>
        <w:lang w:eastAsia="es-MX"/>
      </w:rPr>
    </w:pPr>
    <w:r>
      <w:rPr>
        <w:noProof/>
        <w:lang w:eastAsia="es-MX"/>
      </w:rPr>
      <w:tab/>
    </w:r>
    <w:r>
      <w:rPr>
        <w:noProof/>
        <w:lang w:eastAsia="es-MX"/>
      </w:rPr>
      <w:tab/>
    </w:r>
    <w:r>
      <w:rPr>
        <w:noProof/>
        <w:lang w:eastAsia="es-MX"/>
      </w:rPr>
      <w:tab/>
    </w:r>
  </w:p>
  <w:p w14:paraId="39E0CD12" w14:textId="77777777" w:rsidR="00765137" w:rsidRDefault="00765137" w:rsidP="00AB0FF1">
    <w:pPr>
      <w:pStyle w:val="Encabezado"/>
      <w:tabs>
        <w:tab w:val="clear" w:pos="4419"/>
        <w:tab w:val="clear" w:pos="8838"/>
        <w:tab w:val="left" w:pos="6345"/>
      </w:tabs>
      <w:ind w:left="-1560" w:right="-1652"/>
      <w:rPr>
        <w:noProof/>
        <w:lang w:eastAsia="es-MX"/>
      </w:rPr>
    </w:pPr>
    <w:r>
      <w:rPr>
        <w:noProof/>
        <w:lang w:eastAsia="es-MX"/>
      </w:rPr>
      <w:tab/>
    </w:r>
  </w:p>
  <w:p w14:paraId="223AE698" w14:textId="654B4A06" w:rsidR="006D27C6" w:rsidRPr="001B0745" w:rsidRDefault="006D27C6" w:rsidP="006D27C6">
    <w:pPr>
      <w:pStyle w:val="Encabezado"/>
      <w:jc w:val="center"/>
      <w:rPr>
        <w:b/>
        <w:color w:val="A6A6A6" w:themeColor="background1" w:themeShade="A6"/>
      </w:rPr>
    </w:pPr>
    <w:r w:rsidRPr="001B0745">
      <w:rPr>
        <w:rFonts w:cs="Arial"/>
        <w:b/>
      </w:rPr>
      <w:t>“202</w:t>
    </w:r>
    <w:r w:rsidR="00663FB6">
      <w:rPr>
        <w:rFonts w:cs="Arial"/>
        <w:b/>
      </w:rPr>
      <w:t xml:space="preserve">2. Año del </w:t>
    </w:r>
    <w:proofErr w:type="spellStart"/>
    <w:r w:rsidR="00663FB6">
      <w:rPr>
        <w:rFonts w:cs="Arial"/>
        <w:b/>
      </w:rPr>
      <w:t>Quincentenario</w:t>
    </w:r>
    <w:proofErr w:type="spellEnd"/>
    <w:r w:rsidR="00663FB6">
      <w:rPr>
        <w:rFonts w:cs="Arial"/>
        <w:b/>
      </w:rPr>
      <w:t xml:space="preserve"> de </w:t>
    </w:r>
    <w:r w:rsidRPr="001B0745">
      <w:rPr>
        <w:rFonts w:cs="Arial"/>
        <w:b/>
      </w:rPr>
      <w:t>Toluca, Capital del Estado de México”.</w:t>
    </w:r>
  </w:p>
  <w:p w14:paraId="1155CBD0" w14:textId="77777777" w:rsidR="00765137" w:rsidRPr="00DF66A9" w:rsidRDefault="00765137" w:rsidP="00E77535">
    <w:pPr>
      <w:pStyle w:val="Encabezado"/>
      <w:tabs>
        <w:tab w:val="clear" w:pos="4419"/>
        <w:tab w:val="clear" w:pos="8838"/>
      </w:tabs>
      <w:jc w:val="cent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99A"/>
    <w:multiLevelType w:val="hybridMultilevel"/>
    <w:tmpl w:val="292854E6"/>
    <w:lvl w:ilvl="0" w:tplc="871A611E">
      <w:start w:val="4"/>
      <w:numFmt w:val="upperRoman"/>
      <w:lvlText w:val="%1."/>
      <w:lvlJc w:val="left"/>
      <w:pPr>
        <w:ind w:left="1428" w:hanging="720"/>
      </w:pPr>
      <w:rPr>
        <w:rFonts w:eastAsia="Times New Roman"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C6E71B2"/>
    <w:multiLevelType w:val="multilevel"/>
    <w:tmpl w:val="D64A7F1E"/>
    <w:lvl w:ilvl="0">
      <w:start w:val="4"/>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AE7C0B"/>
    <w:multiLevelType w:val="multilevel"/>
    <w:tmpl w:val="C2884EC0"/>
    <w:lvl w:ilvl="0">
      <w:start w:val="1"/>
      <w:numFmt w:val="upperRoman"/>
      <w:lvlText w:val="%1."/>
      <w:lvlJc w:val="right"/>
      <w:pPr>
        <w:ind w:left="-696" w:hanging="360"/>
      </w:pPr>
    </w:lvl>
    <w:lvl w:ilvl="1">
      <w:start w:val="1"/>
      <w:numFmt w:val="lowerLetter"/>
      <w:lvlText w:val="%2)"/>
      <w:lvlJc w:val="left"/>
      <w:pPr>
        <w:ind w:left="-336" w:hanging="360"/>
      </w:pPr>
    </w:lvl>
    <w:lvl w:ilvl="2">
      <w:start w:val="1"/>
      <w:numFmt w:val="lowerRoman"/>
      <w:lvlText w:val="%3)"/>
      <w:lvlJc w:val="left"/>
      <w:pPr>
        <w:ind w:left="24" w:hanging="360"/>
      </w:pPr>
    </w:lvl>
    <w:lvl w:ilvl="3">
      <w:start w:val="1"/>
      <w:numFmt w:val="decimal"/>
      <w:lvlText w:val="(%4)"/>
      <w:lvlJc w:val="left"/>
      <w:pPr>
        <w:ind w:left="384" w:hanging="360"/>
      </w:pPr>
    </w:lvl>
    <w:lvl w:ilvl="4">
      <w:start w:val="1"/>
      <w:numFmt w:val="lowerLetter"/>
      <w:lvlText w:val="(%5)"/>
      <w:lvlJc w:val="left"/>
      <w:pPr>
        <w:ind w:left="744" w:hanging="360"/>
      </w:pPr>
    </w:lvl>
    <w:lvl w:ilvl="5">
      <w:start w:val="1"/>
      <w:numFmt w:val="lowerRoman"/>
      <w:lvlText w:val="(%6)"/>
      <w:lvlJc w:val="left"/>
      <w:pPr>
        <w:ind w:left="1104" w:hanging="360"/>
      </w:pPr>
    </w:lvl>
    <w:lvl w:ilvl="6">
      <w:start w:val="1"/>
      <w:numFmt w:val="decimal"/>
      <w:lvlText w:val="%7."/>
      <w:lvlJc w:val="left"/>
      <w:pPr>
        <w:ind w:left="1464" w:hanging="360"/>
      </w:pPr>
    </w:lvl>
    <w:lvl w:ilvl="7">
      <w:start w:val="1"/>
      <w:numFmt w:val="lowerLetter"/>
      <w:lvlText w:val="%8."/>
      <w:lvlJc w:val="left"/>
      <w:pPr>
        <w:ind w:left="1824" w:hanging="360"/>
      </w:pPr>
    </w:lvl>
    <w:lvl w:ilvl="8">
      <w:start w:val="1"/>
      <w:numFmt w:val="lowerRoman"/>
      <w:lvlText w:val="%9."/>
      <w:lvlJc w:val="left"/>
      <w:pPr>
        <w:ind w:left="2184" w:hanging="360"/>
      </w:pPr>
    </w:lvl>
  </w:abstractNum>
  <w:abstractNum w:abstractNumId="3" w15:restartNumberingAfterBreak="0">
    <w:nsid w:val="20A5109C"/>
    <w:multiLevelType w:val="hybridMultilevel"/>
    <w:tmpl w:val="DB18C48C"/>
    <w:lvl w:ilvl="0" w:tplc="C388E176">
      <w:start w:val="1"/>
      <w:numFmt w:val="lowerLetter"/>
      <w:lvlText w:val="%1)"/>
      <w:lvlJc w:val="left"/>
      <w:pPr>
        <w:ind w:left="106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394F90"/>
    <w:multiLevelType w:val="hybridMultilevel"/>
    <w:tmpl w:val="0A06D9DC"/>
    <w:lvl w:ilvl="0" w:tplc="447EE8C2">
      <w:start w:val="1"/>
      <w:numFmt w:val="decimal"/>
      <w:lvlText w:val="%1."/>
      <w:lvlJc w:val="left"/>
      <w:pPr>
        <w:ind w:left="644" w:hanging="360"/>
      </w:pPr>
      <w:rPr>
        <w:rFonts w:ascii="Helvetica" w:hAnsi="Helvetica" w:cs="Helvetica" w:hint="default"/>
        <w:b/>
        <w:sz w:val="20"/>
        <w:szCs w:val="2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352B6C21"/>
    <w:multiLevelType w:val="multilevel"/>
    <w:tmpl w:val="BBFE9AFC"/>
    <w:lvl w:ilvl="0">
      <w:start w:val="1"/>
      <w:numFmt w:val="decimal"/>
      <w:lvlText w:val="%1."/>
      <w:lvlJc w:val="left"/>
      <w:pPr>
        <w:ind w:left="502" w:hanging="360"/>
      </w:pPr>
      <w:rPr>
        <w:rFonts w:ascii="HelveticaNeueLT Std" w:hAnsi="HelveticaNeueLT Std" w:hint="default"/>
        <w:b/>
        <w:bCs w:val="0"/>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53A2A73"/>
    <w:multiLevelType w:val="hybridMultilevel"/>
    <w:tmpl w:val="9740EFA8"/>
    <w:lvl w:ilvl="0" w:tplc="080A0017">
      <w:start w:val="1"/>
      <w:numFmt w:val="lowerLetter"/>
      <w:lvlText w:val="%1)"/>
      <w:lvlJc w:val="left"/>
      <w:pPr>
        <w:ind w:left="786"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3AD84045"/>
    <w:multiLevelType w:val="hybridMultilevel"/>
    <w:tmpl w:val="0118487C"/>
    <w:lvl w:ilvl="0" w:tplc="202826A4">
      <w:start w:val="1"/>
      <w:numFmt w:val="decimal"/>
      <w:lvlText w:val="%1."/>
      <w:lvlJc w:val="left"/>
      <w:pPr>
        <w:ind w:left="644" w:hanging="360"/>
      </w:pPr>
      <w:rPr>
        <w:rFonts w:ascii="HelveticaNeueLT Std" w:hAnsi="HelveticaNeueLT Std" w:hint="default"/>
        <w:b/>
        <w:sz w:val="20"/>
        <w:szCs w:val="2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46684474"/>
    <w:multiLevelType w:val="hybridMultilevel"/>
    <w:tmpl w:val="A4FA882E"/>
    <w:lvl w:ilvl="0" w:tplc="57D86B80">
      <w:start w:val="3"/>
      <w:numFmt w:val="lowerLetter"/>
      <w:lvlText w:val="%1)"/>
      <w:lvlJc w:val="left"/>
      <w:pPr>
        <w:ind w:left="1068"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9674AB3"/>
    <w:multiLevelType w:val="hybridMultilevel"/>
    <w:tmpl w:val="0E7864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0EC33BB"/>
    <w:multiLevelType w:val="hybridMultilevel"/>
    <w:tmpl w:val="DB18C48C"/>
    <w:lvl w:ilvl="0" w:tplc="FFFFFFFF">
      <w:start w:val="1"/>
      <w:numFmt w:val="lowerLetter"/>
      <w:lvlText w:val="%1)"/>
      <w:lvlJc w:val="left"/>
      <w:pPr>
        <w:ind w:left="1068"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C4515A2"/>
    <w:multiLevelType w:val="hybridMultilevel"/>
    <w:tmpl w:val="2368D760"/>
    <w:lvl w:ilvl="0" w:tplc="81809724">
      <w:start w:val="13"/>
      <w:numFmt w:val="decimal"/>
      <w:lvlText w:val="%1."/>
      <w:lvlJc w:val="left"/>
      <w:pPr>
        <w:ind w:left="2487"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E46773"/>
    <w:multiLevelType w:val="multilevel"/>
    <w:tmpl w:val="12CC9550"/>
    <w:lvl w:ilvl="0">
      <w:start w:val="5"/>
      <w:numFmt w:val="decimal"/>
      <w:lvlText w:val="%1."/>
      <w:lvlJc w:val="left"/>
      <w:pPr>
        <w:ind w:left="928" w:hanging="360"/>
      </w:pPr>
      <w:rPr>
        <w:rFonts w:ascii="HelveticaNeueLT Std" w:hAnsi="HelveticaNeueLT Std" w:hint="default"/>
        <w:b/>
        <w:sz w:val="20"/>
        <w:szCs w:val="20"/>
      </w:rPr>
    </w:lvl>
    <w:lvl w:ilvl="1">
      <w:start w:val="1"/>
      <w:numFmt w:val="lowerLetter"/>
      <w:lvlText w:val="%2)"/>
      <w:lvlJc w:val="left"/>
      <w:pPr>
        <w:ind w:left="1146" w:hanging="360"/>
      </w:pPr>
      <w:rPr>
        <w:rFonts w:hint="default"/>
        <w:b/>
      </w:rPr>
    </w:lvl>
    <w:lvl w:ilvl="2">
      <w:start w:val="1"/>
      <w:numFmt w:val="lowerRoman"/>
      <w:lvlText w:val="%3)"/>
      <w:lvlJc w:val="left"/>
      <w:pPr>
        <w:ind w:left="1506" w:hanging="36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13" w15:restartNumberingAfterBreak="0">
    <w:nsid w:val="660B1180"/>
    <w:multiLevelType w:val="hybridMultilevel"/>
    <w:tmpl w:val="14600436"/>
    <w:lvl w:ilvl="0" w:tplc="625CC13C">
      <w:start w:val="1"/>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0E0E26"/>
    <w:multiLevelType w:val="multilevel"/>
    <w:tmpl w:val="5E929742"/>
    <w:lvl w:ilvl="0">
      <w:start w:val="1"/>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B757B43"/>
    <w:multiLevelType w:val="hybridMultilevel"/>
    <w:tmpl w:val="4880B066"/>
    <w:lvl w:ilvl="0" w:tplc="50E022D4">
      <w:start w:val="1"/>
      <w:numFmt w:val="decimal"/>
      <w:lvlText w:val="%1."/>
      <w:lvlJc w:val="left"/>
      <w:pPr>
        <w:ind w:left="2487"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5"/>
  </w:num>
  <w:num w:numId="2">
    <w:abstractNumId w:val="2"/>
  </w:num>
  <w:num w:numId="3">
    <w:abstractNumId w:val="15"/>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0"/>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trackedChange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2B"/>
    <w:rsid w:val="000000D0"/>
    <w:rsid w:val="0000057C"/>
    <w:rsid w:val="000027DB"/>
    <w:rsid w:val="00003910"/>
    <w:rsid w:val="00003AD6"/>
    <w:rsid w:val="00003D73"/>
    <w:rsid w:val="00006ED2"/>
    <w:rsid w:val="00010FD9"/>
    <w:rsid w:val="00012845"/>
    <w:rsid w:val="0001352F"/>
    <w:rsid w:val="00013CA0"/>
    <w:rsid w:val="00014705"/>
    <w:rsid w:val="00015E63"/>
    <w:rsid w:val="00015FA6"/>
    <w:rsid w:val="00016F2A"/>
    <w:rsid w:val="0001768C"/>
    <w:rsid w:val="00020432"/>
    <w:rsid w:val="00021777"/>
    <w:rsid w:val="00021DE1"/>
    <w:rsid w:val="00022C7E"/>
    <w:rsid w:val="00023709"/>
    <w:rsid w:val="000251C1"/>
    <w:rsid w:val="0002608C"/>
    <w:rsid w:val="000265E6"/>
    <w:rsid w:val="00026EBB"/>
    <w:rsid w:val="00030511"/>
    <w:rsid w:val="00030B0F"/>
    <w:rsid w:val="00030B5E"/>
    <w:rsid w:val="000316D9"/>
    <w:rsid w:val="000317E9"/>
    <w:rsid w:val="000326A2"/>
    <w:rsid w:val="00033E8D"/>
    <w:rsid w:val="0003577A"/>
    <w:rsid w:val="00036200"/>
    <w:rsid w:val="0003620D"/>
    <w:rsid w:val="000372E0"/>
    <w:rsid w:val="0003731C"/>
    <w:rsid w:val="00037C59"/>
    <w:rsid w:val="000405AF"/>
    <w:rsid w:val="000413C6"/>
    <w:rsid w:val="00043D55"/>
    <w:rsid w:val="00045553"/>
    <w:rsid w:val="00045845"/>
    <w:rsid w:val="00046032"/>
    <w:rsid w:val="000476DA"/>
    <w:rsid w:val="000477EA"/>
    <w:rsid w:val="00050B6C"/>
    <w:rsid w:val="000526C7"/>
    <w:rsid w:val="000564CF"/>
    <w:rsid w:val="00057473"/>
    <w:rsid w:val="00057789"/>
    <w:rsid w:val="00061AB7"/>
    <w:rsid w:val="00062DFB"/>
    <w:rsid w:val="000638B3"/>
    <w:rsid w:val="00064186"/>
    <w:rsid w:val="000641A2"/>
    <w:rsid w:val="00065EED"/>
    <w:rsid w:val="00065FD4"/>
    <w:rsid w:val="0007108F"/>
    <w:rsid w:val="00072B06"/>
    <w:rsid w:val="00072DE9"/>
    <w:rsid w:val="00073B8C"/>
    <w:rsid w:val="00075698"/>
    <w:rsid w:val="00077842"/>
    <w:rsid w:val="00077BCD"/>
    <w:rsid w:val="00077E11"/>
    <w:rsid w:val="00080B11"/>
    <w:rsid w:val="00081271"/>
    <w:rsid w:val="0008290A"/>
    <w:rsid w:val="00082CB1"/>
    <w:rsid w:val="00083D56"/>
    <w:rsid w:val="00084D06"/>
    <w:rsid w:val="00084D64"/>
    <w:rsid w:val="0008563B"/>
    <w:rsid w:val="00087BD1"/>
    <w:rsid w:val="00091600"/>
    <w:rsid w:val="00094250"/>
    <w:rsid w:val="00094DD0"/>
    <w:rsid w:val="0009517D"/>
    <w:rsid w:val="00096447"/>
    <w:rsid w:val="000968F8"/>
    <w:rsid w:val="0009757F"/>
    <w:rsid w:val="000A081E"/>
    <w:rsid w:val="000A1039"/>
    <w:rsid w:val="000A228A"/>
    <w:rsid w:val="000A27A8"/>
    <w:rsid w:val="000A2ADF"/>
    <w:rsid w:val="000A2B0A"/>
    <w:rsid w:val="000A30E0"/>
    <w:rsid w:val="000A3489"/>
    <w:rsid w:val="000A3DA3"/>
    <w:rsid w:val="000A43FC"/>
    <w:rsid w:val="000A4773"/>
    <w:rsid w:val="000A4B51"/>
    <w:rsid w:val="000A4CD9"/>
    <w:rsid w:val="000A4FB8"/>
    <w:rsid w:val="000A52F1"/>
    <w:rsid w:val="000A7CAE"/>
    <w:rsid w:val="000B027A"/>
    <w:rsid w:val="000B03BB"/>
    <w:rsid w:val="000B07D7"/>
    <w:rsid w:val="000B0F33"/>
    <w:rsid w:val="000B124F"/>
    <w:rsid w:val="000B14E6"/>
    <w:rsid w:val="000B2010"/>
    <w:rsid w:val="000B6CB2"/>
    <w:rsid w:val="000C0132"/>
    <w:rsid w:val="000C08D7"/>
    <w:rsid w:val="000C2189"/>
    <w:rsid w:val="000C5056"/>
    <w:rsid w:val="000C5544"/>
    <w:rsid w:val="000C7778"/>
    <w:rsid w:val="000C7DD0"/>
    <w:rsid w:val="000D01F5"/>
    <w:rsid w:val="000D09FF"/>
    <w:rsid w:val="000D1290"/>
    <w:rsid w:val="000D1B63"/>
    <w:rsid w:val="000D40F1"/>
    <w:rsid w:val="000D5865"/>
    <w:rsid w:val="000D5A73"/>
    <w:rsid w:val="000D7280"/>
    <w:rsid w:val="000E0256"/>
    <w:rsid w:val="000E0552"/>
    <w:rsid w:val="000E31FD"/>
    <w:rsid w:val="000E38D9"/>
    <w:rsid w:val="000E5435"/>
    <w:rsid w:val="000E57F1"/>
    <w:rsid w:val="000E62EC"/>
    <w:rsid w:val="000E650B"/>
    <w:rsid w:val="000E7537"/>
    <w:rsid w:val="000F0D32"/>
    <w:rsid w:val="000F401A"/>
    <w:rsid w:val="000F432A"/>
    <w:rsid w:val="000F4A95"/>
    <w:rsid w:val="000F4FF2"/>
    <w:rsid w:val="000F6B12"/>
    <w:rsid w:val="000F737A"/>
    <w:rsid w:val="00100535"/>
    <w:rsid w:val="00105047"/>
    <w:rsid w:val="00105746"/>
    <w:rsid w:val="001071D9"/>
    <w:rsid w:val="001104E6"/>
    <w:rsid w:val="001104EE"/>
    <w:rsid w:val="00110CC9"/>
    <w:rsid w:val="001120FF"/>
    <w:rsid w:val="00113064"/>
    <w:rsid w:val="001135F5"/>
    <w:rsid w:val="00114174"/>
    <w:rsid w:val="0011496B"/>
    <w:rsid w:val="00116705"/>
    <w:rsid w:val="001167C1"/>
    <w:rsid w:val="00121D31"/>
    <w:rsid w:val="0012306F"/>
    <w:rsid w:val="00123396"/>
    <w:rsid w:val="00124778"/>
    <w:rsid w:val="00124F83"/>
    <w:rsid w:val="00125235"/>
    <w:rsid w:val="001255FF"/>
    <w:rsid w:val="00130387"/>
    <w:rsid w:val="00130799"/>
    <w:rsid w:val="00130EA5"/>
    <w:rsid w:val="00132E32"/>
    <w:rsid w:val="00132ED2"/>
    <w:rsid w:val="00136ED5"/>
    <w:rsid w:val="00136FAC"/>
    <w:rsid w:val="00140429"/>
    <w:rsid w:val="001428F0"/>
    <w:rsid w:val="00142D95"/>
    <w:rsid w:val="001433AD"/>
    <w:rsid w:val="001436FB"/>
    <w:rsid w:val="00143879"/>
    <w:rsid w:val="0014449F"/>
    <w:rsid w:val="001447AD"/>
    <w:rsid w:val="001449EF"/>
    <w:rsid w:val="00145D52"/>
    <w:rsid w:val="00152B8F"/>
    <w:rsid w:val="00152CE4"/>
    <w:rsid w:val="00153C26"/>
    <w:rsid w:val="00154103"/>
    <w:rsid w:val="00154D1C"/>
    <w:rsid w:val="00155156"/>
    <w:rsid w:val="001554DD"/>
    <w:rsid w:val="00155A9D"/>
    <w:rsid w:val="001570DC"/>
    <w:rsid w:val="001600FB"/>
    <w:rsid w:val="0016041F"/>
    <w:rsid w:val="00160821"/>
    <w:rsid w:val="00160DC6"/>
    <w:rsid w:val="00162DBD"/>
    <w:rsid w:val="00163812"/>
    <w:rsid w:val="00164183"/>
    <w:rsid w:val="0016506D"/>
    <w:rsid w:val="001655A5"/>
    <w:rsid w:val="001678EA"/>
    <w:rsid w:val="00171698"/>
    <w:rsid w:val="00171741"/>
    <w:rsid w:val="00173CC3"/>
    <w:rsid w:val="00173DBF"/>
    <w:rsid w:val="00174100"/>
    <w:rsid w:val="00175DCD"/>
    <w:rsid w:val="001760E2"/>
    <w:rsid w:val="001800B6"/>
    <w:rsid w:val="00180232"/>
    <w:rsid w:val="00180A93"/>
    <w:rsid w:val="001811A8"/>
    <w:rsid w:val="001811DB"/>
    <w:rsid w:val="0018123E"/>
    <w:rsid w:val="00181B3F"/>
    <w:rsid w:val="00183E10"/>
    <w:rsid w:val="00183F2F"/>
    <w:rsid w:val="00184BE1"/>
    <w:rsid w:val="00184E76"/>
    <w:rsid w:val="001855D6"/>
    <w:rsid w:val="00185A49"/>
    <w:rsid w:val="00190087"/>
    <w:rsid w:val="00191331"/>
    <w:rsid w:val="00191E56"/>
    <w:rsid w:val="001945FE"/>
    <w:rsid w:val="00194F29"/>
    <w:rsid w:val="00195ADE"/>
    <w:rsid w:val="001A0DBE"/>
    <w:rsid w:val="001A309B"/>
    <w:rsid w:val="001A3EA4"/>
    <w:rsid w:val="001A42C4"/>
    <w:rsid w:val="001A4C66"/>
    <w:rsid w:val="001A4DCE"/>
    <w:rsid w:val="001A641B"/>
    <w:rsid w:val="001A6685"/>
    <w:rsid w:val="001A6D07"/>
    <w:rsid w:val="001A70A8"/>
    <w:rsid w:val="001B02B7"/>
    <w:rsid w:val="001B054A"/>
    <w:rsid w:val="001B0613"/>
    <w:rsid w:val="001B1326"/>
    <w:rsid w:val="001B1E2C"/>
    <w:rsid w:val="001B3BFD"/>
    <w:rsid w:val="001B4811"/>
    <w:rsid w:val="001B5859"/>
    <w:rsid w:val="001B5DCF"/>
    <w:rsid w:val="001B6A78"/>
    <w:rsid w:val="001B79F0"/>
    <w:rsid w:val="001B7A3D"/>
    <w:rsid w:val="001C1913"/>
    <w:rsid w:val="001C21AA"/>
    <w:rsid w:val="001C2D9F"/>
    <w:rsid w:val="001C32DD"/>
    <w:rsid w:val="001C33D8"/>
    <w:rsid w:val="001C36BA"/>
    <w:rsid w:val="001C54BE"/>
    <w:rsid w:val="001C6622"/>
    <w:rsid w:val="001C72C4"/>
    <w:rsid w:val="001D1BE7"/>
    <w:rsid w:val="001D237E"/>
    <w:rsid w:val="001D3007"/>
    <w:rsid w:val="001D5057"/>
    <w:rsid w:val="001D5210"/>
    <w:rsid w:val="001D5A6E"/>
    <w:rsid w:val="001D74CB"/>
    <w:rsid w:val="001D793E"/>
    <w:rsid w:val="001E06EF"/>
    <w:rsid w:val="001E1AC9"/>
    <w:rsid w:val="001E1B89"/>
    <w:rsid w:val="001E24BD"/>
    <w:rsid w:val="001E25C6"/>
    <w:rsid w:val="001E396C"/>
    <w:rsid w:val="001E4762"/>
    <w:rsid w:val="001E4D68"/>
    <w:rsid w:val="001E5489"/>
    <w:rsid w:val="001F057C"/>
    <w:rsid w:val="001F05AD"/>
    <w:rsid w:val="001F0CE1"/>
    <w:rsid w:val="001F1301"/>
    <w:rsid w:val="001F1B28"/>
    <w:rsid w:val="001F1EE1"/>
    <w:rsid w:val="001F1FF9"/>
    <w:rsid w:val="001F3B81"/>
    <w:rsid w:val="001F5305"/>
    <w:rsid w:val="001F58A5"/>
    <w:rsid w:val="001F69B3"/>
    <w:rsid w:val="00200343"/>
    <w:rsid w:val="00200637"/>
    <w:rsid w:val="00201252"/>
    <w:rsid w:val="00201773"/>
    <w:rsid w:val="0020245B"/>
    <w:rsid w:val="00203D51"/>
    <w:rsid w:val="0020644C"/>
    <w:rsid w:val="00207337"/>
    <w:rsid w:val="002109AC"/>
    <w:rsid w:val="002134C1"/>
    <w:rsid w:val="00213972"/>
    <w:rsid w:val="002149F5"/>
    <w:rsid w:val="002158CB"/>
    <w:rsid w:val="00216916"/>
    <w:rsid w:val="00216D3C"/>
    <w:rsid w:val="002174D6"/>
    <w:rsid w:val="00217C12"/>
    <w:rsid w:val="002201A1"/>
    <w:rsid w:val="00221377"/>
    <w:rsid w:val="00221CB3"/>
    <w:rsid w:val="00225B52"/>
    <w:rsid w:val="00225CA1"/>
    <w:rsid w:val="00226C82"/>
    <w:rsid w:val="002279D7"/>
    <w:rsid w:val="00230732"/>
    <w:rsid w:val="002332C2"/>
    <w:rsid w:val="00234940"/>
    <w:rsid w:val="00234C75"/>
    <w:rsid w:val="0023559E"/>
    <w:rsid w:val="0023626F"/>
    <w:rsid w:val="00236CC6"/>
    <w:rsid w:val="002404C8"/>
    <w:rsid w:val="002406D4"/>
    <w:rsid w:val="00240CFC"/>
    <w:rsid w:val="00240E9D"/>
    <w:rsid w:val="00241CF2"/>
    <w:rsid w:val="0024210F"/>
    <w:rsid w:val="00242134"/>
    <w:rsid w:val="00243011"/>
    <w:rsid w:val="00243580"/>
    <w:rsid w:val="00244598"/>
    <w:rsid w:val="00245317"/>
    <w:rsid w:val="0024535F"/>
    <w:rsid w:val="00245FE2"/>
    <w:rsid w:val="00246044"/>
    <w:rsid w:val="002465BB"/>
    <w:rsid w:val="0025080E"/>
    <w:rsid w:val="00251395"/>
    <w:rsid w:val="00251DC8"/>
    <w:rsid w:val="00256473"/>
    <w:rsid w:val="00256F96"/>
    <w:rsid w:val="002577A6"/>
    <w:rsid w:val="00262E22"/>
    <w:rsid w:val="0026485F"/>
    <w:rsid w:val="00264D0E"/>
    <w:rsid w:val="00267222"/>
    <w:rsid w:val="0026744F"/>
    <w:rsid w:val="00272116"/>
    <w:rsid w:val="00272BA0"/>
    <w:rsid w:val="002734FE"/>
    <w:rsid w:val="00273EB5"/>
    <w:rsid w:val="00274345"/>
    <w:rsid w:val="00275B2C"/>
    <w:rsid w:val="00276066"/>
    <w:rsid w:val="00276777"/>
    <w:rsid w:val="002804D1"/>
    <w:rsid w:val="00280535"/>
    <w:rsid w:val="00280B40"/>
    <w:rsid w:val="0028147E"/>
    <w:rsid w:val="002835AB"/>
    <w:rsid w:val="00283C9F"/>
    <w:rsid w:val="002859B7"/>
    <w:rsid w:val="00287E5C"/>
    <w:rsid w:val="002909EB"/>
    <w:rsid w:val="002911AD"/>
    <w:rsid w:val="00292418"/>
    <w:rsid w:val="00293DA7"/>
    <w:rsid w:val="00296101"/>
    <w:rsid w:val="002964C3"/>
    <w:rsid w:val="002969C0"/>
    <w:rsid w:val="002A1636"/>
    <w:rsid w:val="002A193B"/>
    <w:rsid w:val="002A2AAD"/>
    <w:rsid w:val="002A5B22"/>
    <w:rsid w:val="002A7A96"/>
    <w:rsid w:val="002B010B"/>
    <w:rsid w:val="002B0BED"/>
    <w:rsid w:val="002B208A"/>
    <w:rsid w:val="002B23B8"/>
    <w:rsid w:val="002B344E"/>
    <w:rsid w:val="002B6494"/>
    <w:rsid w:val="002B747B"/>
    <w:rsid w:val="002B7DCD"/>
    <w:rsid w:val="002C089B"/>
    <w:rsid w:val="002C1500"/>
    <w:rsid w:val="002C2C79"/>
    <w:rsid w:val="002C44BF"/>
    <w:rsid w:val="002C6A51"/>
    <w:rsid w:val="002D0E71"/>
    <w:rsid w:val="002D109B"/>
    <w:rsid w:val="002D1F2E"/>
    <w:rsid w:val="002D29BC"/>
    <w:rsid w:val="002D2E53"/>
    <w:rsid w:val="002D4356"/>
    <w:rsid w:val="002D5D22"/>
    <w:rsid w:val="002D667F"/>
    <w:rsid w:val="002E0E52"/>
    <w:rsid w:val="002E2BBF"/>
    <w:rsid w:val="002E3316"/>
    <w:rsid w:val="002E378E"/>
    <w:rsid w:val="002E3C79"/>
    <w:rsid w:val="002E3F40"/>
    <w:rsid w:val="002E3F91"/>
    <w:rsid w:val="002E4880"/>
    <w:rsid w:val="002E55E9"/>
    <w:rsid w:val="002E63CE"/>
    <w:rsid w:val="002E7BFD"/>
    <w:rsid w:val="002F0675"/>
    <w:rsid w:val="002F1339"/>
    <w:rsid w:val="002F29EA"/>
    <w:rsid w:val="002F561B"/>
    <w:rsid w:val="002F7710"/>
    <w:rsid w:val="002F7CAF"/>
    <w:rsid w:val="003002EF"/>
    <w:rsid w:val="00300C9C"/>
    <w:rsid w:val="00301158"/>
    <w:rsid w:val="003042BB"/>
    <w:rsid w:val="003047F9"/>
    <w:rsid w:val="00305455"/>
    <w:rsid w:val="00306181"/>
    <w:rsid w:val="003062C3"/>
    <w:rsid w:val="00307B73"/>
    <w:rsid w:val="00312163"/>
    <w:rsid w:val="003122EC"/>
    <w:rsid w:val="003135E5"/>
    <w:rsid w:val="003148A8"/>
    <w:rsid w:val="00316036"/>
    <w:rsid w:val="0031644B"/>
    <w:rsid w:val="00316D48"/>
    <w:rsid w:val="00316D5D"/>
    <w:rsid w:val="00316DEB"/>
    <w:rsid w:val="00320151"/>
    <w:rsid w:val="00320AF3"/>
    <w:rsid w:val="00320B6F"/>
    <w:rsid w:val="00320C0E"/>
    <w:rsid w:val="00321046"/>
    <w:rsid w:val="003217AE"/>
    <w:rsid w:val="00322CA9"/>
    <w:rsid w:val="0032595A"/>
    <w:rsid w:val="00325BCF"/>
    <w:rsid w:val="00331541"/>
    <w:rsid w:val="0033212B"/>
    <w:rsid w:val="00333772"/>
    <w:rsid w:val="0033471E"/>
    <w:rsid w:val="00335251"/>
    <w:rsid w:val="00336040"/>
    <w:rsid w:val="0033665F"/>
    <w:rsid w:val="00340A9D"/>
    <w:rsid w:val="003432D8"/>
    <w:rsid w:val="00343555"/>
    <w:rsid w:val="00343EFA"/>
    <w:rsid w:val="0034582A"/>
    <w:rsid w:val="0034689D"/>
    <w:rsid w:val="00346E2E"/>
    <w:rsid w:val="003476D9"/>
    <w:rsid w:val="00347A93"/>
    <w:rsid w:val="0035174E"/>
    <w:rsid w:val="0035214D"/>
    <w:rsid w:val="00352817"/>
    <w:rsid w:val="003537A0"/>
    <w:rsid w:val="0035391C"/>
    <w:rsid w:val="00353F8B"/>
    <w:rsid w:val="003542D6"/>
    <w:rsid w:val="00354592"/>
    <w:rsid w:val="003547B9"/>
    <w:rsid w:val="00356AAE"/>
    <w:rsid w:val="00356C4C"/>
    <w:rsid w:val="00356CF2"/>
    <w:rsid w:val="00356F73"/>
    <w:rsid w:val="00361EF9"/>
    <w:rsid w:val="00362C2A"/>
    <w:rsid w:val="00363D07"/>
    <w:rsid w:val="003644D5"/>
    <w:rsid w:val="003648E4"/>
    <w:rsid w:val="003651B1"/>
    <w:rsid w:val="003661BD"/>
    <w:rsid w:val="0036630F"/>
    <w:rsid w:val="00367E78"/>
    <w:rsid w:val="00370BA2"/>
    <w:rsid w:val="00370DAC"/>
    <w:rsid w:val="00372A64"/>
    <w:rsid w:val="003734DF"/>
    <w:rsid w:val="00373AD7"/>
    <w:rsid w:val="00373C05"/>
    <w:rsid w:val="00374D28"/>
    <w:rsid w:val="0037547A"/>
    <w:rsid w:val="00375A6D"/>
    <w:rsid w:val="003763C7"/>
    <w:rsid w:val="00376CAF"/>
    <w:rsid w:val="0038035B"/>
    <w:rsid w:val="003807BD"/>
    <w:rsid w:val="00380CB3"/>
    <w:rsid w:val="0038121B"/>
    <w:rsid w:val="003826EC"/>
    <w:rsid w:val="0038291E"/>
    <w:rsid w:val="00383861"/>
    <w:rsid w:val="0038425C"/>
    <w:rsid w:val="003846FC"/>
    <w:rsid w:val="003869AF"/>
    <w:rsid w:val="003907EC"/>
    <w:rsid w:val="00390BB9"/>
    <w:rsid w:val="00392564"/>
    <w:rsid w:val="003936EC"/>
    <w:rsid w:val="0039385E"/>
    <w:rsid w:val="00394024"/>
    <w:rsid w:val="00396D4F"/>
    <w:rsid w:val="00396F02"/>
    <w:rsid w:val="003A05A0"/>
    <w:rsid w:val="003A2CD8"/>
    <w:rsid w:val="003A2CDD"/>
    <w:rsid w:val="003A39D3"/>
    <w:rsid w:val="003A3A0B"/>
    <w:rsid w:val="003A411E"/>
    <w:rsid w:val="003A4CCC"/>
    <w:rsid w:val="003A50C1"/>
    <w:rsid w:val="003A53F6"/>
    <w:rsid w:val="003A5A3E"/>
    <w:rsid w:val="003A7B09"/>
    <w:rsid w:val="003B1296"/>
    <w:rsid w:val="003B2588"/>
    <w:rsid w:val="003B3E10"/>
    <w:rsid w:val="003B6142"/>
    <w:rsid w:val="003B663E"/>
    <w:rsid w:val="003C037F"/>
    <w:rsid w:val="003C03E7"/>
    <w:rsid w:val="003C09F5"/>
    <w:rsid w:val="003C0FA2"/>
    <w:rsid w:val="003C1F1B"/>
    <w:rsid w:val="003C5964"/>
    <w:rsid w:val="003C5EF2"/>
    <w:rsid w:val="003C6810"/>
    <w:rsid w:val="003C6C0E"/>
    <w:rsid w:val="003C7D90"/>
    <w:rsid w:val="003D03BC"/>
    <w:rsid w:val="003D1F6A"/>
    <w:rsid w:val="003D3B9A"/>
    <w:rsid w:val="003D4F2B"/>
    <w:rsid w:val="003D677E"/>
    <w:rsid w:val="003D73E4"/>
    <w:rsid w:val="003D79D8"/>
    <w:rsid w:val="003D7CBE"/>
    <w:rsid w:val="003E5B9A"/>
    <w:rsid w:val="003E650B"/>
    <w:rsid w:val="003E779C"/>
    <w:rsid w:val="003F0258"/>
    <w:rsid w:val="003F07F3"/>
    <w:rsid w:val="003F18B1"/>
    <w:rsid w:val="003F517E"/>
    <w:rsid w:val="003F6EAF"/>
    <w:rsid w:val="003F76F5"/>
    <w:rsid w:val="003F77FC"/>
    <w:rsid w:val="003F7F29"/>
    <w:rsid w:val="00402DCF"/>
    <w:rsid w:val="004039C8"/>
    <w:rsid w:val="00403D57"/>
    <w:rsid w:val="004047EA"/>
    <w:rsid w:val="004059A4"/>
    <w:rsid w:val="004063E7"/>
    <w:rsid w:val="00407871"/>
    <w:rsid w:val="00407A26"/>
    <w:rsid w:val="00407C3C"/>
    <w:rsid w:val="00410DEE"/>
    <w:rsid w:val="004128EE"/>
    <w:rsid w:val="00412FBB"/>
    <w:rsid w:val="004161C8"/>
    <w:rsid w:val="00416639"/>
    <w:rsid w:val="00416696"/>
    <w:rsid w:val="00416792"/>
    <w:rsid w:val="00416D8B"/>
    <w:rsid w:val="004172FF"/>
    <w:rsid w:val="0041778B"/>
    <w:rsid w:val="00421426"/>
    <w:rsid w:val="00422466"/>
    <w:rsid w:val="00422EE1"/>
    <w:rsid w:val="00424CE4"/>
    <w:rsid w:val="00425087"/>
    <w:rsid w:val="00425ED0"/>
    <w:rsid w:val="004264A2"/>
    <w:rsid w:val="00430CC0"/>
    <w:rsid w:val="00430DBD"/>
    <w:rsid w:val="00431246"/>
    <w:rsid w:val="0043257C"/>
    <w:rsid w:val="00432E72"/>
    <w:rsid w:val="00435EDC"/>
    <w:rsid w:val="00435F7E"/>
    <w:rsid w:val="00436399"/>
    <w:rsid w:val="004378BA"/>
    <w:rsid w:val="00440F0A"/>
    <w:rsid w:val="00441158"/>
    <w:rsid w:val="00441CFD"/>
    <w:rsid w:val="00443064"/>
    <w:rsid w:val="004443F1"/>
    <w:rsid w:val="004448D3"/>
    <w:rsid w:val="0044500C"/>
    <w:rsid w:val="00445159"/>
    <w:rsid w:val="00446454"/>
    <w:rsid w:val="004469C7"/>
    <w:rsid w:val="004472ED"/>
    <w:rsid w:val="004500FD"/>
    <w:rsid w:val="004509A1"/>
    <w:rsid w:val="004520EC"/>
    <w:rsid w:val="004527F5"/>
    <w:rsid w:val="00452CB3"/>
    <w:rsid w:val="00452FAB"/>
    <w:rsid w:val="004559AD"/>
    <w:rsid w:val="0045633F"/>
    <w:rsid w:val="004579B6"/>
    <w:rsid w:val="00457D93"/>
    <w:rsid w:val="00457F14"/>
    <w:rsid w:val="00461CA3"/>
    <w:rsid w:val="00463C83"/>
    <w:rsid w:val="00465387"/>
    <w:rsid w:val="00465FAF"/>
    <w:rsid w:val="00467384"/>
    <w:rsid w:val="0047049F"/>
    <w:rsid w:val="00470F5A"/>
    <w:rsid w:val="0047114C"/>
    <w:rsid w:val="0047201F"/>
    <w:rsid w:val="004723C3"/>
    <w:rsid w:val="00473507"/>
    <w:rsid w:val="004749EA"/>
    <w:rsid w:val="00474B22"/>
    <w:rsid w:val="00475177"/>
    <w:rsid w:val="004756FF"/>
    <w:rsid w:val="004771A7"/>
    <w:rsid w:val="00477F60"/>
    <w:rsid w:val="004804B4"/>
    <w:rsid w:val="004842BC"/>
    <w:rsid w:val="0048444A"/>
    <w:rsid w:val="0048474F"/>
    <w:rsid w:val="004852AC"/>
    <w:rsid w:val="004852C4"/>
    <w:rsid w:val="004860DC"/>
    <w:rsid w:val="004877CF"/>
    <w:rsid w:val="00490223"/>
    <w:rsid w:val="00491776"/>
    <w:rsid w:val="0049233C"/>
    <w:rsid w:val="00493A69"/>
    <w:rsid w:val="00494444"/>
    <w:rsid w:val="0049527E"/>
    <w:rsid w:val="004A0297"/>
    <w:rsid w:val="004A0A66"/>
    <w:rsid w:val="004A1DEA"/>
    <w:rsid w:val="004A2C5A"/>
    <w:rsid w:val="004A3EEB"/>
    <w:rsid w:val="004A3EF8"/>
    <w:rsid w:val="004A4070"/>
    <w:rsid w:val="004A4621"/>
    <w:rsid w:val="004A4EDF"/>
    <w:rsid w:val="004A5E62"/>
    <w:rsid w:val="004A6771"/>
    <w:rsid w:val="004A7DE6"/>
    <w:rsid w:val="004A7E69"/>
    <w:rsid w:val="004B0291"/>
    <w:rsid w:val="004B02A5"/>
    <w:rsid w:val="004B276F"/>
    <w:rsid w:val="004B437E"/>
    <w:rsid w:val="004B580C"/>
    <w:rsid w:val="004B60E1"/>
    <w:rsid w:val="004B6E4E"/>
    <w:rsid w:val="004B7331"/>
    <w:rsid w:val="004B75FD"/>
    <w:rsid w:val="004B7798"/>
    <w:rsid w:val="004C0175"/>
    <w:rsid w:val="004C0A73"/>
    <w:rsid w:val="004C21AF"/>
    <w:rsid w:val="004C2625"/>
    <w:rsid w:val="004C2985"/>
    <w:rsid w:val="004C3428"/>
    <w:rsid w:val="004C34C6"/>
    <w:rsid w:val="004C4D2F"/>
    <w:rsid w:val="004C615E"/>
    <w:rsid w:val="004C657B"/>
    <w:rsid w:val="004C6C82"/>
    <w:rsid w:val="004C7131"/>
    <w:rsid w:val="004D25FE"/>
    <w:rsid w:val="004D2D73"/>
    <w:rsid w:val="004D31AC"/>
    <w:rsid w:val="004D3578"/>
    <w:rsid w:val="004D3F7B"/>
    <w:rsid w:val="004D4C6E"/>
    <w:rsid w:val="004D51CE"/>
    <w:rsid w:val="004D5518"/>
    <w:rsid w:val="004D552B"/>
    <w:rsid w:val="004E0828"/>
    <w:rsid w:val="004E0E2F"/>
    <w:rsid w:val="004E18BD"/>
    <w:rsid w:val="004E32A4"/>
    <w:rsid w:val="004E50D3"/>
    <w:rsid w:val="004E5AD9"/>
    <w:rsid w:val="004E5C54"/>
    <w:rsid w:val="004E600D"/>
    <w:rsid w:val="004E62E7"/>
    <w:rsid w:val="004E6889"/>
    <w:rsid w:val="004E7071"/>
    <w:rsid w:val="004F0F88"/>
    <w:rsid w:val="004F206A"/>
    <w:rsid w:val="004F2671"/>
    <w:rsid w:val="004F62FB"/>
    <w:rsid w:val="004F7873"/>
    <w:rsid w:val="005007BC"/>
    <w:rsid w:val="00500D5E"/>
    <w:rsid w:val="005021B6"/>
    <w:rsid w:val="00502422"/>
    <w:rsid w:val="00502D98"/>
    <w:rsid w:val="00502F90"/>
    <w:rsid w:val="0050315F"/>
    <w:rsid w:val="00503F8F"/>
    <w:rsid w:val="0050418D"/>
    <w:rsid w:val="0050496B"/>
    <w:rsid w:val="005056FB"/>
    <w:rsid w:val="00505DD1"/>
    <w:rsid w:val="005061FC"/>
    <w:rsid w:val="00506F2B"/>
    <w:rsid w:val="00511D50"/>
    <w:rsid w:val="0051257F"/>
    <w:rsid w:val="00512E7C"/>
    <w:rsid w:val="00516075"/>
    <w:rsid w:val="00516FE9"/>
    <w:rsid w:val="00521768"/>
    <w:rsid w:val="00522B84"/>
    <w:rsid w:val="005232EF"/>
    <w:rsid w:val="005236DD"/>
    <w:rsid w:val="0052527A"/>
    <w:rsid w:val="00525B78"/>
    <w:rsid w:val="0052620D"/>
    <w:rsid w:val="00530C8F"/>
    <w:rsid w:val="005315CD"/>
    <w:rsid w:val="005315E2"/>
    <w:rsid w:val="00531E46"/>
    <w:rsid w:val="00531E6D"/>
    <w:rsid w:val="0053225F"/>
    <w:rsid w:val="00533D60"/>
    <w:rsid w:val="00535EEE"/>
    <w:rsid w:val="00537EA9"/>
    <w:rsid w:val="00540099"/>
    <w:rsid w:val="005401DA"/>
    <w:rsid w:val="00540D74"/>
    <w:rsid w:val="005413EE"/>
    <w:rsid w:val="00542084"/>
    <w:rsid w:val="005422C9"/>
    <w:rsid w:val="005424DC"/>
    <w:rsid w:val="0054261B"/>
    <w:rsid w:val="0054345B"/>
    <w:rsid w:val="00543F0C"/>
    <w:rsid w:val="0054413A"/>
    <w:rsid w:val="0054468D"/>
    <w:rsid w:val="0054544A"/>
    <w:rsid w:val="0054583C"/>
    <w:rsid w:val="00545FCF"/>
    <w:rsid w:val="0054602F"/>
    <w:rsid w:val="00546879"/>
    <w:rsid w:val="00551B6C"/>
    <w:rsid w:val="00553633"/>
    <w:rsid w:val="00553AFE"/>
    <w:rsid w:val="00553E8A"/>
    <w:rsid w:val="005564DB"/>
    <w:rsid w:val="00560D30"/>
    <w:rsid w:val="00561128"/>
    <w:rsid w:val="00561944"/>
    <w:rsid w:val="005629F5"/>
    <w:rsid w:val="00563832"/>
    <w:rsid w:val="005664C2"/>
    <w:rsid w:val="00566ACC"/>
    <w:rsid w:val="005675CB"/>
    <w:rsid w:val="00567F22"/>
    <w:rsid w:val="005712CC"/>
    <w:rsid w:val="00571B2E"/>
    <w:rsid w:val="005742F2"/>
    <w:rsid w:val="005749BF"/>
    <w:rsid w:val="00575F71"/>
    <w:rsid w:val="00576382"/>
    <w:rsid w:val="005775FD"/>
    <w:rsid w:val="0057794F"/>
    <w:rsid w:val="00577D1D"/>
    <w:rsid w:val="00580993"/>
    <w:rsid w:val="00581A38"/>
    <w:rsid w:val="0058357A"/>
    <w:rsid w:val="005838D0"/>
    <w:rsid w:val="00583F1C"/>
    <w:rsid w:val="00584088"/>
    <w:rsid w:val="00585C33"/>
    <w:rsid w:val="0058618A"/>
    <w:rsid w:val="00586522"/>
    <w:rsid w:val="00586CC3"/>
    <w:rsid w:val="00587023"/>
    <w:rsid w:val="005918DD"/>
    <w:rsid w:val="005920E2"/>
    <w:rsid w:val="00592EEE"/>
    <w:rsid w:val="00595A03"/>
    <w:rsid w:val="0059721A"/>
    <w:rsid w:val="00597F23"/>
    <w:rsid w:val="005A04FC"/>
    <w:rsid w:val="005A152D"/>
    <w:rsid w:val="005A19BD"/>
    <w:rsid w:val="005A2590"/>
    <w:rsid w:val="005A2D24"/>
    <w:rsid w:val="005A30FD"/>
    <w:rsid w:val="005A3ADB"/>
    <w:rsid w:val="005A65ED"/>
    <w:rsid w:val="005A71C4"/>
    <w:rsid w:val="005B0384"/>
    <w:rsid w:val="005B04ED"/>
    <w:rsid w:val="005B07E5"/>
    <w:rsid w:val="005B0C56"/>
    <w:rsid w:val="005B0D19"/>
    <w:rsid w:val="005B1A6C"/>
    <w:rsid w:val="005B1BC5"/>
    <w:rsid w:val="005B249B"/>
    <w:rsid w:val="005B2D41"/>
    <w:rsid w:val="005B3276"/>
    <w:rsid w:val="005B362E"/>
    <w:rsid w:val="005B5595"/>
    <w:rsid w:val="005B7E9C"/>
    <w:rsid w:val="005C0109"/>
    <w:rsid w:val="005C31E4"/>
    <w:rsid w:val="005C38DA"/>
    <w:rsid w:val="005C418B"/>
    <w:rsid w:val="005C4A8F"/>
    <w:rsid w:val="005C5216"/>
    <w:rsid w:val="005C5D67"/>
    <w:rsid w:val="005C6021"/>
    <w:rsid w:val="005C7E42"/>
    <w:rsid w:val="005D0ABE"/>
    <w:rsid w:val="005D19DA"/>
    <w:rsid w:val="005D1EF0"/>
    <w:rsid w:val="005D3019"/>
    <w:rsid w:val="005D6F75"/>
    <w:rsid w:val="005E03F3"/>
    <w:rsid w:val="005E0EFA"/>
    <w:rsid w:val="005E1C2B"/>
    <w:rsid w:val="005E1F09"/>
    <w:rsid w:val="005E256A"/>
    <w:rsid w:val="005E6375"/>
    <w:rsid w:val="005E71C8"/>
    <w:rsid w:val="005E7B6C"/>
    <w:rsid w:val="005F08E3"/>
    <w:rsid w:val="005F1A20"/>
    <w:rsid w:val="005F2A70"/>
    <w:rsid w:val="005F3679"/>
    <w:rsid w:val="005F49EE"/>
    <w:rsid w:val="005F4D2A"/>
    <w:rsid w:val="005F5123"/>
    <w:rsid w:val="005F5370"/>
    <w:rsid w:val="005F5BC3"/>
    <w:rsid w:val="005F6990"/>
    <w:rsid w:val="005F784C"/>
    <w:rsid w:val="005F78B1"/>
    <w:rsid w:val="006009FE"/>
    <w:rsid w:val="00601E78"/>
    <w:rsid w:val="00601EF7"/>
    <w:rsid w:val="006036C9"/>
    <w:rsid w:val="00605468"/>
    <w:rsid w:val="00605E19"/>
    <w:rsid w:val="00606708"/>
    <w:rsid w:val="006125B6"/>
    <w:rsid w:val="006144D0"/>
    <w:rsid w:val="00615FD2"/>
    <w:rsid w:val="00616F54"/>
    <w:rsid w:val="00621960"/>
    <w:rsid w:val="006220BE"/>
    <w:rsid w:val="00624FBF"/>
    <w:rsid w:val="00625B63"/>
    <w:rsid w:val="00626153"/>
    <w:rsid w:val="006263F4"/>
    <w:rsid w:val="00626624"/>
    <w:rsid w:val="00626837"/>
    <w:rsid w:val="00627139"/>
    <w:rsid w:val="00627646"/>
    <w:rsid w:val="00627834"/>
    <w:rsid w:val="006316F5"/>
    <w:rsid w:val="006318D1"/>
    <w:rsid w:val="006323BF"/>
    <w:rsid w:val="006333E9"/>
    <w:rsid w:val="00633775"/>
    <w:rsid w:val="00634018"/>
    <w:rsid w:val="006349FF"/>
    <w:rsid w:val="006351E0"/>
    <w:rsid w:val="00641BEC"/>
    <w:rsid w:val="00642F85"/>
    <w:rsid w:val="00643245"/>
    <w:rsid w:val="006438DB"/>
    <w:rsid w:val="00644B34"/>
    <w:rsid w:val="006455A3"/>
    <w:rsid w:val="00646302"/>
    <w:rsid w:val="006469D5"/>
    <w:rsid w:val="00650A58"/>
    <w:rsid w:val="00650E02"/>
    <w:rsid w:val="0065176D"/>
    <w:rsid w:val="00651D16"/>
    <w:rsid w:val="006520D8"/>
    <w:rsid w:val="006550DA"/>
    <w:rsid w:val="00656782"/>
    <w:rsid w:val="00656E08"/>
    <w:rsid w:val="006606B4"/>
    <w:rsid w:val="00663398"/>
    <w:rsid w:val="00663FB6"/>
    <w:rsid w:val="00664E0B"/>
    <w:rsid w:val="0066623A"/>
    <w:rsid w:val="00666393"/>
    <w:rsid w:val="00666E99"/>
    <w:rsid w:val="006672D5"/>
    <w:rsid w:val="00670AFA"/>
    <w:rsid w:val="00672170"/>
    <w:rsid w:val="006728A2"/>
    <w:rsid w:val="00674801"/>
    <w:rsid w:val="00674E6E"/>
    <w:rsid w:val="00677C31"/>
    <w:rsid w:val="00680A49"/>
    <w:rsid w:val="00680B0D"/>
    <w:rsid w:val="00681897"/>
    <w:rsid w:val="00682688"/>
    <w:rsid w:val="00682EDD"/>
    <w:rsid w:val="00684B58"/>
    <w:rsid w:val="00686223"/>
    <w:rsid w:val="006879C5"/>
    <w:rsid w:val="00687CE9"/>
    <w:rsid w:val="00687E64"/>
    <w:rsid w:val="0069055E"/>
    <w:rsid w:val="0069079F"/>
    <w:rsid w:val="00690B43"/>
    <w:rsid w:val="00691A84"/>
    <w:rsid w:val="00691C01"/>
    <w:rsid w:val="006927F6"/>
    <w:rsid w:val="00692FA9"/>
    <w:rsid w:val="0069441D"/>
    <w:rsid w:val="006953D8"/>
    <w:rsid w:val="00697072"/>
    <w:rsid w:val="006A0458"/>
    <w:rsid w:val="006A21E3"/>
    <w:rsid w:val="006A26F4"/>
    <w:rsid w:val="006A4D9A"/>
    <w:rsid w:val="006B0191"/>
    <w:rsid w:val="006B3280"/>
    <w:rsid w:val="006B39D4"/>
    <w:rsid w:val="006B44F2"/>
    <w:rsid w:val="006B7822"/>
    <w:rsid w:val="006B7E1E"/>
    <w:rsid w:val="006C0F78"/>
    <w:rsid w:val="006C143C"/>
    <w:rsid w:val="006C2B12"/>
    <w:rsid w:val="006C304D"/>
    <w:rsid w:val="006C3420"/>
    <w:rsid w:val="006C38BA"/>
    <w:rsid w:val="006C418B"/>
    <w:rsid w:val="006C48FF"/>
    <w:rsid w:val="006C4937"/>
    <w:rsid w:val="006C528C"/>
    <w:rsid w:val="006C5E13"/>
    <w:rsid w:val="006C60C9"/>
    <w:rsid w:val="006D0054"/>
    <w:rsid w:val="006D0936"/>
    <w:rsid w:val="006D27C6"/>
    <w:rsid w:val="006D2A57"/>
    <w:rsid w:val="006D31B7"/>
    <w:rsid w:val="006D4910"/>
    <w:rsid w:val="006D4B70"/>
    <w:rsid w:val="006D4E0F"/>
    <w:rsid w:val="006D59EE"/>
    <w:rsid w:val="006D64B9"/>
    <w:rsid w:val="006D67E8"/>
    <w:rsid w:val="006D7A83"/>
    <w:rsid w:val="006D7C01"/>
    <w:rsid w:val="006E3956"/>
    <w:rsid w:val="006E3D0A"/>
    <w:rsid w:val="006E4343"/>
    <w:rsid w:val="006E5A2F"/>
    <w:rsid w:val="006E6801"/>
    <w:rsid w:val="006E7E9B"/>
    <w:rsid w:val="006F0622"/>
    <w:rsid w:val="006F13E1"/>
    <w:rsid w:val="006F3551"/>
    <w:rsid w:val="006F3847"/>
    <w:rsid w:val="006F452D"/>
    <w:rsid w:val="006F4BB9"/>
    <w:rsid w:val="00700381"/>
    <w:rsid w:val="007006B5"/>
    <w:rsid w:val="007063EF"/>
    <w:rsid w:val="007068B0"/>
    <w:rsid w:val="00707787"/>
    <w:rsid w:val="007079A7"/>
    <w:rsid w:val="007117A5"/>
    <w:rsid w:val="00711A9F"/>
    <w:rsid w:val="0071422A"/>
    <w:rsid w:val="00714562"/>
    <w:rsid w:val="00714D62"/>
    <w:rsid w:val="00714FBB"/>
    <w:rsid w:val="00715D80"/>
    <w:rsid w:val="00717715"/>
    <w:rsid w:val="00717D74"/>
    <w:rsid w:val="0072028F"/>
    <w:rsid w:val="00721F8D"/>
    <w:rsid w:val="007230C9"/>
    <w:rsid w:val="007239A4"/>
    <w:rsid w:val="007240D6"/>
    <w:rsid w:val="0072571C"/>
    <w:rsid w:val="00725891"/>
    <w:rsid w:val="00725996"/>
    <w:rsid w:val="00725C9B"/>
    <w:rsid w:val="00725E02"/>
    <w:rsid w:val="0072654B"/>
    <w:rsid w:val="00726573"/>
    <w:rsid w:val="00726A0A"/>
    <w:rsid w:val="00726F61"/>
    <w:rsid w:val="00727B8C"/>
    <w:rsid w:val="007300C8"/>
    <w:rsid w:val="007301D1"/>
    <w:rsid w:val="00731A5E"/>
    <w:rsid w:val="007325F2"/>
    <w:rsid w:val="00732F90"/>
    <w:rsid w:val="007338F6"/>
    <w:rsid w:val="007345BE"/>
    <w:rsid w:val="00735DD5"/>
    <w:rsid w:val="00736C5F"/>
    <w:rsid w:val="007408E5"/>
    <w:rsid w:val="00741A01"/>
    <w:rsid w:val="007428B8"/>
    <w:rsid w:val="007443F9"/>
    <w:rsid w:val="00744872"/>
    <w:rsid w:val="007459BA"/>
    <w:rsid w:val="00747411"/>
    <w:rsid w:val="00747448"/>
    <w:rsid w:val="007504F6"/>
    <w:rsid w:val="0075184C"/>
    <w:rsid w:val="007524D1"/>
    <w:rsid w:val="00752500"/>
    <w:rsid w:val="00752B61"/>
    <w:rsid w:val="00752C13"/>
    <w:rsid w:val="00753983"/>
    <w:rsid w:val="00753E4E"/>
    <w:rsid w:val="0075427E"/>
    <w:rsid w:val="007546B4"/>
    <w:rsid w:val="0075502E"/>
    <w:rsid w:val="007554CA"/>
    <w:rsid w:val="00755793"/>
    <w:rsid w:val="00755BE2"/>
    <w:rsid w:val="0075655B"/>
    <w:rsid w:val="00756B31"/>
    <w:rsid w:val="0075793C"/>
    <w:rsid w:val="00757FE6"/>
    <w:rsid w:val="00760B58"/>
    <w:rsid w:val="00760E82"/>
    <w:rsid w:val="00761032"/>
    <w:rsid w:val="00761311"/>
    <w:rsid w:val="007623BC"/>
    <w:rsid w:val="007628FC"/>
    <w:rsid w:val="00763B0C"/>
    <w:rsid w:val="00764597"/>
    <w:rsid w:val="007646CA"/>
    <w:rsid w:val="00765137"/>
    <w:rsid w:val="00765B40"/>
    <w:rsid w:val="00766978"/>
    <w:rsid w:val="00774172"/>
    <w:rsid w:val="00775047"/>
    <w:rsid w:val="00780769"/>
    <w:rsid w:val="00781304"/>
    <w:rsid w:val="00783D18"/>
    <w:rsid w:val="00783DEF"/>
    <w:rsid w:val="00783F66"/>
    <w:rsid w:val="0078429D"/>
    <w:rsid w:val="00784929"/>
    <w:rsid w:val="00784AB3"/>
    <w:rsid w:val="00784C3E"/>
    <w:rsid w:val="00785190"/>
    <w:rsid w:val="00786F7D"/>
    <w:rsid w:val="0079040C"/>
    <w:rsid w:val="0079110E"/>
    <w:rsid w:val="0079137D"/>
    <w:rsid w:val="00791488"/>
    <w:rsid w:val="00791C27"/>
    <w:rsid w:val="00792087"/>
    <w:rsid w:val="00792CCB"/>
    <w:rsid w:val="00792D61"/>
    <w:rsid w:val="00793AE1"/>
    <w:rsid w:val="00793CAB"/>
    <w:rsid w:val="0079423F"/>
    <w:rsid w:val="00795F73"/>
    <w:rsid w:val="007971CE"/>
    <w:rsid w:val="007A0667"/>
    <w:rsid w:val="007A1B58"/>
    <w:rsid w:val="007A21BE"/>
    <w:rsid w:val="007A30C7"/>
    <w:rsid w:val="007A46CB"/>
    <w:rsid w:val="007A5204"/>
    <w:rsid w:val="007A52B6"/>
    <w:rsid w:val="007A586B"/>
    <w:rsid w:val="007A5DB9"/>
    <w:rsid w:val="007A67F3"/>
    <w:rsid w:val="007A7E25"/>
    <w:rsid w:val="007B0AE7"/>
    <w:rsid w:val="007B3BFE"/>
    <w:rsid w:val="007B4307"/>
    <w:rsid w:val="007B5B7F"/>
    <w:rsid w:val="007C042A"/>
    <w:rsid w:val="007C091C"/>
    <w:rsid w:val="007C2D07"/>
    <w:rsid w:val="007C593C"/>
    <w:rsid w:val="007C5FDC"/>
    <w:rsid w:val="007C6090"/>
    <w:rsid w:val="007C701B"/>
    <w:rsid w:val="007C7046"/>
    <w:rsid w:val="007D01C2"/>
    <w:rsid w:val="007D1B44"/>
    <w:rsid w:val="007D292F"/>
    <w:rsid w:val="007D2F15"/>
    <w:rsid w:val="007D3EBF"/>
    <w:rsid w:val="007D400C"/>
    <w:rsid w:val="007D4FFD"/>
    <w:rsid w:val="007D5713"/>
    <w:rsid w:val="007E1BD5"/>
    <w:rsid w:val="007E2496"/>
    <w:rsid w:val="007E26E8"/>
    <w:rsid w:val="007E2E82"/>
    <w:rsid w:val="007E4E7D"/>
    <w:rsid w:val="007E4F0C"/>
    <w:rsid w:val="007E59A7"/>
    <w:rsid w:val="007E5D5E"/>
    <w:rsid w:val="007E6EC6"/>
    <w:rsid w:val="007F0F78"/>
    <w:rsid w:val="007F1BA7"/>
    <w:rsid w:val="007F1C30"/>
    <w:rsid w:val="007F251E"/>
    <w:rsid w:val="007F2B29"/>
    <w:rsid w:val="007F4EC2"/>
    <w:rsid w:val="007F5068"/>
    <w:rsid w:val="007F5589"/>
    <w:rsid w:val="007F5F1A"/>
    <w:rsid w:val="007F5F3F"/>
    <w:rsid w:val="007F69A9"/>
    <w:rsid w:val="007F7333"/>
    <w:rsid w:val="007F76B0"/>
    <w:rsid w:val="007F7B65"/>
    <w:rsid w:val="007F7F08"/>
    <w:rsid w:val="008000D4"/>
    <w:rsid w:val="00800255"/>
    <w:rsid w:val="0080173F"/>
    <w:rsid w:val="008021B2"/>
    <w:rsid w:val="00802B5E"/>
    <w:rsid w:val="00803C02"/>
    <w:rsid w:val="00804268"/>
    <w:rsid w:val="0080451F"/>
    <w:rsid w:val="008049BC"/>
    <w:rsid w:val="0080755B"/>
    <w:rsid w:val="00807DF0"/>
    <w:rsid w:val="00810C25"/>
    <w:rsid w:val="00811740"/>
    <w:rsid w:val="008119D8"/>
    <w:rsid w:val="008131C5"/>
    <w:rsid w:val="00820188"/>
    <w:rsid w:val="00820A1A"/>
    <w:rsid w:val="00820C0C"/>
    <w:rsid w:val="00821F53"/>
    <w:rsid w:val="00822865"/>
    <w:rsid w:val="00823DC6"/>
    <w:rsid w:val="00825B11"/>
    <w:rsid w:val="00825DCC"/>
    <w:rsid w:val="00826352"/>
    <w:rsid w:val="00827824"/>
    <w:rsid w:val="00827B1A"/>
    <w:rsid w:val="00830650"/>
    <w:rsid w:val="00830C3E"/>
    <w:rsid w:val="00831437"/>
    <w:rsid w:val="0083237F"/>
    <w:rsid w:val="008324B2"/>
    <w:rsid w:val="008328D1"/>
    <w:rsid w:val="00834FA0"/>
    <w:rsid w:val="00834FF2"/>
    <w:rsid w:val="008351D9"/>
    <w:rsid w:val="00841706"/>
    <w:rsid w:val="0084311D"/>
    <w:rsid w:val="008434F1"/>
    <w:rsid w:val="00843E6B"/>
    <w:rsid w:val="008508F8"/>
    <w:rsid w:val="00851382"/>
    <w:rsid w:val="008523D4"/>
    <w:rsid w:val="008539AE"/>
    <w:rsid w:val="00853B8C"/>
    <w:rsid w:val="00854334"/>
    <w:rsid w:val="0086039A"/>
    <w:rsid w:val="0086125E"/>
    <w:rsid w:val="00862B11"/>
    <w:rsid w:val="008641A6"/>
    <w:rsid w:val="00864416"/>
    <w:rsid w:val="00865044"/>
    <w:rsid w:val="008653DE"/>
    <w:rsid w:val="00865867"/>
    <w:rsid w:val="0086611F"/>
    <w:rsid w:val="008662B0"/>
    <w:rsid w:val="00867002"/>
    <w:rsid w:val="00867F9A"/>
    <w:rsid w:val="0087085A"/>
    <w:rsid w:val="00871C81"/>
    <w:rsid w:val="008732A1"/>
    <w:rsid w:val="008741C6"/>
    <w:rsid w:val="00874363"/>
    <w:rsid w:val="00874598"/>
    <w:rsid w:val="00875C64"/>
    <w:rsid w:val="00875E19"/>
    <w:rsid w:val="00876140"/>
    <w:rsid w:val="0088225A"/>
    <w:rsid w:val="00883193"/>
    <w:rsid w:val="00885FAD"/>
    <w:rsid w:val="008903B9"/>
    <w:rsid w:val="00890F21"/>
    <w:rsid w:val="008921C4"/>
    <w:rsid w:val="00892230"/>
    <w:rsid w:val="00895572"/>
    <w:rsid w:val="00896138"/>
    <w:rsid w:val="0089650D"/>
    <w:rsid w:val="00896EB2"/>
    <w:rsid w:val="00897024"/>
    <w:rsid w:val="00897355"/>
    <w:rsid w:val="00897969"/>
    <w:rsid w:val="00897BE1"/>
    <w:rsid w:val="008A012E"/>
    <w:rsid w:val="008A022B"/>
    <w:rsid w:val="008A03A9"/>
    <w:rsid w:val="008A1BE4"/>
    <w:rsid w:val="008A3440"/>
    <w:rsid w:val="008A4C94"/>
    <w:rsid w:val="008A52B6"/>
    <w:rsid w:val="008A556F"/>
    <w:rsid w:val="008A6305"/>
    <w:rsid w:val="008A692F"/>
    <w:rsid w:val="008A7301"/>
    <w:rsid w:val="008B00B4"/>
    <w:rsid w:val="008B0CEC"/>
    <w:rsid w:val="008B30E7"/>
    <w:rsid w:val="008B49E3"/>
    <w:rsid w:val="008B6E8F"/>
    <w:rsid w:val="008B7156"/>
    <w:rsid w:val="008B73F4"/>
    <w:rsid w:val="008C034D"/>
    <w:rsid w:val="008C037F"/>
    <w:rsid w:val="008C055D"/>
    <w:rsid w:val="008C1095"/>
    <w:rsid w:val="008C2D66"/>
    <w:rsid w:val="008C3385"/>
    <w:rsid w:val="008C79A7"/>
    <w:rsid w:val="008D0126"/>
    <w:rsid w:val="008D0BF7"/>
    <w:rsid w:val="008D12EB"/>
    <w:rsid w:val="008D1C5A"/>
    <w:rsid w:val="008D330F"/>
    <w:rsid w:val="008D33A4"/>
    <w:rsid w:val="008D3C8C"/>
    <w:rsid w:val="008D3E04"/>
    <w:rsid w:val="008D565C"/>
    <w:rsid w:val="008D600B"/>
    <w:rsid w:val="008D6F7B"/>
    <w:rsid w:val="008D7768"/>
    <w:rsid w:val="008D7F07"/>
    <w:rsid w:val="008E3F43"/>
    <w:rsid w:val="008E59AA"/>
    <w:rsid w:val="008E5FC2"/>
    <w:rsid w:val="008E7569"/>
    <w:rsid w:val="008F0D9F"/>
    <w:rsid w:val="008F126C"/>
    <w:rsid w:val="008F14E4"/>
    <w:rsid w:val="008F1E48"/>
    <w:rsid w:val="008F218A"/>
    <w:rsid w:val="008F283C"/>
    <w:rsid w:val="008F3247"/>
    <w:rsid w:val="008F398D"/>
    <w:rsid w:val="008F4043"/>
    <w:rsid w:val="008F4238"/>
    <w:rsid w:val="008F4CB0"/>
    <w:rsid w:val="008F5594"/>
    <w:rsid w:val="008F5E8B"/>
    <w:rsid w:val="008F63BA"/>
    <w:rsid w:val="00900115"/>
    <w:rsid w:val="00902CE8"/>
    <w:rsid w:val="00904FB4"/>
    <w:rsid w:val="009057C4"/>
    <w:rsid w:val="0090627A"/>
    <w:rsid w:val="00906680"/>
    <w:rsid w:val="009074DF"/>
    <w:rsid w:val="00907D12"/>
    <w:rsid w:val="00910D00"/>
    <w:rsid w:val="00912857"/>
    <w:rsid w:val="0091309B"/>
    <w:rsid w:val="009142E1"/>
    <w:rsid w:val="00915A6F"/>
    <w:rsid w:val="00916515"/>
    <w:rsid w:val="00917AAF"/>
    <w:rsid w:val="00921052"/>
    <w:rsid w:val="0092183E"/>
    <w:rsid w:val="00923B64"/>
    <w:rsid w:val="00923D3E"/>
    <w:rsid w:val="0092443E"/>
    <w:rsid w:val="009258E5"/>
    <w:rsid w:val="00925D36"/>
    <w:rsid w:val="00926548"/>
    <w:rsid w:val="0092741A"/>
    <w:rsid w:val="00930E4B"/>
    <w:rsid w:val="00931B6C"/>
    <w:rsid w:val="0093233F"/>
    <w:rsid w:val="00933A7E"/>
    <w:rsid w:val="009359E2"/>
    <w:rsid w:val="0094010C"/>
    <w:rsid w:val="009402E4"/>
    <w:rsid w:val="00940400"/>
    <w:rsid w:val="0094250B"/>
    <w:rsid w:val="0094283C"/>
    <w:rsid w:val="00942948"/>
    <w:rsid w:val="00946589"/>
    <w:rsid w:val="00947284"/>
    <w:rsid w:val="009473A6"/>
    <w:rsid w:val="00947C18"/>
    <w:rsid w:val="0095033D"/>
    <w:rsid w:val="00950E16"/>
    <w:rsid w:val="00951F57"/>
    <w:rsid w:val="00952388"/>
    <w:rsid w:val="00952A7F"/>
    <w:rsid w:val="00954369"/>
    <w:rsid w:val="0095616A"/>
    <w:rsid w:val="009564FE"/>
    <w:rsid w:val="00956F45"/>
    <w:rsid w:val="00957C71"/>
    <w:rsid w:val="00962936"/>
    <w:rsid w:val="00962D25"/>
    <w:rsid w:val="00962EB1"/>
    <w:rsid w:val="0096332C"/>
    <w:rsid w:val="00963DB6"/>
    <w:rsid w:val="0096540A"/>
    <w:rsid w:val="00967631"/>
    <w:rsid w:val="00970C90"/>
    <w:rsid w:val="009712EB"/>
    <w:rsid w:val="00973469"/>
    <w:rsid w:val="00974FF2"/>
    <w:rsid w:val="00977941"/>
    <w:rsid w:val="00981A6F"/>
    <w:rsid w:val="00982F2A"/>
    <w:rsid w:val="00983C0A"/>
    <w:rsid w:val="00985CF0"/>
    <w:rsid w:val="00985DB3"/>
    <w:rsid w:val="0098739E"/>
    <w:rsid w:val="00987CEE"/>
    <w:rsid w:val="0099016A"/>
    <w:rsid w:val="00991145"/>
    <w:rsid w:val="00991CBC"/>
    <w:rsid w:val="00993C5B"/>
    <w:rsid w:val="00994B1C"/>
    <w:rsid w:val="00996471"/>
    <w:rsid w:val="00997782"/>
    <w:rsid w:val="009A1D12"/>
    <w:rsid w:val="009A1E00"/>
    <w:rsid w:val="009A1EB8"/>
    <w:rsid w:val="009A2E41"/>
    <w:rsid w:val="009A2F63"/>
    <w:rsid w:val="009A3642"/>
    <w:rsid w:val="009A3A01"/>
    <w:rsid w:val="009A4B11"/>
    <w:rsid w:val="009A4B54"/>
    <w:rsid w:val="009A4F82"/>
    <w:rsid w:val="009A6A4A"/>
    <w:rsid w:val="009A7302"/>
    <w:rsid w:val="009B23DC"/>
    <w:rsid w:val="009B3800"/>
    <w:rsid w:val="009B4ECA"/>
    <w:rsid w:val="009B5124"/>
    <w:rsid w:val="009B5816"/>
    <w:rsid w:val="009B6214"/>
    <w:rsid w:val="009B64BB"/>
    <w:rsid w:val="009B6EC5"/>
    <w:rsid w:val="009C11CF"/>
    <w:rsid w:val="009C1DA2"/>
    <w:rsid w:val="009C398F"/>
    <w:rsid w:val="009C3A16"/>
    <w:rsid w:val="009C44FD"/>
    <w:rsid w:val="009C64D2"/>
    <w:rsid w:val="009C672B"/>
    <w:rsid w:val="009D003C"/>
    <w:rsid w:val="009D2FCA"/>
    <w:rsid w:val="009D3036"/>
    <w:rsid w:val="009D4636"/>
    <w:rsid w:val="009D4658"/>
    <w:rsid w:val="009D761F"/>
    <w:rsid w:val="009D7C62"/>
    <w:rsid w:val="009E0BA9"/>
    <w:rsid w:val="009E0BAB"/>
    <w:rsid w:val="009E1FE3"/>
    <w:rsid w:val="009E4120"/>
    <w:rsid w:val="009E444C"/>
    <w:rsid w:val="009E557D"/>
    <w:rsid w:val="009E5A17"/>
    <w:rsid w:val="009E5F12"/>
    <w:rsid w:val="009F239C"/>
    <w:rsid w:val="009F683B"/>
    <w:rsid w:val="009F6B76"/>
    <w:rsid w:val="00A00968"/>
    <w:rsid w:val="00A02EAF"/>
    <w:rsid w:val="00A05AA7"/>
    <w:rsid w:val="00A06D5A"/>
    <w:rsid w:val="00A119BF"/>
    <w:rsid w:val="00A1227D"/>
    <w:rsid w:val="00A12BC1"/>
    <w:rsid w:val="00A13DB9"/>
    <w:rsid w:val="00A1410C"/>
    <w:rsid w:val="00A14BD9"/>
    <w:rsid w:val="00A16786"/>
    <w:rsid w:val="00A1787F"/>
    <w:rsid w:val="00A20615"/>
    <w:rsid w:val="00A23E00"/>
    <w:rsid w:val="00A2403D"/>
    <w:rsid w:val="00A24B08"/>
    <w:rsid w:val="00A24B10"/>
    <w:rsid w:val="00A2638B"/>
    <w:rsid w:val="00A2671E"/>
    <w:rsid w:val="00A26CA6"/>
    <w:rsid w:val="00A26D6F"/>
    <w:rsid w:val="00A3062E"/>
    <w:rsid w:val="00A31A8B"/>
    <w:rsid w:val="00A328A0"/>
    <w:rsid w:val="00A32EDA"/>
    <w:rsid w:val="00A33131"/>
    <w:rsid w:val="00A33882"/>
    <w:rsid w:val="00A3578F"/>
    <w:rsid w:val="00A360CF"/>
    <w:rsid w:val="00A36D4E"/>
    <w:rsid w:val="00A40C5C"/>
    <w:rsid w:val="00A416C2"/>
    <w:rsid w:val="00A41AEE"/>
    <w:rsid w:val="00A42651"/>
    <w:rsid w:val="00A44016"/>
    <w:rsid w:val="00A459AE"/>
    <w:rsid w:val="00A4661C"/>
    <w:rsid w:val="00A47CED"/>
    <w:rsid w:val="00A51DEC"/>
    <w:rsid w:val="00A525C3"/>
    <w:rsid w:val="00A534F0"/>
    <w:rsid w:val="00A569E7"/>
    <w:rsid w:val="00A56A6C"/>
    <w:rsid w:val="00A6055F"/>
    <w:rsid w:val="00A62738"/>
    <w:rsid w:val="00A62BC0"/>
    <w:rsid w:val="00A63604"/>
    <w:rsid w:val="00A65071"/>
    <w:rsid w:val="00A6593D"/>
    <w:rsid w:val="00A66718"/>
    <w:rsid w:val="00A6722A"/>
    <w:rsid w:val="00A672D7"/>
    <w:rsid w:val="00A707BA"/>
    <w:rsid w:val="00A70EB4"/>
    <w:rsid w:val="00A71584"/>
    <w:rsid w:val="00A71F25"/>
    <w:rsid w:val="00A73A68"/>
    <w:rsid w:val="00A74195"/>
    <w:rsid w:val="00A74B2E"/>
    <w:rsid w:val="00A75A88"/>
    <w:rsid w:val="00A75D5B"/>
    <w:rsid w:val="00A76BB0"/>
    <w:rsid w:val="00A76DDF"/>
    <w:rsid w:val="00A7703F"/>
    <w:rsid w:val="00A7721D"/>
    <w:rsid w:val="00A77264"/>
    <w:rsid w:val="00A77C4E"/>
    <w:rsid w:val="00A77E1E"/>
    <w:rsid w:val="00A804C5"/>
    <w:rsid w:val="00A80AFC"/>
    <w:rsid w:val="00A81148"/>
    <w:rsid w:val="00A825B7"/>
    <w:rsid w:val="00A82606"/>
    <w:rsid w:val="00A82FDF"/>
    <w:rsid w:val="00A833B7"/>
    <w:rsid w:val="00A83D46"/>
    <w:rsid w:val="00A83E2A"/>
    <w:rsid w:val="00A84344"/>
    <w:rsid w:val="00A8489D"/>
    <w:rsid w:val="00A84C32"/>
    <w:rsid w:val="00A877B0"/>
    <w:rsid w:val="00A879BD"/>
    <w:rsid w:val="00A90B63"/>
    <w:rsid w:val="00A924A8"/>
    <w:rsid w:val="00A93F54"/>
    <w:rsid w:val="00A9428F"/>
    <w:rsid w:val="00A95E31"/>
    <w:rsid w:val="00A962BA"/>
    <w:rsid w:val="00A96815"/>
    <w:rsid w:val="00A9735F"/>
    <w:rsid w:val="00A976C0"/>
    <w:rsid w:val="00AA05BC"/>
    <w:rsid w:val="00AA208A"/>
    <w:rsid w:val="00AA27C6"/>
    <w:rsid w:val="00AA2B56"/>
    <w:rsid w:val="00AA4279"/>
    <w:rsid w:val="00AA43B8"/>
    <w:rsid w:val="00AA52EB"/>
    <w:rsid w:val="00AA536E"/>
    <w:rsid w:val="00AA736A"/>
    <w:rsid w:val="00AA7849"/>
    <w:rsid w:val="00AB09FB"/>
    <w:rsid w:val="00AB0FF1"/>
    <w:rsid w:val="00AB1E5E"/>
    <w:rsid w:val="00AB31C8"/>
    <w:rsid w:val="00AB4738"/>
    <w:rsid w:val="00AB4D91"/>
    <w:rsid w:val="00AB5BD0"/>
    <w:rsid w:val="00AB5E4D"/>
    <w:rsid w:val="00AB6B52"/>
    <w:rsid w:val="00AB7086"/>
    <w:rsid w:val="00AB7DEA"/>
    <w:rsid w:val="00AC0431"/>
    <w:rsid w:val="00AC233D"/>
    <w:rsid w:val="00AC2BEF"/>
    <w:rsid w:val="00AC3664"/>
    <w:rsid w:val="00AC429E"/>
    <w:rsid w:val="00AC55F6"/>
    <w:rsid w:val="00AC6BFF"/>
    <w:rsid w:val="00AD0989"/>
    <w:rsid w:val="00AD2C10"/>
    <w:rsid w:val="00AD2CD9"/>
    <w:rsid w:val="00AD46AF"/>
    <w:rsid w:val="00AD49DA"/>
    <w:rsid w:val="00AD53F5"/>
    <w:rsid w:val="00AD6BC1"/>
    <w:rsid w:val="00AD6D0B"/>
    <w:rsid w:val="00AD708B"/>
    <w:rsid w:val="00AD769D"/>
    <w:rsid w:val="00AE0997"/>
    <w:rsid w:val="00AE24FF"/>
    <w:rsid w:val="00AE251A"/>
    <w:rsid w:val="00AE25F2"/>
    <w:rsid w:val="00AE5877"/>
    <w:rsid w:val="00AE62F2"/>
    <w:rsid w:val="00AF00BD"/>
    <w:rsid w:val="00AF0C95"/>
    <w:rsid w:val="00AF1B57"/>
    <w:rsid w:val="00AF1DA3"/>
    <w:rsid w:val="00AF281C"/>
    <w:rsid w:val="00AF34C2"/>
    <w:rsid w:val="00AF45E5"/>
    <w:rsid w:val="00AF51FE"/>
    <w:rsid w:val="00AF7917"/>
    <w:rsid w:val="00B0168C"/>
    <w:rsid w:val="00B01FE3"/>
    <w:rsid w:val="00B03967"/>
    <w:rsid w:val="00B043A9"/>
    <w:rsid w:val="00B044E8"/>
    <w:rsid w:val="00B05C27"/>
    <w:rsid w:val="00B05C98"/>
    <w:rsid w:val="00B07E1E"/>
    <w:rsid w:val="00B07EEA"/>
    <w:rsid w:val="00B10791"/>
    <w:rsid w:val="00B10C96"/>
    <w:rsid w:val="00B1158B"/>
    <w:rsid w:val="00B1318C"/>
    <w:rsid w:val="00B134C8"/>
    <w:rsid w:val="00B13F7E"/>
    <w:rsid w:val="00B1540F"/>
    <w:rsid w:val="00B15556"/>
    <w:rsid w:val="00B210BD"/>
    <w:rsid w:val="00B21998"/>
    <w:rsid w:val="00B23300"/>
    <w:rsid w:val="00B24AFE"/>
    <w:rsid w:val="00B25057"/>
    <w:rsid w:val="00B265C4"/>
    <w:rsid w:val="00B274E8"/>
    <w:rsid w:val="00B32860"/>
    <w:rsid w:val="00B33C8E"/>
    <w:rsid w:val="00B365F4"/>
    <w:rsid w:val="00B36CC4"/>
    <w:rsid w:val="00B373F9"/>
    <w:rsid w:val="00B4002C"/>
    <w:rsid w:val="00B4105D"/>
    <w:rsid w:val="00B41652"/>
    <w:rsid w:val="00B42C27"/>
    <w:rsid w:val="00B42CAE"/>
    <w:rsid w:val="00B44A58"/>
    <w:rsid w:val="00B44E44"/>
    <w:rsid w:val="00B45292"/>
    <w:rsid w:val="00B455C0"/>
    <w:rsid w:val="00B47628"/>
    <w:rsid w:val="00B52D61"/>
    <w:rsid w:val="00B52D98"/>
    <w:rsid w:val="00B53B61"/>
    <w:rsid w:val="00B55DB1"/>
    <w:rsid w:val="00B55FC5"/>
    <w:rsid w:val="00B6021C"/>
    <w:rsid w:val="00B6178D"/>
    <w:rsid w:val="00B62626"/>
    <w:rsid w:val="00B62631"/>
    <w:rsid w:val="00B62826"/>
    <w:rsid w:val="00B62870"/>
    <w:rsid w:val="00B64830"/>
    <w:rsid w:val="00B6753D"/>
    <w:rsid w:val="00B70F1A"/>
    <w:rsid w:val="00B7172F"/>
    <w:rsid w:val="00B726A0"/>
    <w:rsid w:val="00B73277"/>
    <w:rsid w:val="00B73BEA"/>
    <w:rsid w:val="00B76395"/>
    <w:rsid w:val="00B8182E"/>
    <w:rsid w:val="00B82165"/>
    <w:rsid w:val="00B824B4"/>
    <w:rsid w:val="00B826B8"/>
    <w:rsid w:val="00B83713"/>
    <w:rsid w:val="00B84DA9"/>
    <w:rsid w:val="00B856C4"/>
    <w:rsid w:val="00B85E19"/>
    <w:rsid w:val="00B87561"/>
    <w:rsid w:val="00B87CDD"/>
    <w:rsid w:val="00B90C03"/>
    <w:rsid w:val="00B92B9D"/>
    <w:rsid w:val="00B93938"/>
    <w:rsid w:val="00B943ED"/>
    <w:rsid w:val="00B96795"/>
    <w:rsid w:val="00B969EF"/>
    <w:rsid w:val="00B971FE"/>
    <w:rsid w:val="00BA36FA"/>
    <w:rsid w:val="00BA38A0"/>
    <w:rsid w:val="00BA3B68"/>
    <w:rsid w:val="00BA4362"/>
    <w:rsid w:val="00BA5044"/>
    <w:rsid w:val="00BA55A8"/>
    <w:rsid w:val="00BA5651"/>
    <w:rsid w:val="00BA5D07"/>
    <w:rsid w:val="00BA606D"/>
    <w:rsid w:val="00BB0DD6"/>
    <w:rsid w:val="00BB127A"/>
    <w:rsid w:val="00BB1290"/>
    <w:rsid w:val="00BB12A2"/>
    <w:rsid w:val="00BB2031"/>
    <w:rsid w:val="00BB297A"/>
    <w:rsid w:val="00BB3ABB"/>
    <w:rsid w:val="00BB4053"/>
    <w:rsid w:val="00BB4121"/>
    <w:rsid w:val="00BB4D84"/>
    <w:rsid w:val="00BB4FA3"/>
    <w:rsid w:val="00BB6199"/>
    <w:rsid w:val="00BB7D4A"/>
    <w:rsid w:val="00BC0CC1"/>
    <w:rsid w:val="00BC286A"/>
    <w:rsid w:val="00BC3342"/>
    <w:rsid w:val="00BC337F"/>
    <w:rsid w:val="00BC5EAD"/>
    <w:rsid w:val="00BC5F41"/>
    <w:rsid w:val="00BC74B6"/>
    <w:rsid w:val="00BD0D53"/>
    <w:rsid w:val="00BD28D1"/>
    <w:rsid w:val="00BD56D0"/>
    <w:rsid w:val="00BD6960"/>
    <w:rsid w:val="00BD786F"/>
    <w:rsid w:val="00BE0CA7"/>
    <w:rsid w:val="00BE10ED"/>
    <w:rsid w:val="00BE207C"/>
    <w:rsid w:val="00BE3351"/>
    <w:rsid w:val="00BE3870"/>
    <w:rsid w:val="00BE7628"/>
    <w:rsid w:val="00BE79FD"/>
    <w:rsid w:val="00BF02B4"/>
    <w:rsid w:val="00BF0D69"/>
    <w:rsid w:val="00BF2252"/>
    <w:rsid w:val="00BF3079"/>
    <w:rsid w:val="00BF43E6"/>
    <w:rsid w:val="00BF4B0E"/>
    <w:rsid w:val="00BF6491"/>
    <w:rsid w:val="00BF6C99"/>
    <w:rsid w:val="00BF7FC9"/>
    <w:rsid w:val="00C01A3D"/>
    <w:rsid w:val="00C032E2"/>
    <w:rsid w:val="00C058E1"/>
    <w:rsid w:val="00C06264"/>
    <w:rsid w:val="00C07266"/>
    <w:rsid w:val="00C073E3"/>
    <w:rsid w:val="00C10BBB"/>
    <w:rsid w:val="00C11228"/>
    <w:rsid w:val="00C11451"/>
    <w:rsid w:val="00C11C68"/>
    <w:rsid w:val="00C11C9D"/>
    <w:rsid w:val="00C1237F"/>
    <w:rsid w:val="00C129D4"/>
    <w:rsid w:val="00C137DC"/>
    <w:rsid w:val="00C14406"/>
    <w:rsid w:val="00C145E6"/>
    <w:rsid w:val="00C146E3"/>
    <w:rsid w:val="00C15F10"/>
    <w:rsid w:val="00C2028F"/>
    <w:rsid w:val="00C22D22"/>
    <w:rsid w:val="00C261D6"/>
    <w:rsid w:val="00C26D11"/>
    <w:rsid w:val="00C26D65"/>
    <w:rsid w:val="00C30B07"/>
    <w:rsid w:val="00C31734"/>
    <w:rsid w:val="00C33325"/>
    <w:rsid w:val="00C348F6"/>
    <w:rsid w:val="00C359E5"/>
    <w:rsid w:val="00C359E9"/>
    <w:rsid w:val="00C3788D"/>
    <w:rsid w:val="00C378B8"/>
    <w:rsid w:val="00C4246C"/>
    <w:rsid w:val="00C432D6"/>
    <w:rsid w:val="00C46AC5"/>
    <w:rsid w:val="00C4765B"/>
    <w:rsid w:val="00C5035E"/>
    <w:rsid w:val="00C50881"/>
    <w:rsid w:val="00C51450"/>
    <w:rsid w:val="00C53756"/>
    <w:rsid w:val="00C55043"/>
    <w:rsid w:val="00C56618"/>
    <w:rsid w:val="00C56BF9"/>
    <w:rsid w:val="00C56E8A"/>
    <w:rsid w:val="00C602A1"/>
    <w:rsid w:val="00C61886"/>
    <w:rsid w:val="00C623FE"/>
    <w:rsid w:val="00C627A6"/>
    <w:rsid w:val="00C62AA2"/>
    <w:rsid w:val="00C62D0F"/>
    <w:rsid w:val="00C63CD3"/>
    <w:rsid w:val="00C63F84"/>
    <w:rsid w:val="00C6411F"/>
    <w:rsid w:val="00C64BD4"/>
    <w:rsid w:val="00C6572E"/>
    <w:rsid w:val="00C66639"/>
    <w:rsid w:val="00C67451"/>
    <w:rsid w:val="00C67D65"/>
    <w:rsid w:val="00C705AC"/>
    <w:rsid w:val="00C7237B"/>
    <w:rsid w:val="00C72AA4"/>
    <w:rsid w:val="00C73A77"/>
    <w:rsid w:val="00C74680"/>
    <w:rsid w:val="00C77462"/>
    <w:rsid w:val="00C77DB6"/>
    <w:rsid w:val="00C81796"/>
    <w:rsid w:val="00C8185B"/>
    <w:rsid w:val="00C8241D"/>
    <w:rsid w:val="00C841E9"/>
    <w:rsid w:val="00C84238"/>
    <w:rsid w:val="00C847E1"/>
    <w:rsid w:val="00C85319"/>
    <w:rsid w:val="00C858F1"/>
    <w:rsid w:val="00C86C48"/>
    <w:rsid w:val="00C8700C"/>
    <w:rsid w:val="00C8748B"/>
    <w:rsid w:val="00C87A6A"/>
    <w:rsid w:val="00C90295"/>
    <w:rsid w:val="00C9043E"/>
    <w:rsid w:val="00C911D0"/>
    <w:rsid w:val="00C91311"/>
    <w:rsid w:val="00C9135B"/>
    <w:rsid w:val="00C93570"/>
    <w:rsid w:val="00C94CD1"/>
    <w:rsid w:val="00C94F64"/>
    <w:rsid w:val="00C9554B"/>
    <w:rsid w:val="00C95B25"/>
    <w:rsid w:val="00C96A87"/>
    <w:rsid w:val="00C97C99"/>
    <w:rsid w:val="00CA1A4D"/>
    <w:rsid w:val="00CA1CB0"/>
    <w:rsid w:val="00CA2D8C"/>
    <w:rsid w:val="00CA3971"/>
    <w:rsid w:val="00CA4163"/>
    <w:rsid w:val="00CA43A1"/>
    <w:rsid w:val="00CA4EC6"/>
    <w:rsid w:val="00CA5A4F"/>
    <w:rsid w:val="00CA5DA4"/>
    <w:rsid w:val="00CA6384"/>
    <w:rsid w:val="00CA6DC8"/>
    <w:rsid w:val="00CA7153"/>
    <w:rsid w:val="00CA73DD"/>
    <w:rsid w:val="00CA77B9"/>
    <w:rsid w:val="00CB04D2"/>
    <w:rsid w:val="00CB1786"/>
    <w:rsid w:val="00CB1BBF"/>
    <w:rsid w:val="00CB3A6C"/>
    <w:rsid w:val="00CB4004"/>
    <w:rsid w:val="00CB539C"/>
    <w:rsid w:val="00CB583E"/>
    <w:rsid w:val="00CC01F6"/>
    <w:rsid w:val="00CC0759"/>
    <w:rsid w:val="00CC1038"/>
    <w:rsid w:val="00CC4633"/>
    <w:rsid w:val="00CC5E86"/>
    <w:rsid w:val="00CC62AA"/>
    <w:rsid w:val="00CC6FD4"/>
    <w:rsid w:val="00CC719F"/>
    <w:rsid w:val="00CD01E6"/>
    <w:rsid w:val="00CD2403"/>
    <w:rsid w:val="00CD2FC1"/>
    <w:rsid w:val="00CD3581"/>
    <w:rsid w:val="00CD4FD5"/>
    <w:rsid w:val="00CD53CF"/>
    <w:rsid w:val="00CD6815"/>
    <w:rsid w:val="00CD6822"/>
    <w:rsid w:val="00CE10AA"/>
    <w:rsid w:val="00CE12DB"/>
    <w:rsid w:val="00CE26E2"/>
    <w:rsid w:val="00CE308F"/>
    <w:rsid w:val="00CE3990"/>
    <w:rsid w:val="00CE4959"/>
    <w:rsid w:val="00CE5798"/>
    <w:rsid w:val="00CE6BBD"/>
    <w:rsid w:val="00CF06C5"/>
    <w:rsid w:val="00CF165E"/>
    <w:rsid w:val="00CF1D5F"/>
    <w:rsid w:val="00CF2803"/>
    <w:rsid w:val="00CF4562"/>
    <w:rsid w:val="00CF47ED"/>
    <w:rsid w:val="00CF4F39"/>
    <w:rsid w:val="00D02B80"/>
    <w:rsid w:val="00D044B8"/>
    <w:rsid w:val="00D06334"/>
    <w:rsid w:val="00D06EFA"/>
    <w:rsid w:val="00D076ED"/>
    <w:rsid w:val="00D1027F"/>
    <w:rsid w:val="00D109DF"/>
    <w:rsid w:val="00D10F1B"/>
    <w:rsid w:val="00D110A0"/>
    <w:rsid w:val="00D111F2"/>
    <w:rsid w:val="00D126AB"/>
    <w:rsid w:val="00D12E4B"/>
    <w:rsid w:val="00D14423"/>
    <w:rsid w:val="00D21642"/>
    <w:rsid w:val="00D21F01"/>
    <w:rsid w:val="00D23637"/>
    <w:rsid w:val="00D24128"/>
    <w:rsid w:val="00D26174"/>
    <w:rsid w:val="00D27374"/>
    <w:rsid w:val="00D275F1"/>
    <w:rsid w:val="00D30310"/>
    <w:rsid w:val="00D317F7"/>
    <w:rsid w:val="00D32016"/>
    <w:rsid w:val="00D3271E"/>
    <w:rsid w:val="00D329CC"/>
    <w:rsid w:val="00D33267"/>
    <w:rsid w:val="00D35C3D"/>
    <w:rsid w:val="00D37A25"/>
    <w:rsid w:val="00D42AD3"/>
    <w:rsid w:val="00D43516"/>
    <w:rsid w:val="00D47620"/>
    <w:rsid w:val="00D502B1"/>
    <w:rsid w:val="00D5122D"/>
    <w:rsid w:val="00D5281B"/>
    <w:rsid w:val="00D52B0C"/>
    <w:rsid w:val="00D52BBD"/>
    <w:rsid w:val="00D52C9D"/>
    <w:rsid w:val="00D5300D"/>
    <w:rsid w:val="00D5420F"/>
    <w:rsid w:val="00D5471A"/>
    <w:rsid w:val="00D55A33"/>
    <w:rsid w:val="00D5776F"/>
    <w:rsid w:val="00D60D6E"/>
    <w:rsid w:val="00D6341F"/>
    <w:rsid w:val="00D63F1C"/>
    <w:rsid w:val="00D64A60"/>
    <w:rsid w:val="00D655A0"/>
    <w:rsid w:val="00D656C3"/>
    <w:rsid w:val="00D6573E"/>
    <w:rsid w:val="00D67BE0"/>
    <w:rsid w:val="00D71196"/>
    <w:rsid w:val="00D716CD"/>
    <w:rsid w:val="00D736CB"/>
    <w:rsid w:val="00D75000"/>
    <w:rsid w:val="00D77704"/>
    <w:rsid w:val="00D80D18"/>
    <w:rsid w:val="00D815B6"/>
    <w:rsid w:val="00D81778"/>
    <w:rsid w:val="00D82DDE"/>
    <w:rsid w:val="00D87042"/>
    <w:rsid w:val="00D87FFB"/>
    <w:rsid w:val="00D90606"/>
    <w:rsid w:val="00D91166"/>
    <w:rsid w:val="00D91522"/>
    <w:rsid w:val="00D930A0"/>
    <w:rsid w:val="00D94475"/>
    <w:rsid w:val="00D9479F"/>
    <w:rsid w:val="00D94CFB"/>
    <w:rsid w:val="00D962C2"/>
    <w:rsid w:val="00D963C7"/>
    <w:rsid w:val="00D96406"/>
    <w:rsid w:val="00DA0350"/>
    <w:rsid w:val="00DA1660"/>
    <w:rsid w:val="00DA1829"/>
    <w:rsid w:val="00DA18A2"/>
    <w:rsid w:val="00DA19F9"/>
    <w:rsid w:val="00DA21F3"/>
    <w:rsid w:val="00DA2B6C"/>
    <w:rsid w:val="00DA2B77"/>
    <w:rsid w:val="00DA3A6E"/>
    <w:rsid w:val="00DA51E4"/>
    <w:rsid w:val="00DA5AAC"/>
    <w:rsid w:val="00DA5FD6"/>
    <w:rsid w:val="00DA61F2"/>
    <w:rsid w:val="00DA679D"/>
    <w:rsid w:val="00DA7A18"/>
    <w:rsid w:val="00DB0282"/>
    <w:rsid w:val="00DB0DDD"/>
    <w:rsid w:val="00DB1C44"/>
    <w:rsid w:val="00DB1D36"/>
    <w:rsid w:val="00DB3675"/>
    <w:rsid w:val="00DB493E"/>
    <w:rsid w:val="00DB6B7A"/>
    <w:rsid w:val="00DB6C54"/>
    <w:rsid w:val="00DC3551"/>
    <w:rsid w:val="00DC3DBA"/>
    <w:rsid w:val="00DC646E"/>
    <w:rsid w:val="00DC7066"/>
    <w:rsid w:val="00DC785A"/>
    <w:rsid w:val="00DD02A7"/>
    <w:rsid w:val="00DD0AF8"/>
    <w:rsid w:val="00DD11AC"/>
    <w:rsid w:val="00DD1E55"/>
    <w:rsid w:val="00DD227E"/>
    <w:rsid w:val="00DD22DA"/>
    <w:rsid w:val="00DD304D"/>
    <w:rsid w:val="00DD3F61"/>
    <w:rsid w:val="00DD5F75"/>
    <w:rsid w:val="00DD6492"/>
    <w:rsid w:val="00DD65FF"/>
    <w:rsid w:val="00DD6A9D"/>
    <w:rsid w:val="00DE16F2"/>
    <w:rsid w:val="00DE24BF"/>
    <w:rsid w:val="00DE2AD7"/>
    <w:rsid w:val="00DE3D57"/>
    <w:rsid w:val="00DE3F6D"/>
    <w:rsid w:val="00DE447B"/>
    <w:rsid w:val="00DE4911"/>
    <w:rsid w:val="00DE5319"/>
    <w:rsid w:val="00DE5812"/>
    <w:rsid w:val="00DE6048"/>
    <w:rsid w:val="00DE798C"/>
    <w:rsid w:val="00DE7DD9"/>
    <w:rsid w:val="00DF001C"/>
    <w:rsid w:val="00DF075F"/>
    <w:rsid w:val="00DF4636"/>
    <w:rsid w:val="00DF66A9"/>
    <w:rsid w:val="00DF6CE2"/>
    <w:rsid w:val="00DF7D09"/>
    <w:rsid w:val="00E0019F"/>
    <w:rsid w:val="00E0045A"/>
    <w:rsid w:val="00E00E79"/>
    <w:rsid w:val="00E01D43"/>
    <w:rsid w:val="00E022B8"/>
    <w:rsid w:val="00E0294A"/>
    <w:rsid w:val="00E0366E"/>
    <w:rsid w:val="00E03D1D"/>
    <w:rsid w:val="00E04BA8"/>
    <w:rsid w:val="00E05277"/>
    <w:rsid w:val="00E11A22"/>
    <w:rsid w:val="00E11E1F"/>
    <w:rsid w:val="00E12BB5"/>
    <w:rsid w:val="00E12C1B"/>
    <w:rsid w:val="00E12F5D"/>
    <w:rsid w:val="00E15443"/>
    <w:rsid w:val="00E1612D"/>
    <w:rsid w:val="00E167D3"/>
    <w:rsid w:val="00E16E9D"/>
    <w:rsid w:val="00E16EC0"/>
    <w:rsid w:val="00E172A6"/>
    <w:rsid w:val="00E207A9"/>
    <w:rsid w:val="00E20AEF"/>
    <w:rsid w:val="00E23144"/>
    <w:rsid w:val="00E24147"/>
    <w:rsid w:val="00E24300"/>
    <w:rsid w:val="00E31028"/>
    <w:rsid w:val="00E32501"/>
    <w:rsid w:val="00E32A0C"/>
    <w:rsid w:val="00E33C3A"/>
    <w:rsid w:val="00E341A2"/>
    <w:rsid w:val="00E40374"/>
    <w:rsid w:val="00E41006"/>
    <w:rsid w:val="00E41E6E"/>
    <w:rsid w:val="00E422A1"/>
    <w:rsid w:val="00E422F5"/>
    <w:rsid w:val="00E43B56"/>
    <w:rsid w:val="00E443D3"/>
    <w:rsid w:val="00E44795"/>
    <w:rsid w:val="00E448B1"/>
    <w:rsid w:val="00E465D8"/>
    <w:rsid w:val="00E467FA"/>
    <w:rsid w:val="00E50301"/>
    <w:rsid w:val="00E510D0"/>
    <w:rsid w:val="00E55CF9"/>
    <w:rsid w:val="00E568EC"/>
    <w:rsid w:val="00E5716D"/>
    <w:rsid w:val="00E57AD9"/>
    <w:rsid w:val="00E57CBD"/>
    <w:rsid w:val="00E6053E"/>
    <w:rsid w:val="00E60728"/>
    <w:rsid w:val="00E6143F"/>
    <w:rsid w:val="00E61E33"/>
    <w:rsid w:val="00E61F04"/>
    <w:rsid w:val="00E61F40"/>
    <w:rsid w:val="00E6311E"/>
    <w:rsid w:val="00E641BF"/>
    <w:rsid w:val="00E64384"/>
    <w:rsid w:val="00E64653"/>
    <w:rsid w:val="00E64C22"/>
    <w:rsid w:val="00E66C97"/>
    <w:rsid w:val="00E676EF"/>
    <w:rsid w:val="00E6781A"/>
    <w:rsid w:val="00E702C9"/>
    <w:rsid w:val="00E708E5"/>
    <w:rsid w:val="00E709F0"/>
    <w:rsid w:val="00E71AB5"/>
    <w:rsid w:val="00E720E3"/>
    <w:rsid w:val="00E721E7"/>
    <w:rsid w:val="00E77535"/>
    <w:rsid w:val="00E77C44"/>
    <w:rsid w:val="00E81ECD"/>
    <w:rsid w:val="00E82A48"/>
    <w:rsid w:val="00E82F75"/>
    <w:rsid w:val="00E8317E"/>
    <w:rsid w:val="00E843D4"/>
    <w:rsid w:val="00E867FA"/>
    <w:rsid w:val="00E873BE"/>
    <w:rsid w:val="00E9104B"/>
    <w:rsid w:val="00E95451"/>
    <w:rsid w:val="00E958DC"/>
    <w:rsid w:val="00E97617"/>
    <w:rsid w:val="00EA3FB7"/>
    <w:rsid w:val="00EA4065"/>
    <w:rsid w:val="00EA4400"/>
    <w:rsid w:val="00EA46B7"/>
    <w:rsid w:val="00EA4BC9"/>
    <w:rsid w:val="00EA4CFF"/>
    <w:rsid w:val="00EA57C5"/>
    <w:rsid w:val="00EA5E72"/>
    <w:rsid w:val="00EA757A"/>
    <w:rsid w:val="00EA7AE4"/>
    <w:rsid w:val="00EB082C"/>
    <w:rsid w:val="00EB10FF"/>
    <w:rsid w:val="00EB1261"/>
    <w:rsid w:val="00EB195F"/>
    <w:rsid w:val="00EB3551"/>
    <w:rsid w:val="00EB4C94"/>
    <w:rsid w:val="00EB508B"/>
    <w:rsid w:val="00EB5246"/>
    <w:rsid w:val="00EB64C0"/>
    <w:rsid w:val="00EB6E02"/>
    <w:rsid w:val="00EC149A"/>
    <w:rsid w:val="00EC20A8"/>
    <w:rsid w:val="00EC23C6"/>
    <w:rsid w:val="00EC3E23"/>
    <w:rsid w:val="00EC5B61"/>
    <w:rsid w:val="00EC6092"/>
    <w:rsid w:val="00EC6FA1"/>
    <w:rsid w:val="00EC7083"/>
    <w:rsid w:val="00EC720F"/>
    <w:rsid w:val="00ED0C61"/>
    <w:rsid w:val="00ED14BB"/>
    <w:rsid w:val="00ED1E36"/>
    <w:rsid w:val="00ED2044"/>
    <w:rsid w:val="00ED23EE"/>
    <w:rsid w:val="00ED38C8"/>
    <w:rsid w:val="00ED431A"/>
    <w:rsid w:val="00ED50C5"/>
    <w:rsid w:val="00ED5153"/>
    <w:rsid w:val="00ED6682"/>
    <w:rsid w:val="00ED76CF"/>
    <w:rsid w:val="00EE0598"/>
    <w:rsid w:val="00EE10F9"/>
    <w:rsid w:val="00EE13D0"/>
    <w:rsid w:val="00EE17DE"/>
    <w:rsid w:val="00EE1EC6"/>
    <w:rsid w:val="00EE1FC3"/>
    <w:rsid w:val="00EE301A"/>
    <w:rsid w:val="00EE309E"/>
    <w:rsid w:val="00EE37C9"/>
    <w:rsid w:val="00EE3BD0"/>
    <w:rsid w:val="00EE3D88"/>
    <w:rsid w:val="00EE5418"/>
    <w:rsid w:val="00EE7677"/>
    <w:rsid w:val="00EE7866"/>
    <w:rsid w:val="00EF156A"/>
    <w:rsid w:val="00EF2A85"/>
    <w:rsid w:val="00EF30C7"/>
    <w:rsid w:val="00EF4204"/>
    <w:rsid w:val="00EF5977"/>
    <w:rsid w:val="00EF7435"/>
    <w:rsid w:val="00EF7678"/>
    <w:rsid w:val="00EF77CA"/>
    <w:rsid w:val="00F00AA3"/>
    <w:rsid w:val="00F00D56"/>
    <w:rsid w:val="00F00FB9"/>
    <w:rsid w:val="00F013DF"/>
    <w:rsid w:val="00F020B9"/>
    <w:rsid w:val="00F020C8"/>
    <w:rsid w:val="00F023BD"/>
    <w:rsid w:val="00F02EFA"/>
    <w:rsid w:val="00F03221"/>
    <w:rsid w:val="00F033B0"/>
    <w:rsid w:val="00F03AD2"/>
    <w:rsid w:val="00F03F17"/>
    <w:rsid w:val="00F04368"/>
    <w:rsid w:val="00F05D92"/>
    <w:rsid w:val="00F06C44"/>
    <w:rsid w:val="00F10AE7"/>
    <w:rsid w:val="00F10CB7"/>
    <w:rsid w:val="00F10E83"/>
    <w:rsid w:val="00F11549"/>
    <w:rsid w:val="00F12180"/>
    <w:rsid w:val="00F12414"/>
    <w:rsid w:val="00F14014"/>
    <w:rsid w:val="00F143C1"/>
    <w:rsid w:val="00F14985"/>
    <w:rsid w:val="00F15200"/>
    <w:rsid w:val="00F17365"/>
    <w:rsid w:val="00F175E7"/>
    <w:rsid w:val="00F17AF0"/>
    <w:rsid w:val="00F17E6F"/>
    <w:rsid w:val="00F20297"/>
    <w:rsid w:val="00F2057A"/>
    <w:rsid w:val="00F20AAD"/>
    <w:rsid w:val="00F2108A"/>
    <w:rsid w:val="00F2133B"/>
    <w:rsid w:val="00F24635"/>
    <w:rsid w:val="00F3085F"/>
    <w:rsid w:val="00F313BD"/>
    <w:rsid w:val="00F31910"/>
    <w:rsid w:val="00F32415"/>
    <w:rsid w:val="00F32BC5"/>
    <w:rsid w:val="00F32CF0"/>
    <w:rsid w:val="00F3405C"/>
    <w:rsid w:val="00F35597"/>
    <w:rsid w:val="00F36762"/>
    <w:rsid w:val="00F374B7"/>
    <w:rsid w:val="00F37593"/>
    <w:rsid w:val="00F44AE4"/>
    <w:rsid w:val="00F44CB5"/>
    <w:rsid w:val="00F45698"/>
    <w:rsid w:val="00F45E4C"/>
    <w:rsid w:val="00F45F3D"/>
    <w:rsid w:val="00F4606C"/>
    <w:rsid w:val="00F47D12"/>
    <w:rsid w:val="00F50E91"/>
    <w:rsid w:val="00F512CD"/>
    <w:rsid w:val="00F51AB4"/>
    <w:rsid w:val="00F52237"/>
    <w:rsid w:val="00F55D2C"/>
    <w:rsid w:val="00F55E8C"/>
    <w:rsid w:val="00F5646F"/>
    <w:rsid w:val="00F565DF"/>
    <w:rsid w:val="00F56F87"/>
    <w:rsid w:val="00F574F9"/>
    <w:rsid w:val="00F576A9"/>
    <w:rsid w:val="00F6076C"/>
    <w:rsid w:val="00F60AB5"/>
    <w:rsid w:val="00F61A73"/>
    <w:rsid w:val="00F62DC9"/>
    <w:rsid w:val="00F6308D"/>
    <w:rsid w:val="00F632D9"/>
    <w:rsid w:val="00F64B01"/>
    <w:rsid w:val="00F67032"/>
    <w:rsid w:val="00F67709"/>
    <w:rsid w:val="00F71A41"/>
    <w:rsid w:val="00F71DEA"/>
    <w:rsid w:val="00F73632"/>
    <w:rsid w:val="00F740C7"/>
    <w:rsid w:val="00F76BA5"/>
    <w:rsid w:val="00F813CB"/>
    <w:rsid w:val="00F82804"/>
    <w:rsid w:val="00F82C58"/>
    <w:rsid w:val="00F8319D"/>
    <w:rsid w:val="00F847C4"/>
    <w:rsid w:val="00F8488C"/>
    <w:rsid w:val="00F84E77"/>
    <w:rsid w:val="00F8640E"/>
    <w:rsid w:val="00F91368"/>
    <w:rsid w:val="00F92D54"/>
    <w:rsid w:val="00F930CE"/>
    <w:rsid w:val="00F942CC"/>
    <w:rsid w:val="00F94792"/>
    <w:rsid w:val="00F94D44"/>
    <w:rsid w:val="00F951A2"/>
    <w:rsid w:val="00F96525"/>
    <w:rsid w:val="00F97D88"/>
    <w:rsid w:val="00FA28B7"/>
    <w:rsid w:val="00FA2D87"/>
    <w:rsid w:val="00FA3A4F"/>
    <w:rsid w:val="00FA3FDE"/>
    <w:rsid w:val="00FA443F"/>
    <w:rsid w:val="00FA463D"/>
    <w:rsid w:val="00FA5961"/>
    <w:rsid w:val="00FB0D80"/>
    <w:rsid w:val="00FB24D8"/>
    <w:rsid w:val="00FB29CA"/>
    <w:rsid w:val="00FB4DFA"/>
    <w:rsid w:val="00FB52BE"/>
    <w:rsid w:val="00FB56FE"/>
    <w:rsid w:val="00FB5E0A"/>
    <w:rsid w:val="00FB767C"/>
    <w:rsid w:val="00FC0294"/>
    <w:rsid w:val="00FC150A"/>
    <w:rsid w:val="00FC1B7B"/>
    <w:rsid w:val="00FC22A0"/>
    <w:rsid w:val="00FC25D9"/>
    <w:rsid w:val="00FC438D"/>
    <w:rsid w:val="00FC4BC0"/>
    <w:rsid w:val="00FC5E13"/>
    <w:rsid w:val="00FC5F56"/>
    <w:rsid w:val="00FC5F6E"/>
    <w:rsid w:val="00FC64F9"/>
    <w:rsid w:val="00FC6FBF"/>
    <w:rsid w:val="00FC72E1"/>
    <w:rsid w:val="00FC7446"/>
    <w:rsid w:val="00FC76CB"/>
    <w:rsid w:val="00FC7D32"/>
    <w:rsid w:val="00FD029D"/>
    <w:rsid w:val="00FD0A8F"/>
    <w:rsid w:val="00FD1090"/>
    <w:rsid w:val="00FD35EC"/>
    <w:rsid w:val="00FD4233"/>
    <w:rsid w:val="00FD426F"/>
    <w:rsid w:val="00FD450F"/>
    <w:rsid w:val="00FD45A3"/>
    <w:rsid w:val="00FD5F07"/>
    <w:rsid w:val="00FD60B5"/>
    <w:rsid w:val="00FD7146"/>
    <w:rsid w:val="00FD7316"/>
    <w:rsid w:val="00FD7994"/>
    <w:rsid w:val="00FE0C67"/>
    <w:rsid w:val="00FE0D8E"/>
    <w:rsid w:val="00FE1763"/>
    <w:rsid w:val="00FE1A3F"/>
    <w:rsid w:val="00FE2481"/>
    <w:rsid w:val="00FE370E"/>
    <w:rsid w:val="00FE4403"/>
    <w:rsid w:val="00FE61B1"/>
    <w:rsid w:val="00FE66B7"/>
    <w:rsid w:val="00FE6F86"/>
    <w:rsid w:val="00FE7283"/>
    <w:rsid w:val="00FE7398"/>
    <w:rsid w:val="00FF0DE8"/>
    <w:rsid w:val="00FF0E08"/>
    <w:rsid w:val="00FF2149"/>
    <w:rsid w:val="00FF3593"/>
    <w:rsid w:val="00FF3E2F"/>
    <w:rsid w:val="00FF5AD7"/>
    <w:rsid w:val="00FF60B6"/>
    <w:rsid w:val="00FF6E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BE96F1"/>
  <w15:docId w15:val="{FD613E88-3E58-4B8A-B9C3-92300785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NeueLT Std" w:eastAsiaTheme="minorHAnsi" w:hAnsi="HelveticaNeueLT Std" w:cstheme="minorBidi"/>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F2"/>
    <w:pPr>
      <w:spacing w:line="256" w:lineRule="auto"/>
    </w:pPr>
  </w:style>
  <w:style w:type="paragraph" w:styleId="Ttulo1">
    <w:name w:val="heading 1"/>
    <w:basedOn w:val="Normal"/>
    <w:next w:val="Normal"/>
    <w:link w:val="Ttulo1Car"/>
    <w:uiPriority w:val="9"/>
    <w:qFormat/>
    <w:rsid w:val="007300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21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212B"/>
  </w:style>
  <w:style w:type="paragraph" w:styleId="Piedepgina">
    <w:name w:val="footer"/>
    <w:basedOn w:val="Normal"/>
    <w:link w:val="PiedepginaCar"/>
    <w:uiPriority w:val="99"/>
    <w:unhideWhenUsed/>
    <w:rsid w:val="003321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212B"/>
  </w:style>
  <w:style w:type="paragraph" w:styleId="Prrafodelista">
    <w:name w:val="List Paragraph"/>
    <w:basedOn w:val="Normal"/>
    <w:uiPriority w:val="34"/>
    <w:qFormat/>
    <w:rsid w:val="00834FF2"/>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Texto">
    <w:name w:val="Texto"/>
    <w:basedOn w:val="Normal"/>
    <w:link w:val="TextoCar"/>
    <w:qFormat/>
    <w:rsid w:val="00834FF2"/>
    <w:pPr>
      <w:spacing w:after="101" w:line="216" w:lineRule="exact"/>
      <w:ind w:firstLine="288"/>
      <w:jc w:val="both"/>
    </w:pPr>
    <w:rPr>
      <w:rFonts w:ascii="Arial" w:eastAsia="Times New Roman" w:hAnsi="Arial" w:cs="Arial"/>
      <w:sz w:val="18"/>
      <w:lang w:val="es-ES" w:eastAsia="es-ES"/>
    </w:rPr>
  </w:style>
  <w:style w:type="character" w:customStyle="1" w:styleId="TextoCar">
    <w:name w:val="Texto Car"/>
    <w:link w:val="Texto"/>
    <w:locked/>
    <w:rsid w:val="00834FF2"/>
    <w:rPr>
      <w:rFonts w:ascii="Arial" w:eastAsia="Times New Roman" w:hAnsi="Arial" w:cs="Arial"/>
      <w:sz w:val="18"/>
      <w:szCs w:val="20"/>
      <w:lang w:val="es-ES" w:eastAsia="es-ES"/>
    </w:rPr>
  </w:style>
  <w:style w:type="character" w:styleId="Hipervnculo">
    <w:name w:val="Hyperlink"/>
    <w:uiPriority w:val="99"/>
    <w:unhideWhenUsed/>
    <w:rsid w:val="00834FF2"/>
    <w:rPr>
      <w:color w:val="0000FF"/>
      <w:u w:val="single"/>
    </w:rPr>
  </w:style>
  <w:style w:type="table" w:styleId="Tablaconcuadrcula">
    <w:name w:val="Table Grid"/>
    <w:basedOn w:val="Tablanormal"/>
    <w:rsid w:val="00834FF2"/>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EA44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400"/>
    <w:rPr>
      <w:rFonts w:ascii="Segoe UI" w:hAnsi="Segoe UI" w:cs="Segoe UI"/>
      <w:sz w:val="18"/>
      <w:szCs w:val="18"/>
    </w:rPr>
  </w:style>
  <w:style w:type="character" w:styleId="Hipervnculovisitado">
    <w:name w:val="FollowedHyperlink"/>
    <w:basedOn w:val="Fuentedeprrafopredeter"/>
    <w:uiPriority w:val="99"/>
    <w:semiHidden/>
    <w:unhideWhenUsed/>
    <w:rsid w:val="00725891"/>
    <w:rPr>
      <w:color w:val="954F72" w:themeColor="followedHyperlink"/>
      <w:u w:val="single"/>
    </w:rPr>
  </w:style>
  <w:style w:type="character" w:styleId="Refdecomentario">
    <w:name w:val="annotation reference"/>
    <w:basedOn w:val="Fuentedeprrafopredeter"/>
    <w:uiPriority w:val="99"/>
    <w:semiHidden/>
    <w:unhideWhenUsed/>
    <w:rsid w:val="000405AF"/>
    <w:rPr>
      <w:sz w:val="16"/>
      <w:szCs w:val="16"/>
    </w:rPr>
  </w:style>
  <w:style w:type="paragraph" w:styleId="Textocomentario">
    <w:name w:val="annotation text"/>
    <w:basedOn w:val="Normal"/>
    <w:link w:val="TextocomentarioCar"/>
    <w:uiPriority w:val="99"/>
    <w:semiHidden/>
    <w:unhideWhenUsed/>
    <w:rsid w:val="000405AF"/>
    <w:pPr>
      <w:spacing w:line="240" w:lineRule="auto"/>
    </w:pPr>
  </w:style>
  <w:style w:type="character" w:customStyle="1" w:styleId="TextocomentarioCar">
    <w:name w:val="Texto comentario Car"/>
    <w:basedOn w:val="Fuentedeprrafopredeter"/>
    <w:link w:val="Textocomentario"/>
    <w:uiPriority w:val="99"/>
    <w:semiHidden/>
    <w:rsid w:val="000405AF"/>
  </w:style>
  <w:style w:type="paragraph" w:styleId="Asuntodelcomentario">
    <w:name w:val="annotation subject"/>
    <w:basedOn w:val="Textocomentario"/>
    <w:next w:val="Textocomentario"/>
    <w:link w:val="AsuntodelcomentarioCar"/>
    <w:uiPriority w:val="99"/>
    <w:semiHidden/>
    <w:unhideWhenUsed/>
    <w:rsid w:val="000405AF"/>
    <w:rPr>
      <w:b/>
      <w:bCs/>
    </w:rPr>
  </w:style>
  <w:style w:type="character" w:customStyle="1" w:styleId="AsuntodelcomentarioCar">
    <w:name w:val="Asunto del comentario Car"/>
    <w:basedOn w:val="TextocomentarioCar"/>
    <w:link w:val="Asuntodelcomentario"/>
    <w:uiPriority w:val="99"/>
    <w:semiHidden/>
    <w:rsid w:val="000405AF"/>
    <w:rPr>
      <w:b/>
      <w:bCs/>
    </w:rPr>
  </w:style>
  <w:style w:type="paragraph" w:styleId="Sinespaciado">
    <w:name w:val="No Spacing"/>
    <w:uiPriority w:val="1"/>
    <w:qFormat/>
    <w:rsid w:val="00F175E7"/>
    <w:pPr>
      <w:spacing w:after="0" w:line="240" w:lineRule="auto"/>
    </w:pPr>
  </w:style>
  <w:style w:type="character" w:styleId="nfasis">
    <w:name w:val="Emphasis"/>
    <w:basedOn w:val="Fuentedeprrafopredeter"/>
    <w:uiPriority w:val="20"/>
    <w:qFormat/>
    <w:rsid w:val="00BA55A8"/>
    <w:rPr>
      <w:i/>
      <w:iCs/>
    </w:rPr>
  </w:style>
  <w:style w:type="paragraph" w:styleId="Textonotapie">
    <w:name w:val="footnote text"/>
    <w:basedOn w:val="Normal"/>
    <w:link w:val="TextonotapieCar"/>
    <w:uiPriority w:val="99"/>
    <w:semiHidden/>
    <w:unhideWhenUsed/>
    <w:rsid w:val="008641A6"/>
    <w:pPr>
      <w:spacing w:after="0" w:line="240" w:lineRule="auto"/>
    </w:pPr>
    <w:rPr>
      <w:rFonts w:ascii="Calibri" w:hAnsi="Calibri" w:cs="Calibri"/>
    </w:rPr>
  </w:style>
  <w:style w:type="character" w:customStyle="1" w:styleId="TextonotapieCar">
    <w:name w:val="Texto nota pie Car"/>
    <w:basedOn w:val="Fuentedeprrafopredeter"/>
    <w:link w:val="Textonotapie"/>
    <w:uiPriority w:val="99"/>
    <w:semiHidden/>
    <w:rsid w:val="008641A6"/>
    <w:rPr>
      <w:rFonts w:ascii="Calibri" w:hAnsi="Calibri" w:cs="Calibri"/>
    </w:rPr>
  </w:style>
  <w:style w:type="character" w:styleId="Refdenotaalpie">
    <w:name w:val="footnote reference"/>
    <w:basedOn w:val="Fuentedeprrafopredeter"/>
    <w:uiPriority w:val="99"/>
    <w:semiHidden/>
    <w:unhideWhenUsed/>
    <w:rsid w:val="008641A6"/>
    <w:rPr>
      <w:vertAlign w:val="superscript"/>
    </w:rPr>
  </w:style>
  <w:style w:type="table" w:customStyle="1" w:styleId="Tablaconcuadrcula1">
    <w:name w:val="Tabla con cuadrícula1"/>
    <w:basedOn w:val="Tablanormal"/>
    <w:next w:val="Tablaconcuadrcula"/>
    <w:rsid w:val="003E650B"/>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rsid w:val="003E650B"/>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next w:val="Tablaconcuadrcula"/>
    <w:rsid w:val="001F057C"/>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rsid w:val="001F057C"/>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rsid w:val="00C26D11"/>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basedOn w:val="Fuentedeprrafopredeter"/>
    <w:link w:val="Ttulo1"/>
    <w:uiPriority w:val="9"/>
    <w:rsid w:val="007300C8"/>
    <w:rPr>
      <w:rFonts w:asciiTheme="majorHAnsi" w:eastAsiaTheme="majorEastAsia" w:hAnsiTheme="majorHAnsi" w:cstheme="majorBidi"/>
      <w:color w:val="2E74B5" w:themeColor="accent1" w:themeShade="BF"/>
      <w:sz w:val="32"/>
      <w:szCs w:val="32"/>
    </w:rPr>
  </w:style>
  <w:style w:type="table" w:customStyle="1" w:styleId="Tablaconcuadrcula111">
    <w:name w:val="Tabla con cuadrícula111"/>
    <w:basedOn w:val="Tablanormal"/>
    <w:next w:val="Tablaconcuadrcula"/>
    <w:rsid w:val="006E6801"/>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rsid w:val="006E6801"/>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6E6801"/>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0921">
      <w:bodyDiv w:val="1"/>
      <w:marLeft w:val="0"/>
      <w:marRight w:val="0"/>
      <w:marTop w:val="0"/>
      <w:marBottom w:val="0"/>
      <w:divBdr>
        <w:top w:val="none" w:sz="0" w:space="0" w:color="auto"/>
        <w:left w:val="none" w:sz="0" w:space="0" w:color="auto"/>
        <w:bottom w:val="none" w:sz="0" w:space="0" w:color="auto"/>
        <w:right w:val="none" w:sz="0" w:space="0" w:color="auto"/>
      </w:divBdr>
    </w:div>
    <w:div w:id="34426179">
      <w:bodyDiv w:val="1"/>
      <w:marLeft w:val="0"/>
      <w:marRight w:val="0"/>
      <w:marTop w:val="0"/>
      <w:marBottom w:val="0"/>
      <w:divBdr>
        <w:top w:val="none" w:sz="0" w:space="0" w:color="auto"/>
        <w:left w:val="none" w:sz="0" w:space="0" w:color="auto"/>
        <w:bottom w:val="none" w:sz="0" w:space="0" w:color="auto"/>
        <w:right w:val="none" w:sz="0" w:space="0" w:color="auto"/>
      </w:divBdr>
    </w:div>
    <w:div w:id="62028950">
      <w:bodyDiv w:val="1"/>
      <w:marLeft w:val="0"/>
      <w:marRight w:val="0"/>
      <w:marTop w:val="0"/>
      <w:marBottom w:val="0"/>
      <w:divBdr>
        <w:top w:val="none" w:sz="0" w:space="0" w:color="auto"/>
        <w:left w:val="none" w:sz="0" w:space="0" w:color="auto"/>
        <w:bottom w:val="none" w:sz="0" w:space="0" w:color="auto"/>
        <w:right w:val="none" w:sz="0" w:space="0" w:color="auto"/>
      </w:divBdr>
    </w:div>
    <w:div w:id="77363948">
      <w:bodyDiv w:val="1"/>
      <w:marLeft w:val="0"/>
      <w:marRight w:val="0"/>
      <w:marTop w:val="0"/>
      <w:marBottom w:val="0"/>
      <w:divBdr>
        <w:top w:val="none" w:sz="0" w:space="0" w:color="auto"/>
        <w:left w:val="none" w:sz="0" w:space="0" w:color="auto"/>
        <w:bottom w:val="none" w:sz="0" w:space="0" w:color="auto"/>
        <w:right w:val="none" w:sz="0" w:space="0" w:color="auto"/>
      </w:divBdr>
    </w:div>
    <w:div w:id="77483872">
      <w:bodyDiv w:val="1"/>
      <w:marLeft w:val="0"/>
      <w:marRight w:val="0"/>
      <w:marTop w:val="0"/>
      <w:marBottom w:val="0"/>
      <w:divBdr>
        <w:top w:val="none" w:sz="0" w:space="0" w:color="auto"/>
        <w:left w:val="none" w:sz="0" w:space="0" w:color="auto"/>
        <w:bottom w:val="none" w:sz="0" w:space="0" w:color="auto"/>
        <w:right w:val="none" w:sz="0" w:space="0" w:color="auto"/>
      </w:divBdr>
    </w:div>
    <w:div w:id="93283274">
      <w:bodyDiv w:val="1"/>
      <w:marLeft w:val="0"/>
      <w:marRight w:val="0"/>
      <w:marTop w:val="0"/>
      <w:marBottom w:val="0"/>
      <w:divBdr>
        <w:top w:val="none" w:sz="0" w:space="0" w:color="auto"/>
        <w:left w:val="none" w:sz="0" w:space="0" w:color="auto"/>
        <w:bottom w:val="none" w:sz="0" w:space="0" w:color="auto"/>
        <w:right w:val="none" w:sz="0" w:space="0" w:color="auto"/>
      </w:divBdr>
    </w:div>
    <w:div w:id="112797259">
      <w:bodyDiv w:val="1"/>
      <w:marLeft w:val="0"/>
      <w:marRight w:val="0"/>
      <w:marTop w:val="0"/>
      <w:marBottom w:val="0"/>
      <w:divBdr>
        <w:top w:val="none" w:sz="0" w:space="0" w:color="auto"/>
        <w:left w:val="none" w:sz="0" w:space="0" w:color="auto"/>
        <w:bottom w:val="none" w:sz="0" w:space="0" w:color="auto"/>
        <w:right w:val="none" w:sz="0" w:space="0" w:color="auto"/>
      </w:divBdr>
    </w:div>
    <w:div w:id="165177020">
      <w:bodyDiv w:val="1"/>
      <w:marLeft w:val="0"/>
      <w:marRight w:val="0"/>
      <w:marTop w:val="0"/>
      <w:marBottom w:val="0"/>
      <w:divBdr>
        <w:top w:val="none" w:sz="0" w:space="0" w:color="auto"/>
        <w:left w:val="none" w:sz="0" w:space="0" w:color="auto"/>
        <w:bottom w:val="none" w:sz="0" w:space="0" w:color="auto"/>
        <w:right w:val="none" w:sz="0" w:space="0" w:color="auto"/>
      </w:divBdr>
    </w:div>
    <w:div w:id="229734018">
      <w:bodyDiv w:val="1"/>
      <w:marLeft w:val="0"/>
      <w:marRight w:val="0"/>
      <w:marTop w:val="0"/>
      <w:marBottom w:val="0"/>
      <w:divBdr>
        <w:top w:val="none" w:sz="0" w:space="0" w:color="auto"/>
        <w:left w:val="none" w:sz="0" w:space="0" w:color="auto"/>
        <w:bottom w:val="none" w:sz="0" w:space="0" w:color="auto"/>
        <w:right w:val="none" w:sz="0" w:space="0" w:color="auto"/>
      </w:divBdr>
    </w:div>
    <w:div w:id="305815393">
      <w:bodyDiv w:val="1"/>
      <w:marLeft w:val="0"/>
      <w:marRight w:val="0"/>
      <w:marTop w:val="0"/>
      <w:marBottom w:val="0"/>
      <w:divBdr>
        <w:top w:val="none" w:sz="0" w:space="0" w:color="auto"/>
        <w:left w:val="none" w:sz="0" w:space="0" w:color="auto"/>
        <w:bottom w:val="none" w:sz="0" w:space="0" w:color="auto"/>
        <w:right w:val="none" w:sz="0" w:space="0" w:color="auto"/>
      </w:divBdr>
      <w:divsChild>
        <w:div w:id="41295551">
          <w:marLeft w:val="0"/>
          <w:marRight w:val="0"/>
          <w:marTop w:val="0"/>
          <w:marBottom w:val="0"/>
          <w:divBdr>
            <w:top w:val="none" w:sz="0" w:space="0" w:color="auto"/>
            <w:left w:val="none" w:sz="0" w:space="0" w:color="auto"/>
            <w:bottom w:val="none" w:sz="0" w:space="0" w:color="auto"/>
            <w:right w:val="none" w:sz="0" w:space="0" w:color="auto"/>
          </w:divBdr>
        </w:div>
      </w:divsChild>
    </w:div>
    <w:div w:id="322198809">
      <w:bodyDiv w:val="1"/>
      <w:marLeft w:val="0"/>
      <w:marRight w:val="0"/>
      <w:marTop w:val="0"/>
      <w:marBottom w:val="0"/>
      <w:divBdr>
        <w:top w:val="none" w:sz="0" w:space="0" w:color="auto"/>
        <w:left w:val="none" w:sz="0" w:space="0" w:color="auto"/>
        <w:bottom w:val="none" w:sz="0" w:space="0" w:color="auto"/>
        <w:right w:val="none" w:sz="0" w:space="0" w:color="auto"/>
      </w:divBdr>
    </w:div>
    <w:div w:id="363678984">
      <w:bodyDiv w:val="1"/>
      <w:marLeft w:val="0"/>
      <w:marRight w:val="0"/>
      <w:marTop w:val="0"/>
      <w:marBottom w:val="0"/>
      <w:divBdr>
        <w:top w:val="none" w:sz="0" w:space="0" w:color="auto"/>
        <w:left w:val="none" w:sz="0" w:space="0" w:color="auto"/>
        <w:bottom w:val="none" w:sz="0" w:space="0" w:color="auto"/>
        <w:right w:val="none" w:sz="0" w:space="0" w:color="auto"/>
      </w:divBdr>
    </w:div>
    <w:div w:id="410083409">
      <w:bodyDiv w:val="1"/>
      <w:marLeft w:val="0"/>
      <w:marRight w:val="0"/>
      <w:marTop w:val="0"/>
      <w:marBottom w:val="0"/>
      <w:divBdr>
        <w:top w:val="none" w:sz="0" w:space="0" w:color="auto"/>
        <w:left w:val="none" w:sz="0" w:space="0" w:color="auto"/>
        <w:bottom w:val="none" w:sz="0" w:space="0" w:color="auto"/>
        <w:right w:val="none" w:sz="0" w:space="0" w:color="auto"/>
      </w:divBdr>
    </w:div>
    <w:div w:id="426731379">
      <w:bodyDiv w:val="1"/>
      <w:marLeft w:val="0"/>
      <w:marRight w:val="0"/>
      <w:marTop w:val="0"/>
      <w:marBottom w:val="0"/>
      <w:divBdr>
        <w:top w:val="none" w:sz="0" w:space="0" w:color="auto"/>
        <w:left w:val="none" w:sz="0" w:space="0" w:color="auto"/>
        <w:bottom w:val="none" w:sz="0" w:space="0" w:color="auto"/>
        <w:right w:val="none" w:sz="0" w:space="0" w:color="auto"/>
      </w:divBdr>
    </w:div>
    <w:div w:id="475417842">
      <w:bodyDiv w:val="1"/>
      <w:marLeft w:val="0"/>
      <w:marRight w:val="0"/>
      <w:marTop w:val="0"/>
      <w:marBottom w:val="0"/>
      <w:divBdr>
        <w:top w:val="none" w:sz="0" w:space="0" w:color="auto"/>
        <w:left w:val="none" w:sz="0" w:space="0" w:color="auto"/>
        <w:bottom w:val="none" w:sz="0" w:space="0" w:color="auto"/>
        <w:right w:val="none" w:sz="0" w:space="0" w:color="auto"/>
      </w:divBdr>
    </w:div>
    <w:div w:id="507908073">
      <w:bodyDiv w:val="1"/>
      <w:marLeft w:val="0"/>
      <w:marRight w:val="0"/>
      <w:marTop w:val="0"/>
      <w:marBottom w:val="0"/>
      <w:divBdr>
        <w:top w:val="none" w:sz="0" w:space="0" w:color="auto"/>
        <w:left w:val="none" w:sz="0" w:space="0" w:color="auto"/>
        <w:bottom w:val="none" w:sz="0" w:space="0" w:color="auto"/>
        <w:right w:val="none" w:sz="0" w:space="0" w:color="auto"/>
      </w:divBdr>
    </w:div>
    <w:div w:id="509030648">
      <w:bodyDiv w:val="1"/>
      <w:marLeft w:val="0"/>
      <w:marRight w:val="0"/>
      <w:marTop w:val="0"/>
      <w:marBottom w:val="0"/>
      <w:divBdr>
        <w:top w:val="none" w:sz="0" w:space="0" w:color="auto"/>
        <w:left w:val="none" w:sz="0" w:space="0" w:color="auto"/>
        <w:bottom w:val="none" w:sz="0" w:space="0" w:color="auto"/>
        <w:right w:val="none" w:sz="0" w:space="0" w:color="auto"/>
      </w:divBdr>
    </w:div>
    <w:div w:id="570702486">
      <w:bodyDiv w:val="1"/>
      <w:marLeft w:val="0"/>
      <w:marRight w:val="0"/>
      <w:marTop w:val="0"/>
      <w:marBottom w:val="0"/>
      <w:divBdr>
        <w:top w:val="none" w:sz="0" w:space="0" w:color="auto"/>
        <w:left w:val="none" w:sz="0" w:space="0" w:color="auto"/>
        <w:bottom w:val="none" w:sz="0" w:space="0" w:color="auto"/>
        <w:right w:val="none" w:sz="0" w:space="0" w:color="auto"/>
      </w:divBdr>
    </w:div>
    <w:div w:id="581455562">
      <w:bodyDiv w:val="1"/>
      <w:marLeft w:val="0"/>
      <w:marRight w:val="0"/>
      <w:marTop w:val="0"/>
      <w:marBottom w:val="0"/>
      <w:divBdr>
        <w:top w:val="none" w:sz="0" w:space="0" w:color="auto"/>
        <w:left w:val="none" w:sz="0" w:space="0" w:color="auto"/>
        <w:bottom w:val="none" w:sz="0" w:space="0" w:color="auto"/>
        <w:right w:val="none" w:sz="0" w:space="0" w:color="auto"/>
      </w:divBdr>
      <w:divsChild>
        <w:div w:id="1649900020">
          <w:marLeft w:val="0"/>
          <w:marRight w:val="0"/>
          <w:marTop w:val="0"/>
          <w:marBottom w:val="0"/>
          <w:divBdr>
            <w:top w:val="none" w:sz="0" w:space="0" w:color="auto"/>
            <w:left w:val="none" w:sz="0" w:space="0" w:color="auto"/>
            <w:bottom w:val="none" w:sz="0" w:space="0" w:color="auto"/>
            <w:right w:val="none" w:sz="0" w:space="0" w:color="auto"/>
          </w:divBdr>
        </w:div>
      </w:divsChild>
    </w:div>
    <w:div w:id="591166361">
      <w:bodyDiv w:val="1"/>
      <w:marLeft w:val="0"/>
      <w:marRight w:val="0"/>
      <w:marTop w:val="0"/>
      <w:marBottom w:val="0"/>
      <w:divBdr>
        <w:top w:val="none" w:sz="0" w:space="0" w:color="auto"/>
        <w:left w:val="none" w:sz="0" w:space="0" w:color="auto"/>
        <w:bottom w:val="none" w:sz="0" w:space="0" w:color="auto"/>
        <w:right w:val="none" w:sz="0" w:space="0" w:color="auto"/>
      </w:divBdr>
    </w:div>
    <w:div w:id="599489159">
      <w:bodyDiv w:val="1"/>
      <w:marLeft w:val="0"/>
      <w:marRight w:val="0"/>
      <w:marTop w:val="0"/>
      <w:marBottom w:val="0"/>
      <w:divBdr>
        <w:top w:val="none" w:sz="0" w:space="0" w:color="auto"/>
        <w:left w:val="none" w:sz="0" w:space="0" w:color="auto"/>
        <w:bottom w:val="none" w:sz="0" w:space="0" w:color="auto"/>
        <w:right w:val="none" w:sz="0" w:space="0" w:color="auto"/>
      </w:divBdr>
    </w:div>
    <w:div w:id="605507645">
      <w:bodyDiv w:val="1"/>
      <w:marLeft w:val="0"/>
      <w:marRight w:val="0"/>
      <w:marTop w:val="0"/>
      <w:marBottom w:val="0"/>
      <w:divBdr>
        <w:top w:val="none" w:sz="0" w:space="0" w:color="auto"/>
        <w:left w:val="none" w:sz="0" w:space="0" w:color="auto"/>
        <w:bottom w:val="none" w:sz="0" w:space="0" w:color="auto"/>
        <w:right w:val="none" w:sz="0" w:space="0" w:color="auto"/>
      </w:divBdr>
    </w:div>
    <w:div w:id="608050267">
      <w:bodyDiv w:val="1"/>
      <w:marLeft w:val="0"/>
      <w:marRight w:val="0"/>
      <w:marTop w:val="0"/>
      <w:marBottom w:val="0"/>
      <w:divBdr>
        <w:top w:val="none" w:sz="0" w:space="0" w:color="auto"/>
        <w:left w:val="none" w:sz="0" w:space="0" w:color="auto"/>
        <w:bottom w:val="none" w:sz="0" w:space="0" w:color="auto"/>
        <w:right w:val="none" w:sz="0" w:space="0" w:color="auto"/>
      </w:divBdr>
    </w:div>
    <w:div w:id="615792320">
      <w:bodyDiv w:val="1"/>
      <w:marLeft w:val="0"/>
      <w:marRight w:val="0"/>
      <w:marTop w:val="0"/>
      <w:marBottom w:val="0"/>
      <w:divBdr>
        <w:top w:val="none" w:sz="0" w:space="0" w:color="auto"/>
        <w:left w:val="none" w:sz="0" w:space="0" w:color="auto"/>
        <w:bottom w:val="none" w:sz="0" w:space="0" w:color="auto"/>
        <w:right w:val="none" w:sz="0" w:space="0" w:color="auto"/>
      </w:divBdr>
    </w:div>
    <w:div w:id="622418371">
      <w:bodyDiv w:val="1"/>
      <w:marLeft w:val="0"/>
      <w:marRight w:val="0"/>
      <w:marTop w:val="0"/>
      <w:marBottom w:val="0"/>
      <w:divBdr>
        <w:top w:val="none" w:sz="0" w:space="0" w:color="auto"/>
        <w:left w:val="none" w:sz="0" w:space="0" w:color="auto"/>
        <w:bottom w:val="none" w:sz="0" w:space="0" w:color="auto"/>
        <w:right w:val="none" w:sz="0" w:space="0" w:color="auto"/>
      </w:divBdr>
    </w:div>
    <w:div w:id="656957388">
      <w:bodyDiv w:val="1"/>
      <w:marLeft w:val="0"/>
      <w:marRight w:val="0"/>
      <w:marTop w:val="0"/>
      <w:marBottom w:val="0"/>
      <w:divBdr>
        <w:top w:val="none" w:sz="0" w:space="0" w:color="auto"/>
        <w:left w:val="none" w:sz="0" w:space="0" w:color="auto"/>
        <w:bottom w:val="none" w:sz="0" w:space="0" w:color="auto"/>
        <w:right w:val="none" w:sz="0" w:space="0" w:color="auto"/>
      </w:divBdr>
      <w:divsChild>
        <w:div w:id="56363770">
          <w:marLeft w:val="0"/>
          <w:marRight w:val="0"/>
          <w:marTop w:val="0"/>
          <w:marBottom w:val="0"/>
          <w:divBdr>
            <w:top w:val="none" w:sz="0" w:space="0" w:color="auto"/>
            <w:left w:val="none" w:sz="0" w:space="0" w:color="auto"/>
            <w:bottom w:val="none" w:sz="0" w:space="0" w:color="auto"/>
            <w:right w:val="none" w:sz="0" w:space="0" w:color="auto"/>
          </w:divBdr>
        </w:div>
      </w:divsChild>
    </w:div>
    <w:div w:id="660696603">
      <w:bodyDiv w:val="1"/>
      <w:marLeft w:val="0"/>
      <w:marRight w:val="0"/>
      <w:marTop w:val="0"/>
      <w:marBottom w:val="0"/>
      <w:divBdr>
        <w:top w:val="none" w:sz="0" w:space="0" w:color="auto"/>
        <w:left w:val="none" w:sz="0" w:space="0" w:color="auto"/>
        <w:bottom w:val="none" w:sz="0" w:space="0" w:color="auto"/>
        <w:right w:val="none" w:sz="0" w:space="0" w:color="auto"/>
      </w:divBdr>
    </w:div>
    <w:div w:id="682705298">
      <w:bodyDiv w:val="1"/>
      <w:marLeft w:val="0"/>
      <w:marRight w:val="0"/>
      <w:marTop w:val="0"/>
      <w:marBottom w:val="0"/>
      <w:divBdr>
        <w:top w:val="none" w:sz="0" w:space="0" w:color="auto"/>
        <w:left w:val="none" w:sz="0" w:space="0" w:color="auto"/>
        <w:bottom w:val="none" w:sz="0" w:space="0" w:color="auto"/>
        <w:right w:val="none" w:sz="0" w:space="0" w:color="auto"/>
      </w:divBdr>
    </w:div>
    <w:div w:id="703289282">
      <w:bodyDiv w:val="1"/>
      <w:marLeft w:val="0"/>
      <w:marRight w:val="0"/>
      <w:marTop w:val="0"/>
      <w:marBottom w:val="0"/>
      <w:divBdr>
        <w:top w:val="none" w:sz="0" w:space="0" w:color="auto"/>
        <w:left w:val="none" w:sz="0" w:space="0" w:color="auto"/>
        <w:bottom w:val="none" w:sz="0" w:space="0" w:color="auto"/>
        <w:right w:val="none" w:sz="0" w:space="0" w:color="auto"/>
      </w:divBdr>
    </w:div>
    <w:div w:id="808135269">
      <w:bodyDiv w:val="1"/>
      <w:marLeft w:val="0"/>
      <w:marRight w:val="0"/>
      <w:marTop w:val="0"/>
      <w:marBottom w:val="0"/>
      <w:divBdr>
        <w:top w:val="none" w:sz="0" w:space="0" w:color="auto"/>
        <w:left w:val="none" w:sz="0" w:space="0" w:color="auto"/>
        <w:bottom w:val="none" w:sz="0" w:space="0" w:color="auto"/>
        <w:right w:val="none" w:sz="0" w:space="0" w:color="auto"/>
      </w:divBdr>
    </w:div>
    <w:div w:id="828250635">
      <w:bodyDiv w:val="1"/>
      <w:marLeft w:val="0"/>
      <w:marRight w:val="0"/>
      <w:marTop w:val="0"/>
      <w:marBottom w:val="0"/>
      <w:divBdr>
        <w:top w:val="none" w:sz="0" w:space="0" w:color="auto"/>
        <w:left w:val="none" w:sz="0" w:space="0" w:color="auto"/>
        <w:bottom w:val="none" w:sz="0" w:space="0" w:color="auto"/>
        <w:right w:val="none" w:sz="0" w:space="0" w:color="auto"/>
      </w:divBdr>
    </w:div>
    <w:div w:id="830367967">
      <w:bodyDiv w:val="1"/>
      <w:marLeft w:val="0"/>
      <w:marRight w:val="0"/>
      <w:marTop w:val="0"/>
      <w:marBottom w:val="0"/>
      <w:divBdr>
        <w:top w:val="none" w:sz="0" w:space="0" w:color="auto"/>
        <w:left w:val="none" w:sz="0" w:space="0" w:color="auto"/>
        <w:bottom w:val="none" w:sz="0" w:space="0" w:color="auto"/>
        <w:right w:val="none" w:sz="0" w:space="0" w:color="auto"/>
      </w:divBdr>
    </w:div>
    <w:div w:id="832137181">
      <w:bodyDiv w:val="1"/>
      <w:marLeft w:val="0"/>
      <w:marRight w:val="0"/>
      <w:marTop w:val="0"/>
      <w:marBottom w:val="0"/>
      <w:divBdr>
        <w:top w:val="none" w:sz="0" w:space="0" w:color="auto"/>
        <w:left w:val="none" w:sz="0" w:space="0" w:color="auto"/>
        <w:bottom w:val="none" w:sz="0" w:space="0" w:color="auto"/>
        <w:right w:val="none" w:sz="0" w:space="0" w:color="auto"/>
      </w:divBdr>
      <w:divsChild>
        <w:div w:id="60449897">
          <w:marLeft w:val="0"/>
          <w:marRight w:val="0"/>
          <w:marTop w:val="0"/>
          <w:marBottom w:val="0"/>
          <w:divBdr>
            <w:top w:val="none" w:sz="0" w:space="0" w:color="auto"/>
            <w:left w:val="none" w:sz="0" w:space="0" w:color="auto"/>
            <w:bottom w:val="none" w:sz="0" w:space="0" w:color="auto"/>
            <w:right w:val="none" w:sz="0" w:space="0" w:color="auto"/>
          </w:divBdr>
        </w:div>
      </w:divsChild>
    </w:div>
    <w:div w:id="835389165">
      <w:bodyDiv w:val="1"/>
      <w:marLeft w:val="0"/>
      <w:marRight w:val="0"/>
      <w:marTop w:val="0"/>
      <w:marBottom w:val="0"/>
      <w:divBdr>
        <w:top w:val="none" w:sz="0" w:space="0" w:color="auto"/>
        <w:left w:val="none" w:sz="0" w:space="0" w:color="auto"/>
        <w:bottom w:val="none" w:sz="0" w:space="0" w:color="auto"/>
        <w:right w:val="none" w:sz="0" w:space="0" w:color="auto"/>
      </w:divBdr>
    </w:div>
    <w:div w:id="844243184">
      <w:bodyDiv w:val="1"/>
      <w:marLeft w:val="0"/>
      <w:marRight w:val="0"/>
      <w:marTop w:val="0"/>
      <w:marBottom w:val="0"/>
      <w:divBdr>
        <w:top w:val="none" w:sz="0" w:space="0" w:color="auto"/>
        <w:left w:val="none" w:sz="0" w:space="0" w:color="auto"/>
        <w:bottom w:val="none" w:sz="0" w:space="0" w:color="auto"/>
        <w:right w:val="none" w:sz="0" w:space="0" w:color="auto"/>
      </w:divBdr>
    </w:div>
    <w:div w:id="882328081">
      <w:bodyDiv w:val="1"/>
      <w:marLeft w:val="0"/>
      <w:marRight w:val="0"/>
      <w:marTop w:val="0"/>
      <w:marBottom w:val="0"/>
      <w:divBdr>
        <w:top w:val="none" w:sz="0" w:space="0" w:color="auto"/>
        <w:left w:val="none" w:sz="0" w:space="0" w:color="auto"/>
        <w:bottom w:val="none" w:sz="0" w:space="0" w:color="auto"/>
        <w:right w:val="none" w:sz="0" w:space="0" w:color="auto"/>
      </w:divBdr>
    </w:div>
    <w:div w:id="885529616">
      <w:bodyDiv w:val="1"/>
      <w:marLeft w:val="0"/>
      <w:marRight w:val="0"/>
      <w:marTop w:val="0"/>
      <w:marBottom w:val="0"/>
      <w:divBdr>
        <w:top w:val="none" w:sz="0" w:space="0" w:color="auto"/>
        <w:left w:val="none" w:sz="0" w:space="0" w:color="auto"/>
        <w:bottom w:val="none" w:sz="0" w:space="0" w:color="auto"/>
        <w:right w:val="none" w:sz="0" w:space="0" w:color="auto"/>
      </w:divBdr>
    </w:div>
    <w:div w:id="895554419">
      <w:bodyDiv w:val="1"/>
      <w:marLeft w:val="0"/>
      <w:marRight w:val="0"/>
      <w:marTop w:val="0"/>
      <w:marBottom w:val="0"/>
      <w:divBdr>
        <w:top w:val="none" w:sz="0" w:space="0" w:color="auto"/>
        <w:left w:val="none" w:sz="0" w:space="0" w:color="auto"/>
        <w:bottom w:val="none" w:sz="0" w:space="0" w:color="auto"/>
        <w:right w:val="none" w:sz="0" w:space="0" w:color="auto"/>
      </w:divBdr>
    </w:div>
    <w:div w:id="911886831">
      <w:bodyDiv w:val="1"/>
      <w:marLeft w:val="0"/>
      <w:marRight w:val="0"/>
      <w:marTop w:val="0"/>
      <w:marBottom w:val="0"/>
      <w:divBdr>
        <w:top w:val="none" w:sz="0" w:space="0" w:color="auto"/>
        <w:left w:val="none" w:sz="0" w:space="0" w:color="auto"/>
        <w:bottom w:val="none" w:sz="0" w:space="0" w:color="auto"/>
        <w:right w:val="none" w:sz="0" w:space="0" w:color="auto"/>
      </w:divBdr>
    </w:div>
    <w:div w:id="936253678">
      <w:bodyDiv w:val="1"/>
      <w:marLeft w:val="0"/>
      <w:marRight w:val="0"/>
      <w:marTop w:val="0"/>
      <w:marBottom w:val="0"/>
      <w:divBdr>
        <w:top w:val="none" w:sz="0" w:space="0" w:color="auto"/>
        <w:left w:val="none" w:sz="0" w:space="0" w:color="auto"/>
        <w:bottom w:val="none" w:sz="0" w:space="0" w:color="auto"/>
        <w:right w:val="none" w:sz="0" w:space="0" w:color="auto"/>
      </w:divBdr>
    </w:div>
    <w:div w:id="948508217">
      <w:bodyDiv w:val="1"/>
      <w:marLeft w:val="0"/>
      <w:marRight w:val="0"/>
      <w:marTop w:val="0"/>
      <w:marBottom w:val="0"/>
      <w:divBdr>
        <w:top w:val="none" w:sz="0" w:space="0" w:color="auto"/>
        <w:left w:val="none" w:sz="0" w:space="0" w:color="auto"/>
        <w:bottom w:val="none" w:sz="0" w:space="0" w:color="auto"/>
        <w:right w:val="none" w:sz="0" w:space="0" w:color="auto"/>
      </w:divBdr>
    </w:div>
    <w:div w:id="976641305">
      <w:bodyDiv w:val="1"/>
      <w:marLeft w:val="0"/>
      <w:marRight w:val="0"/>
      <w:marTop w:val="0"/>
      <w:marBottom w:val="0"/>
      <w:divBdr>
        <w:top w:val="none" w:sz="0" w:space="0" w:color="auto"/>
        <w:left w:val="none" w:sz="0" w:space="0" w:color="auto"/>
        <w:bottom w:val="none" w:sz="0" w:space="0" w:color="auto"/>
        <w:right w:val="none" w:sz="0" w:space="0" w:color="auto"/>
      </w:divBdr>
    </w:div>
    <w:div w:id="998851185">
      <w:bodyDiv w:val="1"/>
      <w:marLeft w:val="0"/>
      <w:marRight w:val="0"/>
      <w:marTop w:val="0"/>
      <w:marBottom w:val="0"/>
      <w:divBdr>
        <w:top w:val="none" w:sz="0" w:space="0" w:color="auto"/>
        <w:left w:val="none" w:sz="0" w:space="0" w:color="auto"/>
        <w:bottom w:val="none" w:sz="0" w:space="0" w:color="auto"/>
        <w:right w:val="none" w:sz="0" w:space="0" w:color="auto"/>
      </w:divBdr>
    </w:div>
    <w:div w:id="1008945596">
      <w:bodyDiv w:val="1"/>
      <w:marLeft w:val="0"/>
      <w:marRight w:val="0"/>
      <w:marTop w:val="0"/>
      <w:marBottom w:val="0"/>
      <w:divBdr>
        <w:top w:val="none" w:sz="0" w:space="0" w:color="auto"/>
        <w:left w:val="none" w:sz="0" w:space="0" w:color="auto"/>
        <w:bottom w:val="none" w:sz="0" w:space="0" w:color="auto"/>
        <w:right w:val="none" w:sz="0" w:space="0" w:color="auto"/>
      </w:divBdr>
    </w:div>
    <w:div w:id="1011879708">
      <w:bodyDiv w:val="1"/>
      <w:marLeft w:val="0"/>
      <w:marRight w:val="0"/>
      <w:marTop w:val="0"/>
      <w:marBottom w:val="0"/>
      <w:divBdr>
        <w:top w:val="none" w:sz="0" w:space="0" w:color="auto"/>
        <w:left w:val="none" w:sz="0" w:space="0" w:color="auto"/>
        <w:bottom w:val="none" w:sz="0" w:space="0" w:color="auto"/>
        <w:right w:val="none" w:sz="0" w:space="0" w:color="auto"/>
      </w:divBdr>
    </w:div>
    <w:div w:id="1016618830">
      <w:bodyDiv w:val="1"/>
      <w:marLeft w:val="0"/>
      <w:marRight w:val="0"/>
      <w:marTop w:val="0"/>
      <w:marBottom w:val="0"/>
      <w:divBdr>
        <w:top w:val="none" w:sz="0" w:space="0" w:color="auto"/>
        <w:left w:val="none" w:sz="0" w:space="0" w:color="auto"/>
        <w:bottom w:val="none" w:sz="0" w:space="0" w:color="auto"/>
        <w:right w:val="none" w:sz="0" w:space="0" w:color="auto"/>
      </w:divBdr>
    </w:div>
    <w:div w:id="1052463663">
      <w:bodyDiv w:val="1"/>
      <w:marLeft w:val="0"/>
      <w:marRight w:val="0"/>
      <w:marTop w:val="0"/>
      <w:marBottom w:val="0"/>
      <w:divBdr>
        <w:top w:val="none" w:sz="0" w:space="0" w:color="auto"/>
        <w:left w:val="none" w:sz="0" w:space="0" w:color="auto"/>
        <w:bottom w:val="none" w:sz="0" w:space="0" w:color="auto"/>
        <w:right w:val="none" w:sz="0" w:space="0" w:color="auto"/>
      </w:divBdr>
    </w:div>
    <w:div w:id="1066879215">
      <w:bodyDiv w:val="1"/>
      <w:marLeft w:val="0"/>
      <w:marRight w:val="0"/>
      <w:marTop w:val="0"/>
      <w:marBottom w:val="0"/>
      <w:divBdr>
        <w:top w:val="none" w:sz="0" w:space="0" w:color="auto"/>
        <w:left w:val="none" w:sz="0" w:space="0" w:color="auto"/>
        <w:bottom w:val="none" w:sz="0" w:space="0" w:color="auto"/>
        <w:right w:val="none" w:sz="0" w:space="0" w:color="auto"/>
      </w:divBdr>
    </w:div>
    <w:div w:id="1089158138">
      <w:bodyDiv w:val="1"/>
      <w:marLeft w:val="0"/>
      <w:marRight w:val="0"/>
      <w:marTop w:val="0"/>
      <w:marBottom w:val="0"/>
      <w:divBdr>
        <w:top w:val="none" w:sz="0" w:space="0" w:color="auto"/>
        <w:left w:val="none" w:sz="0" w:space="0" w:color="auto"/>
        <w:bottom w:val="none" w:sz="0" w:space="0" w:color="auto"/>
        <w:right w:val="none" w:sz="0" w:space="0" w:color="auto"/>
      </w:divBdr>
    </w:div>
    <w:div w:id="1097288488">
      <w:bodyDiv w:val="1"/>
      <w:marLeft w:val="0"/>
      <w:marRight w:val="0"/>
      <w:marTop w:val="0"/>
      <w:marBottom w:val="0"/>
      <w:divBdr>
        <w:top w:val="none" w:sz="0" w:space="0" w:color="auto"/>
        <w:left w:val="none" w:sz="0" w:space="0" w:color="auto"/>
        <w:bottom w:val="none" w:sz="0" w:space="0" w:color="auto"/>
        <w:right w:val="none" w:sz="0" w:space="0" w:color="auto"/>
      </w:divBdr>
    </w:div>
    <w:div w:id="1099446016">
      <w:bodyDiv w:val="1"/>
      <w:marLeft w:val="0"/>
      <w:marRight w:val="0"/>
      <w:marTop w:val="0"/>
      <w:marBottom w:val="0"/>
      <w:divBdr>
        <w:top w:val="none" w:sz="0" w:space="0" w:color="auto"/>
        <w:left w:val="none" w:sz="0" w:space="0" w:color="auto"/>
        <w:bottom w:val="none" w:sz="0" w:space="0" w:color="auto"/>
        <w:right w:val="none" w:sz="0" w:space="0" w:color="auto"/>
      </w:divBdr>
    </w:div>
    <w:div w:id="1104156136">
      <w:bodyDiv w:val="1"/>
      <w:marLeft w:val="0"/>
      <w:marRight w:val="0"/>
      <w:marTop w:val="0"/>
      <w:marBottom w:val="0"/>
      <w:divBdr>
        <w:top w:val="none" w:sz="0" w:space="0" w:color="auto"/>
        <w:left w:val="none" w:sz="0" w:space="0" w:color="auto"/>
        <w:bottom w:val="none" w:sz="0" w:space="0" w:color="auto"/>
        <w:right w:val="none" w:sz="0" w:space="0" w:color="auto"/>
      </w:divBdr>
    </w:div>
    <w:div w:id="1152406837">
      <w:bodyDiv w:val="1"/>
      <w:marLeft w:val="0"/>
      <w:marRight w:val="0"/>
      <w:marTop w:val="0"/>
      <w:marBottom w:val="0"/>
      <w:divBdr>
        <w:top w:val="none" w:sz="0" w:space="0" w:color="auto"/>
        <w:left w:val="none" w:sz="0" w:space="0" w:color="auto"/>
        <w:bottom w:val="none" w:sz="0" w:space="0" w:color="auto"/>
        <w:right w:val="none" w:sz="0" w:space="0" w:color="auto"/>
      </w:divBdr>
    </w:div>
    <w:div w:id="1240558000">
      <w:bodyDiv w:val="1"/>
      <w:marLeft w:val="0"/>
      <w:marRight w:val="0"/>
      <w:marTop w:val="0"/>
      <w:marBottom w:val="0"/>
      <w:divBdr>
        <w:top w:val="none" w:sz="0" w:space="0" w:color="auto"/>
        <w:left w:val="none" w:sz="0" w:space="0" w:color="auto"/>
        <w:bottom w:val="none" w:sz="0" w:space="0" w:color="auto"/>
        <w:right w:val="none" w:sz="0" w:space="0" w:color="auto"/>
      </w:divBdr>
    </w:div>
    <w:div w:id="1247156157">
      <w:bodyDiv w:val="1"/>
      <w:marLeft w:val="0"/>
      <w:marRight w:val="0"/>
      <w:marTop w:val="0"/>
      <w:marBottom w:val="0"/>
      <w:divBdr>
        <w:top w:val="none" w:sz="0" w:space="0" w:color="auto"/>
        <w:left w:val="none" w:sz="0" w:space="0" w:color="auto"/>
        <w:bottom w:val="none" w:sz="0" w:space="0" w:color="auto"/>
        <w:right w:val="none" w:sz="0" w:space="0" w:color="auto"/>
      </w:divBdr>
    </w:div>
    <w:div w:id="1248274362">
      <w:bodyDiv w:val="1"/>
      <w:marLeft w:val="0"/>
      <w:marRight w:val="0"/>
      <w:marTop w:val="0"/>
      <w:marBottom w:val="0"/>
      <w:divBdr>
        <w:top w:val="none" w:sz="0" w:space="0" w:color="auto"/>
        <w:left w:val="none" w:sz="0" w:space="0" w:color="auto"/>
        <w:bottom w:val="none" w:sz="0" w:space="0" w:color="auto"/>
        <w:right w:val="none" w:sz="0" w:space="0" w:color="auto"/>
      </w:divBdr>
    </w:div>
    <w:div w:id="1250892247">
      <w:bodyDiv w:val="1"/>
      <w:marLeft w:val="0"/>
      <w:marRight w:val="0"/>
      <w:marTop w:val="0"/>
      <w:marBottom w:val="0"/>
      <w:divBdr>
        <w:top w:val="none" w:sz="0" w:space="0" w:color="auto"/>
        <w:left w:val="none" w:sz="0" w:space="0" w:color="auto"/>
        <w:bottom w:val="none" w:sz="0" w:space="0" w:color="auto"/>
        <w:right w:val="none" w:sz="0" w:space="0" w:color="auto"/>
      </w:divBdr>
    </w:div>
    <w:div w:id="1266187189">
      <w:bodyDiv w:val="1"/>
      <w:marLeft w:val="0"/>
      <w:marRight w:val="0"/>
      <w:marTop w:val="0"/>
      <w:marBottom w:val="0"/>
      <w:divBdr>
        <w:top w:val="none" w:sz="0" w:space="0" w:color="auto"/>
        <w:left w:val="none" w:sz="0" w:space="0" w:color="auto"/>
        <w:bottom w:val="none" w:sz="0" w:space="0" w:color="auto"/>
        <w:right w:val="none" w:sz="0" w:space="0" w:color="auto"/>
      </w:divBdr>
    </w:div>
    <w:div w:id="1277910991">
      <w:bodyDiv w:val="1"/>
      <w:marLeft w:val="0"/>
      <w:marRight w:val="0"/>
      <w:marTop w:val="0"/>
      <w:marBottom w:val="0"/>
      <w:divBdr>
        <w:top w:val="none" w:sz="0" w:space="0" w:color="auto"/>
        <w:left w:val="none" w:sz="0" w:space="0" w:color="auto"/>
        <w:bottom w:val="none" w:sz="0" w:space="0" w:color="auto"/>
        <w:right w:val="none" w:sz="0" w:space="0" w:color="auto"/>
      </w:divBdr>
    </w:div>
    <w:div w:id="1287270160">
      <w:bodyDiv w:val="1"/>
      <w:marLeft w:val="0"/>
      <w:marRight w:val="0"/>
      <w:marTop w:val="0"/>
      <w:marBottom w:val="0"/>
      <w:divBdr>
        <w:top w:val="none" w:sz="0" w:space="0" w:color="auto"/>
        <w:left w:val="none" w:sz="0" w:space="0" w:color="auto"/>
        <w:bottom w:val="none" w:sz="0" w:space="0" w:color="auto"/>
        <w:right w:val="none" w:sz="0" w:space="0" w:color="auto"/>
      </w:divBdr>
    </w:div>
    <w:div w:id="1290623912">
      <w:bodyDiv w:val="1"/>
      <w:marLeft w:val="0"/>
      <w:marRight w:val="0"/>
      <w:marTop w:val="0"/>
      <w:marBottom w:val="0"/>
      <w:divBdr>
        <w:top w:val="none" w:sz="0" w:space="0" w:color="auto"/>
        <w:left w:val="none" w:sz="0" w:space="0" w:color="auto"/>
        <w:bottom w:val="none" w:sz="0" w:space="0" w:color="auto"/>
        <w:right w:val="none" w:sz="0" w:space="0" w:color="auto"/>
      </w:divBdr>
    </w:div>
    <w:div w:id="1334801335">
      <w:bodyDiv w:val="1"/>
      <w:marLeft w:val="0"/>
      <w:marRight w:val="0"/>
      <w:marTop w:val="0"/>
      <w:marBottom w:val="0"/>
      <w:divBdr>
        <w:top w:val="none" w:sz="0" w:space="0" w:color="auto"/>
        <w:left w:val="none" w:sz="0" w:space="0" w:color="auto"/>
        <w:bottom w:val="none" w:sz="0" w:space="0" w:color="auto"/>
        <w:right w:val="none" w:sz="0" w:space="0" w:color="auto"/>
      </w:divBdr>
    </w:div>
    <w:div w:id="1425540449">
      <w:bodyDiv w:val="1"/>
      <w:marLeft w:val="0"/>
      <w:marRight w:val="0"/>
      <w:marTop w:val="0"/>
      <w:marBottom w:val="0"/>
      <w:divBdr>
        <w:top w:val="none" w:sz="0" w:space="0" w:color="auto"/>
        <w:left w:val="none" w:sz="0" w:space="0" w:color="auto"/>
        <w:bottom w:val="none" w:sz="0" w:space="0" w:color="auto"/>
        <w:right w:val="none" w:sz="0" w:space="0" w:color="auto"/>
      </w:divBdr>
    </w:div>
    <w:div w:id="1497527227">
      <w:bodyDiv w:val="1"/>
      <w:marLeft w:val="0"/>
      <w:marRight w:val="0"/>
      <w:marTop w:val="0"/>
      <w:marBottom w:val="0"/>
      <w:divBdr>
        <w:top w:val="none" w:sz="0" w:space="0" w:color="auto"/>
        <w:left w:val="none" w:sz="0" w:space="0" w:color="auto"/>
        <w:bottom w:val="none" w:sz="0" w:space="0" w:color="auto"/>
        <w:right w:val="none" w:sz="0" w:space="0" w:color="auto"/>
      </w:divBdr>
    </w:div>
    <w:div w:id="1509715328">
      <w:bodyDiv w:val="1"/>
      <w:marLeft w:val="0"/>
      <w:marRight w:val="0"/>
      <w:marTop w:val="0"/>
      <w:marBottom w:val="0"/>
      <w:divBdr>
        <w:top w:val="none" w:sz="0" w:space="0" w:color="auto"/>
        <w:left w:val="none" w:sz="0" w:space="0" w:color="auto"/>
        <w:bottom w:val="none" w:sz="0" w:space="0" w:color="auto"/>
        <w:right w:val="none" w:sz="0" w:space="0" w:color="auto"/>
      </w:divBdr>
    </w:div>
    <w:div w:id="1515731248">
      <w:bodyDiv w:val="1"/>
      <w:marLeft w:val="0"/>
      <w:marRight w:val="0"/>
      <w:marTop w:val="0"/>
      <w:marBottom w:val="0"/>
      <w:divBdr>
        <w:top w:val="none" w:sz="0" w:space="0" w:color="auto"/>
        <w:left w:val="none" w:sz="0" w:space="0" w:color="auto"/>
        <w:bottom w:val="none" w:sz="0" w:space="0" w:color="auto"/>
        <w:right w:val="none" w:sz="0" w:space="0" w:color="auto"/>
      </w:divBdr>
    </w:div>
    <w:div w:id="1526360588">
      <w:bodyDiv w:val="1"/>
      <w:marLeft w:val="0"/>
      <w:marRight w:val="0"/>
      <w:marTop w:val="0"/>
      <w:marBottom w:val="0"/>
      <w:divBdr>
        <w:top w:val="none" w:sz="0" w:space="0" w:color="auto"/>
        <w:left w:val="none" w:sz="0" w:space="0" w:color="auto"/>
        <w:bottom w:val="none" w:sz="0" w:space="0" w:color="auto"/>
        <w:right w:val="none" w:sz="0" w:space="0" w:color="auto"/>
      </w:divBdr>
    </w:div>
    <w:div w:id="1555004702">
      <w:bodyDiv w:val="1"/>
      <w:marLeft w:val="0"/>
      <w:marRight w:val="0"/>
      <w:marTop w:val="0"/>
      <w:marBottom w:val="0"/>
      <w:divBdr>
        <w:top w:val="none" w:sz="0" w:space="0" w:color="auto"/>
        <w:left w:val="none" w:sz="0" w:space="0" w:color="auto"/>
        <w:bottom w:val="none" w:sz="0" w:space="0" w:color="auto"/>
        <w:right w:val="none" w:sz="0" w:space="0" w:color="auto"/>
      </w:divBdr>
    </w:div>
    <w:div w:id="1558514077">
      <w:bodyDiv w:val="1"/>
      <w:marLeft w:val="0"/>
      <w:marRight w:val="0"/>
      <w:marTop w:val="0"/>
      <w:marBottom w:val="0"/>
      <w:divBdr>
        <w:top w:val="none" w:sz="0" w:space="0" w:color="auto"/>
        <w:left w:val="none" w:sz="0" w:space="0" w:color="auto"/>
        <w:bottom w:val="none" w:sz="0" w:space="0" w:color="auto"/>
        <w:right w:val="none" w:sz="0" w:space="0" w:color="auto"/>
      </w:divBdr>
    </w:div>
    <w:div w:id="1588490622">
      <w:bodyDiv w:val="1"/>
      <w:marLeft w:val="0"/>
      <w:marRight w:val="0"/>
      <w:marTop w:val="0"/>
      <w:marBottom w:val="0"/>
      <w:divBdr>
        <w:top w:val="none" w:sz="0" w:space="0" w:color="auto"/>
        <w:left w:val="none" w:sz="0" w:space="0" w:color="auto"/>
        <w:bottom w:val="none" w:sz="0" w:space="0" w:color="auto"/>
        <w:right w:val="none" w:sz="0" w:space="0" w:color="auto"/>
      </w:divBdr>
    </w:div>
    <w:div w:id="1598900354">
      <w:bodyDiv w:val="1"/>
      <w:marLeft w:val="0"/>
      <w:marRight w:val="0"/>
      <w:marTop w:val="0"/>
      <w:marBottom w:val="0"/>
      <w:divBdr>
        <w:top w:val="none" w:sz="0" w:space="0" w:color="auto"/>
        <w:left w:val="none" w:sz="0" w:space="0" w:color="auto"/>
        <w:bottom w:val="none" w:sz="0" w:space="0" w:color="auto"/>
        <w:right w:val="none" w:sz="0" w:space="0" w:color="auto"/>
      </w:divBdr>
    </w:div>
    <w:div w:id="1684354069">
      <w:bodyDiv w:val="1"/>
      <w:marLeft w:val="0"/>
      <w:marRight w:val="0"/>
      <w:marTop w:val="0"/>
      <w:marBottom w:val="0"/>
      <w:divBdr>
        <w:top w:val="none" w:sz="0" w:space="0" w:color="auto"/>
        <w:left w:val="none" w:sz="0" w:space="0" w:color="auto"/>
        <w:bottom w:val="none" w:sz="0" w:space="0" w:color="auto"/>
        <w:right w:val="none" w:sz="0" w:space="0" w:color="auto"/>
      </w:divBdr>
    </w:div>
    <w:div w:id="1708721196">
      <w:bodyDiv w:val="1"/>
      <w:marLeft w:val="0"/>
      <w:marRight w:val="0"/>
      <w:marTop w:val="0"/>
      <w:marBottom w:val="0"/>
      <w:divBdr>
        <w:top w:val="none" w:sz="0" w:space="0" w:color="auto"/>
        <w:left w:val="none" w:sz="0" w:space="0" w:color="auto"/>
        <w:bottom w:val="none" w:sz="0" w:space="0" w:color="auto"/>
        <w:right w:val="none" w:sz="0" w:space="0" w:color="auto"/>
      </w:divBdr>
    </w:div>
    <w:div w:id="1709065040">
      <w:bodyDiv w:val="1"/>
      <w:marLeft w:val="0"/>
      <w:marRight w:val="0"/>
      <w:marTop w:val="0"/>
      <w:marBottom w:val="0"/>
      <w:divBdr>
        <w:top w:val="none" w:sz="0" w:space="0" w:color="auto"/>
        <w:left w:val="none" w:sz="0" w:space="0" w:color="auto"/>
        <w:bottom w:val="none" w:sz="0" w:space="0" w:color="auto"/>
        <w:right w:val="none" w:sz="0" w:space="0" w:color="auto"/>
      </w:divBdr>
    </w:div>
    <w:div w:id="1744327094">
      <w:bodyDiv w:val="1"/>
      <w:marLeft w:val="0"/>
      <w:marRight w:val="0"/>
      <w:marTop w:val="0"/>
      <w:marBottom w:val="0"/>
      <w:divBdr>
        <w:top w:val="none" w:sz="0" w:space="0" w:color="auto"/>
        <w:left w:val="none" w:sz="0" w:space="0" w:color="auto"/>
        <w:bottom w:val="none" w:sz="0" w:space="0" w:color="auto"/>
        <w:right w:val="none" w:sz="0" w:space="0" w:color="auto"/>
      </w:divBdr>
    </w:div>
    <w:div w:id="1771731888">
      <w:bodyDiv w:val="1"/>
      <w:marLeft w:val="0"/>
      <w:marRight w:val="0"/>
      <w:marTop w:val="0"/>
      <w:marBottom w:val="0"/>
      <w:divBdr>
        <w:top w:val="none" w:sz="0" w:space="0" w:color="auto"/>
        <w:left w:val="none" w:sz="0" w:space="0" w:color="auto"/>
        <w:bottom w:val="none" w:sz="0" w:space="0" w:color="auto"/>
        <w:right w:val="none" w:sz="0" w:space="0" w:color="auto"/>
      </w:divBdr>
    </w:div>
    <w:div w:id="1782408093">
      <w:bodyDiv w:val="1"/>
      <w:marLeft w:val="0"/>
      <w:marRight w:val="0"/>
      <w:marTop w:val="0"/>
      <w:marBottom w:val="0"/>
      <w:divBdr>
        <w:top w:val="none" w:sz="0" w:space="0" w:color="auto"/>
        <w:left w:val="none" w:sz="0" w:space="0" w:color="auto"/>
        <w:bottom w:val="none" w:sz="0" w:space="0" w:color="auto"/>
        <w:right w:val="none" w:sz="0" w:space="0" w:color="auto"/>
      </w:divBdr>
    </w:div>
    <w:div w:id="1800025368">
      <w:bodyDiv w:val="1"/>
      <w:marLeft w:val="0"/>
      <w:marRight w:val="0"/>
      <w:marTop w:val="0"/>
      <w:marBottom w:val="0"/>
      <w:divBdr>
        <w:top w:val="none" w:sz="0" w:space="0" w:color="auto"/>
        <w:left w:val="none" w:sz="0" w:space="0" w:color="auto"/>
        <w:bottom w:val="none" w:sz="0" w:space="0" w:color="auto"/>
        <w:right w:val="none" w:sz="0" w:space="0" w:color="auto"/>
      </w:divBdr>
    </w:div>
    <w:div w:id="1805149307">
      <w:bodyDiv w:val="1"/>
      <w:marLeft w:val="0"/>
      <w:marRight w:val="0"/>
      <w:marTop w:val="0"/>
      <w:marBottom w:val="0"/>
      <w:divBdr>
        <w:top w:val="none" w:sz="0" w:space="0" w:color="auto"/>
        <w:left w:val="none" w:sz="0" w:space="0" w:color="auto"/>
        <w:bottom w:val="none" w:sz="0" w:space="0" w:color="auto"/>
        <w:right w:val="none" w:sz="0" w:space="0" w:color="auto"/>
      </w:divBdr>
    </w:div>
    <w:div w:id="1815490803">
      <w:bodyDiv w:val="1"/>
      <w:marLeft w:val="0"/>
      <w:marRight w:val="0"/>
      <w:marTop w:val="0"/>
      <w:marBottom w:val="0"/>
      <w:divBdr>
        <w:top w:val="none" w:sz="0" w:space="0" w:color="auto"/>
        <w:left w:val="none" w:sz="0" w:space="0" w:color="auto"/>
        <w:bottom w:val="none" w:sz="0" w:space="0" w:color="auto"/>
        <w:right w:val="none" w:sz="0" w:space="0" w:color="auto"/>
      </w:divBdr>
    </w:div>
    <w:div w:id="1845391220">
      <w:bodyDiv w:val="1"/>
      <w:marLeft w:val="0"/>
      <w:marRight w:val="0"/>
      <w:marTop w:val="0"/>
      <w:marBottom w:val="0"/>
      <w:divBdr>
        <w:top w:val="none" w:sz="0" w:space="0" w:color="auto"/>
        <w:left w:val="none" w:sz="0" w:space="0" w:color="auto"/>
        <w:bottom w:val="none" w:sz="0" w:space="0" w:color="auto"/>
        <w:right w:val="none" w:sz="0" w:space="0" w:color="auto"/>
      </w:divBdr>
    </w:div>
    <w:div w:id="1846553349">
      <w:bodyDiv w:val="1"/>
      <w:marLeft w:val="0"/>
      <w:marRight w:val="0"/>
      <w:marTop w:val="0"/>
      <w:marBottom w:val="0"/>
      <w:divBdr>
        <w:top w:val="none" w:sz="0" w:space="0" w:color="auto"/>
        <w:left w:val="none" w:sz="0" w:space="0" w:color="auto"/>
        <w:bottom w:val="none" w:sz="0" w:space="0" w:color="auto"/>
        <w:right w:val="none" w:sz="0" w:space="0" w:color="auto"/>
      </w:divBdr>
    </w:div>
    <w:div w:id="1850171446">
      <w:bodyDiv w:val="1"/>
      <w:marLeft w:val="0"/>
      <w:marRight w:val="0"/>
      <w:marTop w:val="0"/>
      <w:marBottom w:val="0"/>
      <w:divBdr>
        <w:top w:val="none" w:sz="0" w:space="0" w:color="auto"/>
        <w:left w:val="none" w:sz="0" w:space="0" w:color="auto"/>
        <w:bottom w:val="none" w:sz="0" w:space="0" w:color="auto"/>
        <w:right w:val="none" w:sz="0" w:space="0" w:color="auto"/>
      </w:divBdr>
    </w:div>
    <w:div w:id="1862088693">
      <w:bodyDiv w:val="1"/>
      <w:marLeft w:val="0"/>
      <w:marRight w:val="0"/>
      <w:marTop w:val="0"/>
      <w:marBottom w:val="0"/>
      <w:divBdr>
        <w:top w:val="none" w:sz="0" w:space="0" w:color="auto"/>
        <w:left w:val="none" w:sz="0" w:space="0" w:color="auto"/>
        <w:bottom w:val="none" w:sz="0" w:space="0" w:color="auto"/>
        <w:right w:val="none" w:sz="0" w:space="0" w:color="auto"/>
      </w:divBdr>
    </w:div>
    <w:div w:id="1864175010">
      <w:bodyDiv w:val="1"/>
      <w:marLeft w:val="0"/>
      <w:marRight w:val="0"/>
      <w:marTop w:val="0"/>
      <w:marBottom w:val="0"/>
      <w:divBdr>
        <w:top w:val="none" w:sz="0" w:space="0" w:color="auto"/>
        <w:left w:val="none" w:sz="0" w:space="0" w:color="auto"/>
        <w:bottom w:val="none" w:sz="0" w:space="0" w:color="auto"/>
        <w:right w:val="none" w:sz="0" w:space="0" w:color="auto"/>
      </w:divBdr>
    </w:div>
    <w:div w:id="1925332696">
      <w:bodyDiv w:val="1"/>
      <w:marLeft w:val="0"/>
      <w:marRight w:val="0"/>
      <w:marTop w:val="0"/>
      <w:marBottom w:val="0"/>
      <w:divBdr>
        <w:top w:val="none" w:sz="0" w:space="0" w:color="auto"/>
        <w:left w:val="none" w:sz="0" w:space="0" w:color="auto"/>
        <w:bottom w:val="none" w:sz="0" w:space="0" w:color="auto"/>
        <w:right w:val="none" w:sz="0" w:space="0" w:color="auto"/>
      </w:divBdr>
    </w:div>
    <w:div w:id="1952590604">
      <w:bodyDiv w:val="1"/>
      <w:marLeft w:val="0"/>
      <w:marRight w:val="0"/>
      <w:marTop w:val="0"/>
      <w:marBottom w:val="0"/>
      <w:divBdr>
        <w:top w:val="none" w:sz="0" w:space="0" w:color="auto"/>
        <w:left w:val="none" w:sz="0" w:space="0" w:color="auto"/>
        <w:bottom w:val="none" w:sz="0" w:space="0" w:color="auto"/>
        <w:right w:val="none" w:sz="0" w:space="0" w:color="auto"/>
      </w:divBdr>
    </w:div>
    <w:div w:id="1995060421">
      <w:bodyDiv w:val="1"/>
      <w:marLeft w:val="0"/>
      <w:marRight w:val="0"/>
      <w:marTop w:val="0"/>
      <w:marBottom w:val="0"/>
      <w:divBdr>
        <w:top w:val="none" w:sz="0" w:space="0" w:color="auto"/>
        <w:left w:val="none" w:sz="0" w:space="0" w:color="auto"/>
        <w:bottom w:val="none" w:sz="0" w:space="0" w:color="auto"/>
        <w:right w:val="none" w:sz="0" w:space="0" w:color="auto"/>
      </w:divBdr>
    </w:div>
    <w:div w:id="2052337744">
      <w:bodyDiv w:val="1"/>
      <w:marLeft w:val="0"/>
      <w:marRight w:val="0"/>
      <w:marTop w:val="0"/>
      <w:marBottom w:val="0"/>
      <w:divBdr>
        <w:top w:val="none" w:sz="0" w:space="0" w:color="auto"/>
        <w:left w:val="none" w:sz="0" w:space="0" w:color="auto"/>
        <w:bottom w:val="none" w:sz="0" w:space="0" w:color="auto"/>
        <w:right w:val="none" w:sz="0" w:space="0" w:color="auto"/>
      </w:divBdr>
    </w:div>
    <w:div w:id="2052342897">
      <w:bodyDiv w:val="1"/>
      <w:marLeft w:val="0"/>
      <w:marRight w:val="0"/>
      <w:marTop w:val="0"/>
      <w:marBottom w:val="0"/>
      <w:divBdr>
        <w:top w:val="none" w:sz="0" w:space="0" w:color="auto"/>
        <w:left w:val="none" w:sz="0" w:space="0" w:color="auto"/>
        <w:bottom w:val="none" w:sz="0" w:space="0" w:color="auto"/>
        <w:right w:val="none" w:sz="0" w:space="0" w:color="auto"/>
      </w:divBdr>
    </w:div>
    <w:div w:id="2067290495">
      <w:bodyDiv w:val="1"/>
      <w:marLeft w:val="0"/>
      <w:marRight w:val="0"/>
      <w:marTop w:val="0"/>
      <w:marBottom w:val="0"/>
      <w:divBdr>
        <w:top w:val="none" w:sz="0" w:space="0" w:color="auto"/>
        <w:left w:val="none" w:sz="0" w:space="0" w:color="auto"/>
        <w:bottom w:val="none" w:sz="0" w:space="0" w:color="auto"/>
        <w:right w:val="none" w:sz="0" w:space="0" w:color="auto"/>
      </w:divBdr>
    </w:div>
    <w:div w:id="2072341450">
      <w:bodyDiv w:val="1"/>
      <w:marLeft w:val="0"/>
      <w:marRight w:val="0"/>
      <w:marTop w:val="0"/>
      <w:marBottom w:val="0"/>
      <w:divBdr>
        <w:top w:val="none" w:sz="0" w:space="0" w:color="auto"/>
        <w:left w:val="none" w:sz="0" w:space="0" w:color="auto"/>
        <w:bottom w:val="none" w:sz="0" w:space="0" w:color="auto"/>
        <w:right w:val="none" w:sz="0" w:space="0" w:color="auto"/>
      </w:divBdr>
    </w:div>
    <w:div w:id="2074153986">
      <w:bodyDiv w:val="1"/>
      <w:marLeft w:val="0"/>
      <w:marRight w:val="0"/>
      <w:marTop w:val="0"/>
      <w:marBottom w:val="0"/>
      <w:divBdr>
        <w:top w:val="none" w:sz="0" w:space="0" w:color="auto"/>
        <w:left w:val="none" w:sz="0" w:space="0" w:color="auto"/>
        <w:bottom w:val="none" w:sz="0" w:space="0" w:color="auto"/>
        <w:right w:val="none" w:sz="0" w:space="0" w:color="auto"/>
      </w:divBdr>
    </w:div>
    <w:div w:id="2137335258">
      <w:bodyDiv w:val="1"/>
      <w:marLeft w:val="0"/>
      <w:marRight w:val="0"/>
      <w:marTop w:val="0"/>
      <w:marBottom w:val="0"/>
      <w:divBdr>
        <w:top w:val="none" w:sz="0" w:space="0" w:color="auto"/>
        <w:left w:val="none" w:sz="0" w:space="0" w:color="auto"/>
        <w:bottom w:val="none" w:sz="0" w:space="0" w:color="auto"/>
        <w:right w:val="none" w:sz="0" w:space="0" w:color="auto"/>
      </w:divBdr>
    </w:div>
    <w:div w:id="21425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hyperlink" Target="http://ifrem.edomex.gob.mx/organigrama"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2.jpeg"/></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DE5F-818E-4E8E-A35F-C1AF2B66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8394</Words>
  <Characters>46169</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rodriguez cruz</dc:creator>
  <cp:keywords/>
  <dc:description/>
  <cp:lastModifiedBy>Pat</cp:lastModifiedBy>
  <cp:revision>4</cp:revision>
  <cp:lastPrinted>2022-04-28T21:01:00Z</cp:lastPrinted>
  <dcterms:created xsi:type="dcterms:W3CDTF">2022-04-28T20:48:00Z</dcterms:created>
  <dcterms:modified xsi:type="dcterms:W3CDTF">2022-04-28T21:02:00Z</dcterms:modified>
</cp:coreProperties>
</file>