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0CBB" w14:textId="77777777" w:rsidR="00A618CA" w:rsidRPr="003D515A" w:rsidRDefault="00A618CA" w:rsidP="00A618CA">
      <w:pPr>
        <w:spacing w:after="101" w:line="276" w:lineRule="auto"/>
        <w:ind w:left="648" w:right="-1"/>
        <w:jc w:val="center"/>
        <w:rPr>
          <w:rFonts w:eastAsia="Times New Roman" w:cs="Arial"/>
          <w:b/>
          <w:lang w:val="es-ES" w:eastAsia="es-ES"/>
        </w:rPr>
      </w:pPr>
      <w:r w:rsidRPr="003D515A">
        <w:rPr>
          <w:rFonts w:eastAsia="Times New Roman" w:cs="Arial"/>
          <w:b/>
          <w:lang w:val="es-ES" w:eastAsia="es-ES"/>
        </w:rPr>
        <w:t>NOTAS A LOS ESTADOS FINANCIEROS</w:t>
      </w:r>
    </w:p>
    <w:p w14:paraId="4D8B7012" w14:textId="77777777" w:rsidR="00A618CA" w:rsidRPr="003D515A" w:rsidRDefault="00A618CA" w:rsidP="00A618CA">
      <w:pPr>
        <w:spacing w:line="276" w:lineRule="auto"/>
        <w:ind w:right="-1"/>
        <w:jc w:val="center"/>
        <w:outlineLvl w:val="0"/>
      </w:pPr>
      <w:r w:rsidRPr="003D515A">
        <w:rPr>
          <w:b/>
        </w:rPr>
        <w:t xml:space="preserve">Entidad: </w:t>
      </w:r>
      <w:r w:rsidRPr="003D515A">
        <w:rPr>
          <w:u w:val="single"/>
        </w:rPr>
        <w:t>Instituto de la Función Registral del Estado de México</w:t>
      </w:r>
      <w:r w:rsidRPr="003D515A">
        <w:t xml:space="preserve"> (IFREM).</w:t>
      </w:r>
    </w:p>
    <w:p w14:paraId="2EF9C981" w14:textId="11341A62" w:rsidR="00B13906" w:rsidRPr="003D515A" w:rsidRDefault="00B13906" w:rsidP="00B13906">
      <w:pPr>
        <w:spacing w:line="276" w:lineRule="auto"/>
        <w:ind w:right="-1"/>
        <w:jc w:val="center"/>
        <w:outlineLvl w:val="0"/>
        <w:rPr>
          <w:u w:val="single"/>
        </w:rPr>
      </w:pPr>
      <w:r w:rsidRPr="003D515A">
        <w:rPr>
          <w:b/>
        </w:rPr>
        <w:t xml:space="preserve">Mes: </w:t>
      </w:r>
      <w:r w:rsidR="003D515A" w:rsidRPr="003D515A">
        <w:rPr>
          <w:u w:val="single"/>
        </w:rPr>
        <w:t>Junio</w:t>
      </w:r>
      <w:r w:rsidRPr="003D515A">
        <w:rPr>
          <w:u w:val="single"/>
        </w:rPr>
        <w:t xml:space="preserve"> </w:t>
      </w:r>
      <w:r w:rsidRPr="003D515A">
        <w:rPr>
          <w:b/>
        </w:rPr>
        <w:t>de</w:t>
      </w:r>
      <w:r w:rsidRPr="003D515A">
        <w:t xml:space="preserve"> </w:t>
      </w:r>
      <w:r w:rsidRPr="003D515A">
        <w:rPr>
          <w:u w:val="single"/>
        </w:rPr>
        <w:t>2021.</w:t>
      </w:r>
    </w:p>
    <w:p w14:paraId="07FC1FAE" w14:textId="77777777" w:rsidR="00A618CA" w:rsidRPr="003D515A" w:rsidRDefault="00A618CA" w:rsidP="00A618CA">
      <w:pPr>
        <w:pStyle w:val="Prrafodelista"/>
        <w:numPr>
          <w:ilvl w:val="0"/>
          <w:numId w:val="29"/>
        </w:numPr>
        <w:tabs>
          <w:tab w:val="left" w:pos="3836"/>
        </w:tabs>
        <w:spacing w:line="276" w:lineRule="auto"/>
        <w:ind w:right="-1"/>
        <w:outlineLvl w:val="0"/>
        <w:rPr>
          <w:rFonts w:ascii="HelveticaNeueLT Std" w:hAnsi="HelveticaNeueLT Std" w:cs="Arial"/>
          <w:b/>
          <w:sz w:val="20"/>
          <w:szCs w:val="20"/>
        </w:rPr>
      </w:pPr>
      <w:r w:rsidRPr="003D515A">
        <w:rPr>
          <w:rFonts w:ascii="HelveticaNeueLT Std" w:hAnsi="HelveticaNeueLT Std" w:cs="Arial"/>
          <w:b/>
          <w:sz w:val="20"/>
          <w:szCs w:val="20"/>
        </w:rPr>
        <w:t>NOTAS DE DESGLOSE</w:t>
      </w:r>
    </w:p>
    <w:p w14:paraId="75A44D1B" w14:textId="77777777" w:rsidR="00A618CA" w:rsidRPr="003D515A" w:rsidRDefault="00A618CA" w:rsidP="00A618CA">
      <w:pPr>
        <w:tabs>
          <w:tab w:val="left" w:pos="3836"/>
        </w:tabs>
        <w:spacing w:after="0" w:line="276" w:lineRule="auto"/>
        <w:ind w:left="714" w:right="-1"/>
        <w:contextualSpacing/>
        <w:outlineLvl w:val="0"/>
        <w:rPr>
          <w:rFonts w:eastAsia="Times New Roman" w:cs="Arial"/>
          <w:b/>
          <w:lang w:eastAsia="es-MX"/>
        </w:rPr>
      </w:pPr>
    </w:p>
    <w:p w14:paraId="5E49054F" w14:textId="77777777" w:rsidR="000C6766" w:rsidRPr="003D515A" w:rsidRDefault="000C6766" w:rsidP="000C6766">
      <w:pPr>
        <w:numPr>
          <w:ilvl w:val="0"/>
          <w:numId w:val="3"/>
        </w:numPr>
        <w:spacing w:before="240" w:after="240" w:line="276" w:lineRule="auto"/>
        <w:ind w:right="-1"/>
        <w:contextualSpacing/>
        <w:outlineLvl w:val="0"/>
        <w:rPr>
          <w:rFonts w:eastAsia="Times New Roman" w:cs="Arial"/>
          <w:b/>
          <w:lang w:eastAsia="es-MX"/>
        </w:rPr>
      </w:pPr>
      <w:r w:rsidRPr="003D515A">
        <w:rPr>
          <w:rFonts w:eastAsia="Times New Roman" w:cs="Arial"/>
          <w:b/>
          <w:lang w:eastAsia="es-MX"/>
        </w:rPr>
        <w:t>NOTAS AL ESTADO DE SITUACIÓN FINANCIERA</w:t>
      </w:r>
    </w:p>
    <w:p w14:paraId="325D90FA" w14:textId="77777777" w:rsidR="000C6766" w:rsidRPr="003D515A" w:rsidRDefault="000C6766" w:rsidP="000C6766">
      <w:pPr>
        <w:spacing w:before="240" w:after="240" w:line="276" w:lineRule="auto"/>
        <w:ind w:right="-1"/>
        <w:outlineLvl w:val="0"/>
        <w:rPr>
          <w:rFonts w:cs="Arial"/>
          <w:b/>
        </w:rPr>
      </w:pPr>
      <w:r w:rsidRPr="003D515A">
        <w:rPr>
          <w:rFonts w:cs="Arial"/>
          <w:b/>
        </w:rPr>
        <w:t>Activo Circulante</w:t>
      </w:r>
    </w:p>
    <w:p w14:paraId="27C1450F" w14:textId="77777777" w:rsidR="00796C8A" w:rsidRPr="00F42B4B" w:rsidRDefault="00796C8A" w:rsidP="00796C8A">
      <w:pPr>
        <w:tabs>
          <w:tab w:val="left" w:pos="3836"/>
        </w:tabs>
        <w:spacing w:line="276" w:lineRule="auto"/>
        <w:ind w:right="-1"/>
        <w:jc w:val="both"/>
        <w:rPr>
          <w:rFonts w:cs="Arial"/>
        </w:rPr>
      </w:pPr>
      <w:r w:rsidRPr="00F42B4B">
        <w:rPr>
          <w:rFonts w:cs="Arial"/>
          <w:b/>
          <w:bCs/>
        </w:rPr>
        <w:t xml:space="preserve">Efectivo y Equivalentes. - </w:t>
      </w:r>
      <w:r w:rsidRPr="00F42B4B">
        <w:rPr>
          <w:rFonts w:cs="Arial"/>
        </w:rPr>
        <w:t xml:space="preserve">El saldo de </w:t>
      </w:r>
      <w:r w:rsidRPr="00A20615">
        <w:rPr>
          <w:rFonts w:eastAsia="HelveticaNeueLT Std" w:cs="HelveticaNeueLT Std"/>
        </w:rPr>
        <w:t>2</w:t>
      </w:r>
      <w:r>
        <w:rPr>
          <w:rFonts w:eastAsia="HelveticaNeueLT Std" w:cs="HelveticaNeueLT Std"/>
        </w:rPr>
        <w:t>78</w:t>
      </w:r>
      <w:proofErr w:type="gramStart"/>
      <w:r w:rsidRPr="00A20615">
        <w:rPr>
          <w:rFonts w:eastAsia="HelveticaNeueLT Std" w:cs="HelveticaNeueLT Std"/>
        </w:rPr>
        <w:t>,</w:t>
      </w:r>
      <w:r>
        <w:rPr>
          <w:rFonts w:eastAsia="HelveticaNeueLT Std" w:cs="HelveticaNeueLT Std"/>
        </w:rPr>
        <w:t>412</w:t>
      </w:r>
      <w:r w:rsidRPr="00A20615">
        <w:rPr>
          <w:rFonts w:eastAsia="HelveticaNeueLT Std" w:cs="HelveticaNeueLT Std"/>
        </w:rPr>
        <w:t>,</w:t>
      </w:r>
      <w:r>
        <w:rPr>
          <w:rFonts w:eastAsia="HelveticaNeueLT Std" w:cs="HelveticaNeueLT Std"/>
        </w:rPr>
        <w:t>374</w:t>
      </w:r>
      <w:r w:rsidRPr="00A20615">
        <w:rPr>
          <w:rFonts w:eastAsia="HelveticaNeueLT Std" w:cs="HelveticaNeueLT Std"/>
        </w:rPr>
        <w:t>.</w:t>
      </w:r>
      <w:r>
        <w:rPr>
          <w:rFonts w:eastAsia="HelveticaNeueLT Std" w:cs="HelveticaNeueLT Std"/>
        </w:rPr>
        <w:t>89</w:t>
      </w:r>
      <w:proofErr w:type="gramEnd"/>
      <w:r>
        <w:rPr>
          <w:rFonts w:eastAsia="HelveticaNeueLT Std" w:cs="HelveticaNeueLT Std"/>
          <w:sz w:val="22"/>
          <w:szCs w:val="22"/>
        </w:rPr>
        <w:t xml:space="preserve">, </w:t>
      </w:r>
      <w:r w:rsidRPr="00F42B4B">
        <w:rPr>
          <w:rFonts w:cs="Arial"/>
        </w:rPr>
        <w:t>se integra con las siguientes cuentas:</w:t>
      </w:r>
    </w:p>
    <w:p w14:paraId="3C832977" w14:textId="77777777" w:rsidR="00796C8A" w:rsidRPr="00F42B4B" w:rsidRDefault="00796C8A" w:rsidP="00796C8A">
      <w:pPr>
        <w:numPr>
          <w:ilvl w:val="0"/>
          <w:numId w:val="1"/>
        </w:numPr>
        <w:spacing w:line="276" w:lineRule="auto"/>
        <w:ind w:right="-1"/>
        <w:jc w:val="both"/>
        <w:rPr>
          <w:rFonts w:cs="Arial"/>
        </w:rPr>
      </w:pPr>
      <w:r w:rsidRPr="00F42B4B">
        <w:rPr>
          <w:rFonts w:cs="Arial"/>
          <w:b/>
        </w:rPr>
        <w:t xml:space="preserve">Efectivo. - </w:t>
      </w:r>
      <w:r w:rsidRPr="00F42B4B">
        <w:rPr>
          <w:rFonts w:cs="Arial"/>
        </w:rPr>
        <w:t xml:space="preserve">El saldo de </w:t>
      </w:r>
      <w:r w:rsidRPr="00130799">
        <w:rPr>
          <w:rFonts w:eastAsia="HelveticaNeueLT Std" w:cs="HelveticaNeueLT Std"/>
        </w:rPr>
        <w:t>33,000.00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disponible para solventar gastos menores y cubrir necesidades urgentes de gasto corriente que se requieran en las oficinas administrativas de la Dirección General.</w:t>
      </w:r>
      <w:r w:rsidRPr="00F42B4B">
        <w:t xml:space="preserve"> </w:t>
      </w:r>
    </w:p>
    <w:p w14:paraId="0EDA8BFB" w14:textId="77777777" w:rsidR="00796C8A" w:rsidRPr="00D656C3" w:rsidRDefault="00796C8A" w:rsidP="00796C8A">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Pr>
          <w:rFonts w:cs="Arial"/>
          <w:color w:val="000000" w:themeColor="text1"/>
        </w:rPr>
        <w:t>de</w:t>
      </w:r>
      <w:r w:rsidRPr="004D2D73">
        <w:rPr>
          <w:rFonts w:eastAsia="HelveticaNeueLT Std" w:cs="HelveticaNeueLT Std"/>
          <w:sz w:val="22"/>
          <w:szCs w:val="22"/>
        </w:rPr>
        <w:t xml:space="preserve"> </w:t>
      </w:r>
      <w:r w:rsidRPr="00C86C48">
        <w:rPr>
          <w:rFonts w:eastAsia="HelveticaNeueLT Std" w:cs="HelveticaNeueLT Std"/>
          <w:sz w:val="22"/>
          <w:szCs w:val="22"/>
        </w:rPr>
        <w:t>10</w:t>
      </w:r>
      <w:proofErr w:type="gramStart"/>
      <w:r>
        <w:rPr>
          <w:rFonts w:eastAsia="HelveticaNeueLT Std" w:cs="HelveticaNeueLT Std"/>
          <w:sz w:val="22"/>
          <w:szCs w:val="22"/>
        </w:rPr>
        <w:t>,</w:t>
      </w:r>
      <w:r w:rsidRPr="00C86C48">
        <w:rPr>
          <w:rFonts w:eastAsia="HelveticaNeueLT Std" w:cs="HelveticaNeueLT Std"/>
          <w:sz w:val="22"/>
          <w:szCs w:val="22"/>
        </w:rPr>
        <w:t>482</w:t>
      </w:r>
      <w:r>
        <w:rPr>
          <w:rFonts w:eastAsia="HelveticaNeueLT Std" w:cs="HelveticaNeueLT Std"/>
          <w:sz w:val="22"/>
          <w:szCs w:val="22"/>
        </w:rPr>
        <w:t>,</w:t>
      </w:r>
      <w:r w:rsidRPr="00C86C48">
        <w:rPr>
          <w:rFonts w:eastAsia="HelveticaNeueLT Std" w:cs="HelveticaNeueLT Std"/>
          <w:sz w:val="22"/>
          <w:szCs w:val="22"/>
        </w:rPr>
        <w:t>613.39</w:t>
      </w:r>
      <w:proofErr w:type="gramEnd"/>
      <w:r w:rsidRPr="001B5DCF">
        <w:rPr>
          <w:rFonts w:eastAsia="HelveticaNeueLT Std" w:cs="HelveticaNeueLT Std"/>
        </w:rPr>
        <w:t>,</w:t>
      </w:r>
      <w:r>
        <w:rPr>
          <w:rFonts w:eastAsia="HelveticaNeueLT Std" w:cs="HelveticaNeueLT Std"/>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w:t>
      </w:r>
      <w:r>
        <w:rPr>
          <w:rFonts w:cs="Arial"/>
        </w:rPr>
        <w:t>vas especificas es la siguiente:</w:t>
      </w:r>
    </w:p>
    <w:p w14:paraId="7138D62D" w14:textId="77777777" w:rsidR="00796C8A" w:rsidRPr="00D47620" w:rsidRDefault="00796C8A" w:rsidP="00796C8A">
      <w:pPr>
        <w:spacing w:after="0" w:line="276" w:lineRule="auto"/>
        <w:ind w:left="502" w:right="-1"/>
        <w:jc w:val="both"/>
        <w:rPr>
          <w:rFonts w:eastAsia="HelveticaNeueLT Std" w:cs="HelveticaNeueLT Std"/>
          <w:b/>
          <w:bCs/>
        </w:rPr>
      </w:pPr>
    </w:p>
    <w:p w14:paraId="2C7D6CD1" w14:textId="77777777" w:rsidR="00796C8A" w:rsidRDefault="00796C8A" w:rsidP="00796C8A">
      <w:pPr>
        <w:spacing w:line="259" w:lineRule="auto"/>
        <w:jc w:val="center"/>
        <w:rPr>
          <w:rFonts w:eastAsia="HelveticaNeueLT Std" w:cs="HelveticaNeueLT Std"/>
        </w:rPr>
      </w:pPr>
      <w:r w:rsidRPr="00D656C3">
        <w:rPr>
          <w:noProof/>
          <w:lang w:eastAsia="es-MX"/>
        </w:rPr>
        <w:drawing>
          <wp:inline distT="0" distB="0" distL="0" distR="0" wp14:anchorId="28BBBB89" wp14:editId="4516419F">
            <wp:extent cx="5288280" cy="36957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3695700"/>
                    </a:xfrm>
                    <a:prstGeom prst="rect">
                      <a:avLst/>
                    </a:prstGeom>
                    <a:noFill/>
                    <a:ln>
                      <a:noFill/>
                    </a:ln>
                  </pic:spPr>
                </pic:pic>
              </a:graphicData>
            </a:graphic>
          </wp:inline>
        </w:drawing>
      </w:r>
    </w:p>
    <w:p w14:paraId="5F65F1D3" w14:textId="64A1CF5E" w:rsidR="008C5821" w:rsidRDefault="00796C8A" w:rsidP="008C5821">
      <w:pPr>
        <w:numPr>
          <w:ilvl w:val="0"/>
          <w:numId w:val="1"/>
        </w:numPr>
        <w:tabs>
          <w:tab w:val="left" w:pos="639"/>
          <w:tab w:val="left" w:pos="3836"/>
        </w:tabs>
        <w:spacing w:before="240" w:after="0" w:line="276" w:lineRule="auto"/>
        <w:jc w:val="both"/>
        <w:rPr>
          <w:noProof/>
          <w:lang w:eastAsia="es-MX"/>
        </w:rPr>
      </w:pPr>
      <w:r w:rsidRPr="008C5821">
        <w:rPr>
          <w:rFonts w:eastAsia="Times New Roman" w:cs="Arial"/>
          <w:b/>
          <w:bCs/>
          <w:lang w:eastAsia="es-MX"/>
        </w:rPr>
        <w:lastRenderedPageBreak/>
        <w:t xml:space="preserve">Inversiones Temporales (Hasta 3 meses). - </w:t>
      </w:r>
      <w:r w:rsidRPr="008C5821">
        <w:rPr>
          <w:rFonts w:eastAsia="Times New Roman" w:cs="Arial"/>
          <w:lang w:eastAsia="es-MX"/>
        </w:rPr>
        <w:t xml:space="preserve">El saldo </w:t>
      </w:r>
      <w:r w:rsidRPr="008C5821">
        <w:rPr>
          <w:rFonts w:eastAsia="Times New Roman" w:cs="Arial"/>
          <w:color w:val="000000" w:themeColor="text1"/>
          <w:lang w:eastAsia="es-MX"/>
        </w:rPr>
        <w:t>de</w:t>
      </w:r>
      <w:r w:rsidRPr="008C5821">
        <w:rPr>
          <w:rFonts w:eastAsia="HelveticaNeueLT Std" w:cs="HelveticaNeueLT Std"/>
        </w:rPr>
        <w:t xml:space="preserve"> 267</w:t>
      </w:r>
      <w:proofErr w:type="gramStart"/>
      <w:r w:rsidRPr="008C5821">
        <w:rPr>
          <w:rFonts w:eastAsia="HelveticaNeueLT Std" w:cs="HelveticaNeueLT Std"/>
        </w:rPr>
        <w:t>,896,761.50</w:t>
      </w:r>
      <w:proofErr w:type="gramEnd"/>
      <w:r w:rsidRPr="008C5821">
        <w:rPr>
          <w:rFonts w:eastAsia="HelveticaNeueLT Std" w:cs="HelveticaNeueLT Std"/>
        </w:rPr>
        <w:t xml:space="preserve">, </w:t>
      </w:r>
      <w:r w:rsidRPr="008C5821">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r w:rsidR="008C5821">
        <w:rPr>
          <w:rFonts w:eastAsia="Times New Roman" w:cs="Arial"/>
          <w:lang w:eastAsia="es-MX"/>
        </w:rPr>
        <w:t xml:space="preserve"> </w:t>
      </w:r>
      <w:r w:rsidRPr="00D47620">
        <w:rPr>
          <w:noProof/>
          <w:lang w:eastAsia="es-MX"/>
        </w:rPr>
        <w:t>De enero 2021 al mes que se comenta se tiene el siguiente desglose que permite identificar la integración en la cuenta *****813 del banco Scotiabank:</w:t>
      </w:r>
    </w:p>
    <w:p w14:paraId="7C4391ED" w14:textId="77777777" w:rsidR="008C5821" w:rsidRPr="008C5821" w:rsidRDefault="008C5821" w:rsidP="008C5821">
      <w:pPr>
        <w:tabs>
          <w:tab w:val="left" w:pos="639"/>
          <w:tab w:val="left" w:pos="3836"/>
        </w:tabs>
        <w:spacing w:before="240" w:after="0" w:line="276" w:lineRule="auto"/>
        <w:ind w:left="502"/>
        <w:jc w:val="both"/>
        <w:rPr>
          <w:noProof/>
          <w:sz w:val="10"/>
          <w:lang w:eastAsia="es-MX"/>
        </w:rPr>
      </w:pPr>
    </w:p>
    <w:tbl>
      <w:tblPr>
        <w:tblW w:w="6960" w:type="dxa"/>
        <w:jc w:val="center"/>
        <w:tblCellMar>
          <w:left w:w="70" w:type="dxa"/>
          <w:right w:w="70" w:type="dxa"/>
        </w:tblCellMar>
        <w:tblLook w:val="04A0" w:firstRow="1" w:lastRow="0" w:firstColumn="1" w:lastColumn="0" w:noHBand="0" w:noVBand="1"/>
      </w:tblPr>
      <w:tblGrid>
        <w:gridCol w:w="5380"/>
        <w:gridCol w:w="1580"/>
      </w:tblGrid>
      <w:tr w:rsidR="00796C8A" w:rsidRPr="00132E32" w14:paraId="7D63CE46" w14:textId="77777777" w:rsidTr="00947304">
        <w:trPr>
          <w:trHeight w:val="459"/>
          <w:jc w:val="center"/>
        </w:trPr>
        <w:tc>
          <w:tcPr>
            <w:tcW w:w="5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3C48E" w14:textId="77777777" w:rsidR="00796C8A" w:rsidRPr="00132E32" w:rsidRDefault="00796C8A" w:rsidP="00947304">
            <w:pPr>
              <w:spacing w:after="0" w:line="240" w:lineRule="auto"/>
              <w:rPr>
                <w:rFonts w:eastAsia="Times New Roman" w:cs="Times New Roman"/>
                <w:b/>
                <w:bCs/>
                <w:color w:val="000000"/>
                <w:lang w:eastAsia="es-MX"/>
              </w:rPr>
            </w:pPr>
            <w:r w:rsidRPr="00132E32">
              <w:rPr>
                <w:rFonts w:eastAsia="Times New Roman" w:cs="Times New Roman"/>
                <w:b/>
                <w:bCs/>
                <w:color w:val="000000"/>
                <w:lang w:eastAsia="es-MX"/>
              </w:rPr>
              <w:t>Saldo inicial 2021</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5BE8647C" w14:textId="77777777" w:rsidR="00796C8A" w:rsidRPr="00132E32" w:rsidRDefault="00796C8A" w:rsidP="00947304">
            <w:pPr>
              <w:spacing w:after="0" w:line="240" w:lineRule="auto"/>
              <w:jc w:val="right"/>
              <w:rPr>
                <w:rFonts w:eastAsia="Times New Roman" w:cs="Times New Roman"/>
                <w:b/>
                <w:bCs/>
                <w:color w:val="000000"/>
                <w:lang w:eastAsia="es-MX"/>
              </w:rPr>
            </w:pPr>
            <w:r w:rsidRPr="00132E32">
              <w:rPr>
                <w:rFonts w:eastAsia="Times New Roman" w:cs="Times New Roman"/>
                <w:b/>
                <w:bCs/>
                <w:color w:val="000000"/>
                <w:lang w:eastAsia="es-MX"/>
              </w:rPr>
              <w:t>211,631,716.45</w:t>
            </w:r>
          </w:p>
        </w:tc>
      </w:tr>
      <w:tr w:rsidR="00796C8A" w:rsidRPr="00132E32" w14:paraId="73CFC0AB" w14:textId="77777777" w:rsidTr="00947304">
        <w:trPr>
          <w:trHeight w:val="525"/>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78ED3C7A" w14:textId="77777777" w:rsidR="00796C8A" w:rsidRPr="00132E32" w:rsidRDefault="00796C8A" w:rsidP="00947304">
            <w:pPr>
              <w:spacing w:after="0" w:line="240" w:lineRule="auto"/>
              <w:rPr>
                <w:rFonts w:eastAsia="Times New Roman" w:cs="Times New Roman"/>
                <w:color w:val="000000"/>
                <w:lang w:eastAsia="es-MX"/>
              </w:rPr>
            </w:pPr>
            <w:r w:rsidRPr="00132E32">
              <w:rPr>
                <w:rFonts w:eastAsia="Times New Roman" w:cs="Times New Roman"/>
                <w:color w:val="000000"/>
                <w:lang w:eastAsia="es-MX"/>
              </w:rPr>
              <w:t>Suficiencia para cubrir los gastos de operación, de inversión y otros gastos.</w:t>
            </w:r>
          </w:p>
        </w:tc>
        <w:tc>
          <w:tcPr>
            <w:tcW w:w="1580" w:type="dxa"/>
            <w:tcBorders>
              <w:top w:val="nil"/>
              <w:left w:val="nil"/>
              <w:bottom w:val="single" w:sz="4" w:space="0" w:color="auto"/>
              <w:right w:val="single" w:sz="4" w:space="0" w:color="auto"/>
            </w:tcBorders>
            <w:shd w:val="clear" w:color="000000" w:fill="FFFFFF"/>
            <w:vAlign w:val="center"/>
            <w:hideMark/>
          </w:tcPr>
          <w:p w14:paraId="403607A3" w14:textId="77777777" w:rsidR="00796C8A" w:rsidRPr="00132E32" w:rsidRDefault="00796C8A" w:rsidP="00947304">
            <w:pPr>
              <w:spacing w:after="0" w:line="240" w:lineRule="auto"/>
              <w:jc w:val="right"/>
              <w:rPr>
                <w:rFonts w:eastAsia="Times New Roman" w:cs="Times New Roman"/>
                <w:color w:val="000000"/>
                <w:lang w:eastAsia="es-MX"/>
              </w:rPr>
            </w:pPr>
            <w:r w:rsidRPr="00132E32">
              <w:rPr>
                <w:rFonts w:eastAsia="Times New Roman" w:cs="Times New Roman"/>
                <w:color w:val="000000"/>
                <w:lang w:eastAsia="es-MX"/>
              </w:rPr>
              <w:t>7,963,724.85</w:t>
            </w:r>
          </w:p>
        </w:tc>
      </w:tr>
      <w:tr w:rsidR="00796C8A" w:rsidRPr="00132E32" w14:paraId="41BE5693" w14:textId="77777777" w:rsidTr="00947304">
        <w:trPr>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041F52C4" w14:textId="77777777" w:rsidR="00796C8A" w:rsidRPr="00132E32" w:rsidRDefault="00796C8A" w:rsidP="00947304">
            <w:pPr>
              <w:spacing w:after="0" w:line="240" w:lineRule="auto"/>
              <w:rPr>
                <w:rFonts w:eastAsia="Times New Roman" w:cs="Times New Roman"/>
                <w:color w:val="000000"/>
                <w:lang w:eastAsia="es-MX"/>
              </w:rPr>
            </w:pPr>
            <w:r w:rsidRPr="00132E32">
              <w:rPr>
                <w:rFonts w:eastAsia="Times New Roman" w:cs="Times New Roman"/>
                <w:color w:val="000000"/>
                <w:lang w:eastAsia="es-MX"/>
              </w:rPr>
              <w:t>Disponibilidad para cuentas por pagar presente ejercicio</w:t>
            </w:r>
          </w:p>
        </w:tc>
        <w:tc>
          <w:tcPr>
            <w:tcW w:w="1580" w:type="dxa"/>
            <w:tcBorders>
              <w:top w:val="nil"/>
              <w:left w:val="nil"/>
              <w:bottom w:val="single" w:sz="4" w:space="0" w:color="auto"/>
              <w:right w:val="single" w:sz="4" w:space="0" w:color="auto"/>
            </w:tcBorders>
            <w:shd w:val="clear" w:color="000000" w:fill="FFFFFF"/>
            <w:vAlign w:val="center"/>
            <w:hideMark/>
          </w:tcPr>
          <w:p w14:paraId="40B6D962" w14:textId="77777777" w:rsidR="00796C8A" w:rsidRPr="00132E32" w:rsidRDefault="00796C8A" w:rsidP="00947304">
            <w:pPr>
              <w:spacing w:after="0" w:line="240" w:lineRule="auto"/>
              <w:jc w:val="right"/>
              <w:rPr>
                <w:rFonts w:eastAsia="Times New Roman" w:cs="Times New Roman"/>
                <w:color w:val="000000"/>
                <w:lang w:eastAsia="es-MX"/>
              </w:rPr>
            </w:pPr>
            <w:r w:rsidRPr="00132E32">
              <w:rPr>
                <w:rFonts w:eastAsia="Times New Roman" w:cs="Times New Roman"/>
                <w:color w:val="000000"/>
                <w:lang w:eastAsia="es-MX"/>
              </w:rPr>
              <w:t>1,521,143.63</w:t>
            </w:r>
          </w:p>
        </w:tc>
      </w:tr>
      <w:tr w:rsidR="00796C8A" w:rsidRPr="00132E32" w14:paraId="21837685" w14:textId="77777777" w:rsidTr="00947304">
        <w:trPr>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3E0C144D" w14:textId="77777777" w:rsidR="00796C8A" w:rsidRPr="00132E32" w:rsidRDefault="00796C8A" w:rsidP="00947304">
            <w:pPr>
              <w:spacing w:after="0" w:line="240" w:lineRule="auto"/>
              <w:rPr>
                <w:rFonts w:eastAsia="Times New Roman" w:cs="Times New Roman"/>
                <w:color w:val="000000"/>
                <w:lang w:eastAsia="es-MX"/>
              </w:rPr>
            </w:pPr>
            <w:r w:rsidRPr="00132E32">
              <w:rPr>
                <w:rFonts w:eastAsia="Times New Roman" w:cs="Times New Roman"/>
                <w:color w:val="000000"/>
                <w:lang w:eastAsia="es-MX"/>
              </w:rPr>
              <w:t>Recurso comprometido</w:t>
            </w:r>
          </w:p>
        </w:tc>
        <w:tc>
          <w:tcPr>
            <w:tcW w:w="1580" w:type="dxa"/>
            <w:tcBorders>
              <w:top w:val="nil"/>
              <w:left w:val="nil"/>
              <w:bottom w:val="single" w:sz="4" w:space="0" w:color="auto"/>
              <w:right w:val="single" w:sz="4" w:space="0" w:color="auto"/>
            </w:tcBorders>
            <w:shd w:val="clear" w:color="000000" w:fill="FFFFFF"/>
            <w:vAlign w:val="center"/>
            <w:hideMark/>
          </w:tcPr>
          <w:p w14:paraId="7073B213" w14:textId="77777777" w:rsidR="00796C8A" w:rsidRPr="00132E32" w:rsidRDefault="00796C8A" w:rsidP="00947304">
            <w:pPr>
              <w:spacing w:after="0" w:line="240" w:lineRule="auto"/>
              <w:jc w:val="right"/>
              <w:rPr>
                <w:rFonts w:eastAsia="Times New Roman" w:cs="Times New Roman"/>
                <w:color w:val="000000"/>
                <w:lang w:eastAsia="es-MX"/>
              </w:rPr>
            </w:pPr>
            <w:r w:rsidRPr="00132E32">
              <w:rPr>
                <w:rFonts w:eastAsia="Times New Roman" w:cs="Times New Roman"/>
                <w:color w:val="000000"/>
                <w:lang w:eastAsia="es-MX"/>
              </w:rPr>
              <w:t>19,767,502.54</w:t>
            </w:r>
          </w:p>
        </w:tc>
      </w:tr>
      <w:tr w:rsidR="00796C8A" w:rsidRPr="00132E32" w14:paraId="539EAAF4" w14:textId="77777777" w:rsidTr="00947304">
        <w:trPr>
          <w:trHeight w:val="630"/>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B668A48" w14:textId="77777777" w:rsidR="00796C8A" w:rsidRPr="00132E32" w:rsidRDefault="00796C8A" w:rsidP="00947304">
            <w:pPr>
              <w:spacing w:after="0" w:line="240" w:lineRule="auto"/>
              <w:rPr>
                <w:rFonts w:eastAsia="Times New Roman" w:cs="Times New Roman"/>
                <w:color w:val="000000"/>
                <w:lang w:eastAsia="es-MX"/>
              </w:rPr>
            </w:pPr>
            <w:r w:rsidRPr="00132E32">
              <w:rPr>
                <w:rFonts w:eastAsia="Times New Roman" w:cs="Times New Roman"/>
                <w:color w:val="000000"/>
                <w:lang w:eastAsia="es-MX"/>
              </w:rPr>
              <w:t>Subejercicio gastos de funcionamiento</w:t>
            </w:r>
          </w:p>
        </w:tc>
        <w:tc>
          <w:tcPr>
            <w:tcW w:w="1580" w:type="dxa"/>
            <w:tcBorders>
              <w:top w:val="nil"/>
              <w:left w:val="nil"/>
              <w:bottom w:val="single" w:sz="4" w:space="0" w:color="auto"/>
              <w:right w:val="single" w:sz="4" w:space="0" w:color="auto"/>
            </w:tcBorders>
            <w:shd w:val="clear" w:color="000000" w:fill="FFFFFF"/>
            <w:vAlign w:val="center"/>
            <w:hideMark/>
          </w:tcPr>
          <w:p w14:paraId="37D3CE50" w14:textId="77777777" w:rsidR="00796C8A" w:rsidRPr="00132E32" w:rsidRDefault="00796C8A" w:rsidP="00947304">
            <w:pPr>
              <w:spacing w:after="0" w:line="240" w:lineRule="auto"/>
              <w:jc w:val="right"/>
              <w:rPr>
                <w:rFonts w:eastAsia="Times New Roman" w:cs="Times New Roman"/>
                <w:color w:val="000000"/>
                <w:lang w:eastAsia="es-MX"/>
              </w:rPr>
            </w:pPr>
            <w:r w:rsidRPr="00132E32">
              <w:rPr>
                <w:rFonts w:eastAsia="Times New Roman" w:cs="Times New Roman"/>
                <w:color w:val="000000"/>
                <w:lang w:eastAsia="es-MX"/>
              </w:rPr>
              <w:t>20,435,713.76</w:t>
            </w:r>
          </w:p>
        </w:tc>
      </w:tr>
      <w:tr w:rsidR="00796C8A" w:rsidRPr="00132E32" w14:paraId="6FFFEED6" w14:textId="77777777" w:rsidTr="00947304">
        <w:trPr>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09112EF5" w14:textId="77777777" w:rsidR="00796C8A" w:rsidRPr="00132E32" w:rsidRDefault="00796C8A" w:rsidP="00947304">
            <w:pPr>
              <w:spacing w:after="0" w:line="240" w:lineRule="auto"/>
              <w:rPr>
                <w:rFonts w:eastAsia="Times New Roman" w:cs="Times New Roman"/>
                <w:color w:val="000000"/>
                <w:lang w:eastAsia="es-MX"/>
              </w:rPr>
            </w:pPr>
            <w:r w:rsidRPr="00132E32">
              <w:rPr>
                <w:rFonts w:eastAsia="Times New Roman" w:cs="Times New Roman"/>
                <w:color w:val="000000"/>
                <w:lang w:eastAsia="es-MX"/>
              </w:rPr>
              <w:t xml:space="preserve">Incremento </w:t>
            </w:r>
            <w:proofErr w:type="spellStart"/>
            <w:r w:rsidRPr="00132E32">
              <w:rPr>
                <w:rFonts w:eastAsia="Times New Roman" w:cs="Times New Roman"/>
                <w:color w:val="000000"/>
                <w:lang w:eastAsia="es-MX"/>
              </w:rPr>
              <w:t>pór</w:t>
            </w:r>
            <w:proofErr w:type="spellEnd"/>
            <w:r w:rsidRPr="00132E32">
              <w:rPr>
                <w:rFonts w:eastAsia="Times New Roman" w:cs="Times New Roman"/>
                <w:color w:val="000000"/>
                <w:lang w:eastAsia="es-MX"/>
              </w:rPr>
              <w:t xml:space="preserve"> los Intereses y otros ingresos</w:t>
            </w:r>
          </w:p>
        </w:tc>
        <w:tc>
          <w:tcPr>
            <w:tcW w:w="1580" w:type="dxa"/>
            <w:tcBorders>
              <w:top w:val="nil"/>
              <w:left w:val="nil"/>
              <w:bottom w:val="single" w:sz="4" w:space="0" w:color="auto"/>
              <w:right w:val="single" w:sz="4" w:space="0" w:color="auto"/>
            </w:tcBorders>
            <w:shd w:val="clear" w:color="auto" w:fill="auto"/>
            <w:vAlign w:val="center"/>
            <w:hideMark/>
          </w:tcPr>
          <w:p w14:paraId="73431816" w14:textId="77777777" w:rsidR="00796C8A" w:rsidRPr="00132E32" w:rsidRDefault="00796C8A" w:rsidP="00947304">
            <w:pPr>
              <w:spacing w:after="0" w:line="240" w:lineRule="auto"/>
              <w:jc w:val="right"/>
              <w:rPr>
                <w:rFonts w:eastAsia="Times New Roman" w:cs="Times New Roman"/>
                <w:color w:val="000000"/>
                <w:lang w:eastAsia="es-MX"/>
              </w:rPr>
            </w:pPr>
            <w:r w:rsidRPr="00132E32">
              <w:rPr>
                <w:rFonts w:eastAsia="Times New Roman" w:cs="Times New Roman"/>
                <w:color w:val="000000"/>
                <w:lang w:eastAsia="es-MX"/>
              </w:rPr>
              <w:t>6,576,960.27</w:t>
            </w:r>
          </w:p>
        </w:tc>
      </w:tr>
      <w:tr w:rsidR="00796C8A" w:rsidRPr="00132E32" w14:paraId="0744CA72" w14:textId="77777777" w:rsidTr="00947304">
        <w:trPr>
          <w:trHeight w:val="459"/>
          <w:jc w:val="center"/>
        </w:trPr>
        <w:tc>
          <w:tcPr>
            <w:tcW w:w="5380" w:type="dxa"/>
            <w:tcBorders>
              <w:top w:val="nil"/>
              <w:left w:val="single" w:sz="4" w:space="0" w:color="auto"/>
              <w:bottom w:val="single" w:sz="4" w:space="0" w:color="auto"/>
              <w:right w:val="single" w:sz="4" w:space="0" w:color="auto"/>
            </w:tcBorders>
            <w:shd w:val="clear" w:color="000000" w:fill="FFFFFF"/>
            <w:vAlign w:val="center"/>
            <w:hideMark/>
          </w:tcPr>
          <w:p w14:paraId="487A88D8" w14:textId="77777777" w:rsidR="00796C8A" w:rsidRPr="00132E32" w:rsidRDefault="00796C8A" w:rsidP="00947304">
            <w:pPr>
              <w:spacing w:after="0" w:line="240" w:lineRule="auto"/>
              <w:rPr>
                <w:rFonts w:eastAsia="Times New Roman" w:cs="Times New Roman"/>
                <w:b/>
                <w:bCs/>
                <w:color w:val="000000"/>
                <w:lang w:eastAsia="es-MX"/>
              </w:rPr>
            </w:pPr>
            <w:r w:rsidRPr="00132E32">
              <w:rPr>
                <w:rFonts w:eastAsia="Times New Roman" w:cs="Times New Roman"/>
                <w:b/>
                <w:bCs/>
                <w:color w:val="000000"/>
                <w:lang w:eastAsia="es-MX"/>
              </w:rPr>
              <w:t>Saldo final al mes 2021</w:t>
            </w:r>
          </w:p>
        </w:tc>
        <w:tc>
          <w:tcPr>
            <w:tcW w:w="1580" w:type="dxa"/>
            <w:tcBorders>
              <w:top w:val="nil"/>
              <w:left w:val="nil"/>
              <w:bottom w:val="single" w:sz="4" w:space="0" w:color="auto"/>
              <w:right w:val="single" w:sz="4" w:space="0" w:color="auto"/>
            </w:tcBorders>
            <w:shd w:val="clear" w:color="000000" w:fill="FFFFFF"/>
            <w:vAlign w:val="center"/>
            <w:hideMark/>
          </w:tcPr>
          <w:p w14:paraId="1FE09F1C" w14:textId="77777777" w:rsidR="00796C8A" w:rsidRPr="00132E32" w:rsidRDefault="00796C8A" w:rsidP="00947304">
            <w:pPr>
              <w:spacing w:after="0" w:line="240" w:lineRule="auto"/>
              <w:jc w:val="right"/>
              <w:rPr>
                <w:rFonts w:eastAsia="Times New Roman" w:cs="Times New Roman"/>
                <w:b/>
                <w:bCs/>
                <w:color w:val="000000"/>
                <w:lang w:eastAsia="es-MX"/>
              </w:rPr>
            </w:pPr>
            <w:r w:rsidRPr="00132E32">
              <w:rPr>
                <w:rFonts w:eastAsia="Times New Roman" w:cs="Times New Roman"/>
                <w:b/>
                <w:bCs/>
                <w:color w:val="000000"/>
                <w:lang w:eastAsia="es-MX"/>
              </w:rPr>
              <w:t>267,896,761.50</w:t>
            </w:r>
          </w:p>
        </w:tc>
      </w:tr>
    </w:tbl>
    <w:p w14:paraId="132611E7" w14:textId="77777777" w:rsidR="00796C8A" w:rsidRPr="00F42B4B" w:rsidRDefault="00796C8A" w:rsidP="00796C8A">
      <w:pPr>
        <w:shd w:val="clear" w:color="auto" w:fill="FFFFFF" w:themeFill="background1"/>
        <w:tabs>
          <w:tab w:val="left" w:pos="639"/>
          <w:tab w:val="left" w:pos="3836"/>
        </w:tabs>
        <w:spacing w:before="240" w:line="276" w:lineRule="auto"/>
        <w:ind w:right="-1"/>
        <w:jc w:val="both"/>
        <w:rPr>
          <w:rFonts w:cs="Arial"/>
        </w:rPr>
      </w:pPr>
      <w:r w:rsidRPr="00F42B4B">
        <w:rPr>
          <w:rFonts w:cs="Arial"/>
          <w:b/>
          <w:bCs/>
        </w:rPr>
        <w:t xml:space="preserve">Derecho a Recibir Efectivo o Equivalentes. - </w:t>
      </w:r>
      <w:r w:rsidRPr="00DE16F2">
        <w:rPr>
          <w:rFonts w:cs="Arial"/>
        </w:rPr>
        <w:t>El saldo se integra con la siguiente cuenta</w:t>
      </w:r>
      <w:r w:rsidRPr="00DE16F2">
        <w:rPr>
          <w:rFonts w:cs="Arial"/>
          <w:b/>
        </w:rPr>
        <w:t>:</w:t>
      </w:r>
    </w:p>
    <w:p w14:paraId="3689824A" w14:textId="77777777" w:rsidR="00796C8A" w:rsidRDefault="00796C8A" w:rsidP="008C5821">
      <w:pPr>
        <w:numPr>
          <w:ilvl w:val="0"/>
          <w:numId w:val="1"/>
        </w:numPr>
        <w:tabs>
          <w:tab w:val="left" w:pos="639"/>
          <w:tab w:val="left" w:pos="3836"/>
        </w:tabs>
        <w:spacing w:before="240" w:after="0" w:line="276" w:lineRule="auto"/>
        <w:ind w:right="-1"/>
        <w:contextualSpacing/>
        <w:jc w:val="both"/>
        <w:rPr>
          <w:rFonts w:cs="Arial"/>
        </w:rPr>
      </w:pPr>
      <w:r w:rsidRPr="008E5FC2">
        <w:rPr>
          <w:rFonts w:cs="Arial"/>
          <w:b/>
          <w:bCs/>
        </w:rPr>
        <w:t xml:space="preserve">Deudores Diversos. </w:t>
      </w:r>
      <w:r>
        <w:rPr>
          <w:rFonts w:cs="Arial"/>
          <w:b/>
          <w:bCs/>
        </w:rPr>
        <w:t>–</w:t>
      </w:r>
      <w:r w:rsidRPr="008E5FC2">
        <w:rPr>
          <w:rFonts w:cs="Arial"/>
        </w:rPr>
        <w:t xml:space="preserve"> </w:t>
      </w:r>
      <w:r>
        <w:rPr>
          <w:rFonts w:cs="Arial"/>
        </w:rPr>
        <w:t xml:space="preserve">El saldo de </w:t>
      </w:r>
      <w:r w:rsidRPr="00BF7FC9">
        <w:rPr>
          <w:rFonts w:cs="Arial"/>
        </w:rPr>
        <w:t>205</w:t>
      </w:r>
      <w:r>
        <w:rPr>
          <w:rFonts w:cs="Arial"/>
        </w:rPr>
        <w:t>,</w:t>
      </w:r>
      <w:r w:rsidRPr="00BF7FC9">
        <w:rPr>
          <w:rFonts w:cs="Arial"/>
        </w:rPr>
        <w:t>000.4</w:t>
      </w:r>
      <w:r>
        <w:rPr>
          <w:rFonts w:cs="Arial"/>
        </w:rPr>
        <w:t xml:space="preserve">0, es por la Solicitud de Gastos a Comprobar de </w:t>
      </w:r>
      <w:r w:rsidRPr="00BF7FC9">
        <w:rPr>
          <w:rFonts w:cs="Arial"/>
        </w:rPr>
        <w:t xml:space="preserve">María Angélica Villalva </w:t>
      </w:r>
      <w:proofErr w:type="spellStart"/>
      <w:r w:rsidRPr="00BF7FC9">
        <w:rPr>
          <w:rFonts w:cs="Arial"/>
        </w:rPr>
        <w:t>Velazquez</w:t>
      </w:r>
      <w:proofErr w:type="spellEnd"/>
      <w:r>
        <w:rPr>
          <w:rFonts w:cs="Arial"/>
        </w:rPr>
        <w:t xml:space="preserve"> correspondientes al desempeño de sus funciones.</w:t>
      </w:r>
    </w:p>
    <w:p w14:paraId="545833A3" w14:textId="77777777" w:rsidR="00796C8A" w:rsidRDefault="00796C8A" w:rsidP="00796C8A">
      <w:pPr>
        <w:tabs>
          <w:tab w:val="left" w:pos="639"/>
          <w:tab w:val="left" w:pos="3836"/>
        </w:tabs>
        <w:spacing w:after="0" w:line="276" w:lineRule="auto"/>
        <w:ind w:left="502"/>
        <w:jc w:val="center"/>
        <w:rPr>
          <w:rFonts w:ascii="Arial" w:eastAsia="Arial" w:hAnsi="Arial" w:cs="Arial"/>
          <w:color w:val="000000" w:themeColor="text1"/>
        </w:rPr>
      </w:pPr>
    </w:p>
    <w:p w14:paraId="665AE61D" w14:textId="77777777" w:rsidR="00796C8A" w:rsidRPr="00F42B4B" w:rsidRDefault="00796C8A" w:rsidP="00796C8A">
      <w:pPr>
        <w:spacing w:after="0" w:line="276" w:lineRule="auto"/>
        <w:ind w:right="-1"/>
        <w:jc w:val="both"/>
        <w:rPr>
          <w:rFonts w:cs="Arial"/>
          <w:b/>
        </w:rPr>
      </w:pPr>
      <w:r w:rsidRPr="00F42B4B">
        <w:rPr>
          <w:rFonts w:cs="Arial"/>
          <w:b/>
        </w:rPr>
        <w:t>Activo No Circulante</w:t>
      </w:r>
    </w:p>
    <w:p w14:paraId="483AE158" w14:textId="77777777" w:rsidR="00796C8A" w:rsidRPr="00F42B4B" w:rsidRDefault="00796C8A" w:rsidP="00796C8A">
      <w:pPr>
        <w:spacing w:after="0" w:line="276" w:lineRule="auto"/>
        <w:ind w:right="-1"/>
        <w:jc w:val="both"/>
        <w:rPr>
          <w:rFonts w:cs="Arial"/>
          <w:b/>
          <w:sz w:val="12"/>
        </w:rPr>
      </w:pPr>
    </w:p>
    <w:p w14:paraId="15E3BBA5" w14:textId="77777777" w:rsidR="00796C8A" w:rsidRPr="00DE16F2" w:rsidRDefault="00796C8A" w:rsidP="00796C8A">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14:paraId="5CA27824" w14:textId="77777777" w:rsidR="00796C8A" w:rsidRPr="00A7703F" w:rsidRDefault="00796C8A" w:rsidP="008C5821">
      <w:pPr>
        <w:numPr>
          <w:ilvl w:val="0"/>
          <w:numId w:val="1"/>
        </w:numPr>
        <w:spacing w:after="0" w:line="259" w:lineRule="auto"/>
        <w:ind w:right="-1"/>
        <w:contextualSpacing/>
        <w:jc w:val="both"/>
        <w:rPr>
          <w:rFonts w:cs="Arial"/>
          <w:b/>
        </w:rPr>
      </w:pPr>
      <w:r w:rsidRPr="00A7703F">
        <w:rPr>
          <w:rFonts w:eastAsiaTheme="minorEastAsia" w:cs="Arial"/>
          <w:b/>
          <w:bCs/>
          <w:color w:val="000000" w:themeColor="text1"/>
        </w:rPr>
        <w:t xml:space="preserve">Fideicomisos, Mandatos y Contratos Análogos. - </w:t>
      </w:r>
      <w:r w:rsidRPr="00A7703F">
        <w:rPr>
          <w:rFonts w:eastAsiaTheme="minorEastAsia" w:cs="Arial"/>
          <w:color w:val="000000" w:themeColor="text1"/>
        </w:rPr>
        <w:t xml:space="preserve">El saldo por las aportaciones realizadas al Fideicomiso de Cobranza de esta cuenta al mes que se analiza es por </w:t>
      </w:r>
      <w:r w:rsidRPr="00BF7FC9">
        <w:rPr>
          <w:rFonts w:eastAsiaTheme="minorEastAsia" w:cs="Arial"/>
          <w:color w:val="000000" w:themeColor="text1"/>
        </w:rPr>
        <w:t>6</w:t>
      </w:r>
      <w:r>
        <w:rPr>
          <w:rFonts w:eastAsiaTheme="minorEastAsia" w:cs="Arial"/>
          <w:color w:val="000000" w:themeColor="text1"/>
        </w:rPr>
        <w:t>,</w:t>
      </w:r>
      <w:r w:rsidRPr="00BF7FC9">
        <w:rPr>
          <w:rFonts w:eastAsiaTheme="minorEastAsia" w:cs="Arial"/>
          <w:color w:val="000000" w:themeColor="text1"/>
        </w:rPr>
        <w:t>049</w:t>
      </w:r>
      <w:r>
        <w:rPr>
          <w:rFonts w:eastAsiaTheme="minorEastAsia" w:cs="Arial"/>
          <w:color w:val="000000" w:themeColor="text1"/>
        </w:rPr>
        <w:t>,</w:t>
      </w:r>
      <w:r w:rsidRPr="00BF7FC9">
        <w:rPr>
          <w:rFonts w:eastAsiaTheme="minorEastAsia" w:cs="Arial"/>
          <w:color w:val="000000" w:themeColor="text1"/>
        </w:rPr>
        <w:t>233</w:t>
      </w:r>
      <w:r>
        <w:rPr>
          <w:rFonts w:eastAsiaTheme="minorEastAsia" w:cs="Arial"/>
          <w:color w:val="000000" w:themeColor="text1"/>
        </w:rPr>
        <w:t>,</w:t>
      </w:r>
      <w:r w:rsidRPr="00BF7FC9">
        <w:rPr>
          <w:rFonts w:eastAsiaTheme="minorEastAsia" w:cs="Arial"/>
          <w:color w:val="000000" w:themeColor="text1"/>
        </w:rPr>
        <w:t>300.38</w:t>
      </w:r>
      <w:r w:rsidRPr="00A7703F">
        <w:rPr>
          <w:rFonts w:eastAsiaTheme="minorEastAsia" w:cs="Arial"/>
          <w:color w:val="000000" w:themeColor="text1"/>
        </w:rPr>
        <w:t xml:space="preserve">, que refleja los recursos transferidos a la fiduciaria, menos los pagos por amortización de capital y las remesas al Instituto, que corresponden a las siguientes cantidades, al </w:t>
      </w:r>
      <w:proofErr w:type="spellStart"/>
      <w:r w:rsidRPr="00A7703F">
        <w:rPr>
          <w:rFonts w:eastAsiaTheme="minorEastAsia" w:cs="Arial"/>
          <w:color w:val="000000" w:themeColor="text1"/>
        </w:rPr>
        <w:t>RPP</w:t>
      </w:r>
      <w:proofErr w:type="spellEnd"/>
      <w:r w:rsidRPr="00A7703F">
        <w:rPr>
          <w:rFonts w:eastAsiaTheme="minorEastAsia" w:cs="Arial"/>
          <w:color w:val="000000" w:themeColor="text1"/>
        </w:rPr>
        <w:t xml:space="preserve"> por </w:t>
      </w:r>
      <w:r w:rsidRPr="00BF7FC9">
        <w:rPr>
          <w:rFonts w:eastAsia="HelveticaNeueLT Std" w:cs="HelveticaNeueLT Std"/>
        </w:rPr>
        <w:t>6</w:t>
      </w:r>
      <w:r>
        <w:rPr>
          <w:rFonts w:eastAsia="HelveticaNeueLT Std" w:cs="HelveticaNeueLT Std"/>
        </w:rPr>
        <w:t>,</w:t>
      </w:r>
      <w:r w:rsidRPr="00BF7FC9">
        <w:rPr>
          <w:rFonts w:eastAsia="HelveticaNeueLT Std" w:cs="HelveticaNeueLT Std"/>
        </w:rPr>
        <w:t>037</w:t>
      </w:r>
      <w:r>
        <w:rPr>
          <w:rFonts w:eastAsia="HelveticaNeueLT Std" w:cs="HelveticaNeueLT Std"/>
        </w:rPr>
        <w:t>,</w:t>
      </w:r>
      <w:r w:rsidRPr="00BF7FC9">
        <w:rPr>
          <w:rFonts w:eastAsia="HelveticaNeueLT Std" w:cs="HelveticaNeueLT Std"/>
        </w:rPr>
        <w:t>911</w:t>
      </w:r>
      <w:r>
        <w:rPr>
          <w:rFonts w:eastAsia="HelveticaNeueLT Std" w:cs="HelveticaNeueLT Std"/>
        </w:rPr>
        <w:t>,</w:t>
      </w:r>
      <w:r w:rsidRPr="00BF7FC9">
        <w:rPr>
          <w:rFonts w:eastAsia="HelveticaNeueLT Std" w:cs="HelveticaNeueLT Std"/>
        </w:rPr>
        <w:t>806.06</w:t>
      </w:r>
      <w:r w:rsidRPr="00A7703F">
        <w:rPr>
          <w:rFonts w:eastAsiaTheme="minorEastAsia" w:cs="Arial"/>
          <w:color w:val="000000" w:themeColor="text1"/>
        </w:rPr>
        <w:t xml:space="preserve">, y al </w:t>
      </w:r>
      <w:proofErr w:type="spellStart"/>
      <w:r w:rsidRPr="00A7703F">
        <w:rPr>
          <w:rFonts w:eastAsiaTheme="minorEastAsia" w:cs="Arial"/>
          <w:color w:val="000000" w:themeColor="text1"/>
        </w:rPr>
        <w:t>RPC</w:t>
      </w:r>
      <w:proofErr w:type="spellEnd"/>
      <w:r w:rsidRPr="00A7703F">
        <w:rPr>
          <w:rFonts w:eastAsiaTheme="minorEastAsia" w:cs="Arial"/>
          <w:color w:val="000000" w:themeColor="text1"/>
        </w:rPr>
        <w:t xml:space="preserve"> por </w:t>
      </w:r>
      <w:r w:rsidRPr="00BF7FC9">
        <w:rPr>
          <w:rFonts w:eastAsiaTheme="minorEastAsia" w:cs="Arial"/>
          <w:color w:val="000000" w:themeColor="text1"/>
        </w:rPr>
        <w:t>11</w:t>
      </w:r>
      <w:r>
        <w:rPr>
          <w:rFonts w:eastAsiaTheme="minorEastAsia" w:cs="Arial"/>
          <w:color w:val="000000" w:themeColor="text1"/>
        </w:rPr>
        <w:t>,</w:t>
      </w:r>
      <w:r w:rsidRPr="00BF7FC9">
        <w:rPr>
          <w:rFonts w:eastAsiaTheme="minorEastAsia" w:cs="Arial"/>
          <w:color w:val="000000" w:themeColor="text1"/>
        </w:rPr>
        <w:t>321</w:t>
      </w:r>
      <w:r>
        <w:rPr>
          <w:rFonts w:eastAsiaTheme="minorEastAsia" w:cs="Arial"/>
          <w:color w:val="000000" w:themeColor="text1"/>
        </w:rPr>
        <w:t>,</w:t>
      </w:r>
      <w:r w:rsidRPr="00BF7FC9">
        <w:rPr>
          <w:rFonts w:eastAsiaTheme="minorEastAsia" w:cs="Arial"/>
          <w:color w:val="000000" w:themeColor="text1"/>
        </w:rPr>
        <w:t>494.32</w:t>
      </w:r>
      <w:r w:rsidRPr="00A7703F">
        <w:rPr>
          <w:rFonts w:eastAsia="HelveticaNeueLT Std" w:cs="HelveticaNeueLT Std"/>
        </w:rPr>
        <w:t>.</w:t>
      </w:r>
    </w:p>
    <w:p w14:paraId="5FE7D6B1" w14:textId="77777777" w:rsidR="00796C8A" w:rsidRPr="00410DEE" w:rsidRDefault="00796C8A" w:rsidP="00796C8A">
      <w:pPr>
        <w:spacing w:after="0" w:line="259" w:lineRule="auto"/>
        <w:ind w:left="502" w:right="-1"/>
        <w:contextualSpacing/>
        <w:jc w:val="both"/>
        <w:rPr>
          <w:rFonts w:cs="Arial"/>
          <w:b/>
        </w:rPr>
      </w:pPr>
    </w:p>
    <w:p w14:paraId="5C24276E" w14:textId="77777777" w:rsidR="00796C8A" w:rsidRPr="00F42B4B" w:rsidRDefault="00796C8A" w:rsidP="00796C8A">
      <w:pPr>
        <w:tabs>
          <w:tab w:val="left" w:pos="7909"/>
        </w:tabs>
        <w:spacing w:line="259" w:lineRule="auto"/>
        <w:rPr>
          <w:rFonts w:cs="Arial"/>
          <w:b/>
        </w:rPr>
      </w:pPr>
      <w:r w:rsidRPr="00F42B4B">
        <w:rPr>
          <w:rFonts w:cs="Arial"/>
          <w:b/>
        </w:rPr>
        <w:t>Bienes Inmuebles, Infraestructura y Construcciones en Proceso</w:t>
      </w:r>
      <w:r>
        <w:rPr>
          <w:rFonts w:cs="Arial"/>
          <w:b/>
        </w:rPr>
        <w:t>.-</w:t>
      </w:r>
      <w:r w:rsidRPr="00DE16F2">
        <w:rPr>
          <w:rFonts w:cs="Arial"/>
        </w:rPr>
        <w:t>El saldo se integra con la siguiente cuenta</w:t>
      </w:r>
      <w:r>
        <w:rPr>
          <w:rFonts w:cs="Arial"/>
        </w:rPr>
        <w:t>:</w:t>
      </w:r>
    </w:p>
    <w:p w14:paraId="72098CB6" w14:textId="3013A362" w:rsidR="008C5821" w:rsidRDefault="00796C8A" w:rsidP="008C5821">
      <w:pPr>
        <w:numPr>
          <w:ilvl w:val="0"/>
          <w:numId w:val="1"/>
        </w:numPr>
        <w:spacing w:after="0" w:line="276" w:lineRule="auto"/>
        <w:ind w:right="-1"/>
        <w:jc w:val="both"/>
        <w:rPr>
          <w:rFonts w:eastAsia="HelveticaNeueLT Std" w:cs="HelveticaNeueLT Std"/>
        </w:rPr>
      </w:pPr>
      <w:r w:rsidRPr="00D044B8">
        <w:rPr>
          <w:rFonts w:cs="Arial"/>
          <w:b/>
          <w:bCs/>
        </w:rPr>
        <w:t xml:space="preserve">Edificios no Habitacionales. - </w:t>
      </w:r>
      <w:r w:rsidRPr="00D044B8">
        <w:rPr>
          <w:rFonts w:cs="Arial"/>
        </w:rPr>
        <w:t xml:space="preserve">A la fecha de estas notas presentaron un valor histórico de </w:t>
      </w:r>
      <w:r w:rsidRPr="00D044B8">
        <w:rPr>
          <w:rFonts w:eastAsia="HelveticaNeueLT Std" w:cs="HelveticaNeueLT Std"/>
        </w:rPr>
        <w:t>86</w:t>
      </w:r>
      <w:proofErr w:type="gramStart"/>
      <w:r w:rsidRPr="00D044B8">
        <w:rPr>
          <w:rFonts w:eastAsia="HelveticaNeueLT Std" w:cs="HelveticaNeueLT Std"/>
        </w:rPr>
        <w:t>,325,735.19</w:t>
      </w:r>
      <w:proofErr w:type="gramEnd"/>
      <w:r w:rsidRPr="00D044B8">
        <w:rPr>
          <w:rFonts w:eastAsia="HelveticaNeueLT Std" w:cs="HelveticaNeueLT Std"/>
        </w:rPr>
        <w:t>,</w:t>
      </w:r>
      <w:r w:rsidRPr="00D044B8">
        <w:rPr>
          <w:rFonts w:cs="Arial"/>
        </w:rPr>
        <w:t xml:space="preserve"> l</w:t>
      </w:r>
      <w:r w:rsidRPr="00D044B8">
        <w:rPr>
          <w:rFonts w:cs="Arial"/>
          <w:color w:val="000000" w:themeColor="text1"/>
        </w:rPr>
        <w:t xml:space="preserve">a depreciación acumulada al mes actual fue de </w:t>
      </w:r>
      <w:r w:rsidRPr="00D044B8">
        <w:rPr>
          <w:rFonts w:eastAsia="HelveticaNeueLT Std" w:cs="HelveticaNeueLT Std"/>
        </w:rPr>
        <w:t>9,736,644.54, se afecta contra el resultado del ejercicio por lo que se determinó un valor neto en libros de   76,589,090.65.</w:t>
      </w:r>
    </w:p>
    <w:p w14:paraId="779BD3A7" w14:textId="2821D7C9" w:rsidR="00796C8A" w:rsidRPr="008C5821" w:rsidRDefault="008C5821" w:rsidP="008C5821">
      <w:pPr>
        <w:spacing w:line="259" w:lineRule="auto"/>
        <w:rPr>
          <w:rFonts w:eastAsia="HelveticaNeueLT Std" w:cs="HelveticaNeueLT Std"/>
        </w:rPr>
      </w:pPr>
      <w:r>
        <w:rPr>
          <w:rFonts w:eastAsia="HelveticaNeueLT Std" w:cs="HelveticaNeueLT Std"/>
        </w:rPr>
        <w:br w:type="page"/>
      </w:r>
    </w:p>
    <w:p w14:paraId="4E5C97CA" w14:textId="77777777" w:rsidR="00796C8A" w:rsidRPr="0035174E" w:rsidRDefault="00796C8A" w:rsidP="00796C8A">
      <w:pPr>
        <w:spacing w:line="259" w:lineRule="auto"/>
        <w:rPr>
          <w:rFonts w:cs="Arial"/>
        </w:rPr>
      </w:pPr>
      <w:r w:rsidRPr="00F42B4B">
        <w:rPr>
          <w:rFonts w:cs="Arial"/>
          <w:b/>
          <w:bCs/>
        </w:rPr>
        <w:lastRenderedPageBreak/>
        <w:t xml:space="preserve">Bienes Muebles.- </w:t>
      </w:r>
      <w:r w:rsidRPr="00F42B4B">
        <w:rPr>
          <w:rFonts w:cs="Arial"/>
        </w:rPr>
        <w:t xml:space="preserve">De acuerdo con el Análisis de Movimientos del Activo No Circulante y su Depreciación:  </w:t>
      </w:r>
    </w:p>
    <w:p w14:paraId="6C2DE6E0" w14:textId="4C87BCAE" w:rsidR="00796C8A" w:rsidRDefault="007D3D8E" w:rsidP="00796C8A">
      <w:pPr>
        <w:spacing w:after="0" w:line="276" w:lineRule="auto"/>
        <w:ind w:right="-1"/>
        <w:jc w:val="both"/>
        <w:rPr>
          <w:bCs/>
          <w:color w:val="000000" w:themeColor="text1"/>
        </w:rPr>
      </w:pPr>
      <w:r w:rsidRPr="007D3D8E">
        <w:rPr>
          <w:noProof/>
          <w:lang w:eastAsia="es-MX"/>
        </w:rPr>
        <w:drawing>
          <wp:inline distT="0" distB="0" distL="0" distR="0" wp14:anchorId="3F3B8C9D" wp14:editId="631159EC">
            <wp:extent cx="6389370" cy="188753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1887531"/>
                    </a:xfrm>
                    <a:prstGeom prst="rect">
                      <a:avLst/>
                    </a:prstGeom>
                    <a:noFill/>
                    <a:ln>
                      <a:noFill/>
                    </a:ln>
                  </pic:spPr>
                </pic:pic>
              </a:graphicData>
            </a:graphic>
          </wp:inline>
        </w:drawing>
      </w:r>
    </w:p>
    <w:p w14:paraId="5006D28C" w14:textId="77777777" w:rsidR="00796C8A" w:rsidRPr="00F42B4B" w:rsidRDefault="00796C8A" w:rsidP="00796C8A">
      <w:pPr>
        <w:spacing w:after="0" w:line="276" w:lineRule="auto"/>
        <w:ind w:right="-1"/>
        <w:jc w:val="both"/>
        <w:rPr>
          <w:rFonts w:cs="Arial"/>
        </w:rPr>
      </w:pPr>
      <w:r w:rsidRPr="00F42B4B">
        <w:rPr>
          <w:rFonts w:cs="Arial"/>
          <w:b/>
        </w:rPr>
        <w:t xml:space="preserve">Nota: </w:t>
      </w:r>
      <w:r w:rsidRPr="00F42B4B">
        <w:rPr>
          <w:rFonts w:cs="Arial"/>
        </w:rPr>
        <w:t>Las bajas de los bienes de equipo de cómputo y muebles de oficina son por donación y bienes obsoletos o en mal estado.</w:t>
      </w:r>
    </w:p>
    <w:p w14:paraId="30C83182" w14:textId="77777777" w:rsidR="00796C8A" w:rsidRPr="00F42B4B" w:rsidRDefault="00796C8A" w:rsidP="00796C8A">
      <w:pPr>
        <w:spacing w:after="0" w:line="276" w:lineRule="auto"/>
        <w:ind w:right="-1"/>
        <w:rPr>
          <w:rFonts w:cs="Arial"/>
          <w:b/>
        </w:rPr>
      </w:pPr>
    </w:p>
    <w:p w14:paraId="0B200A3E" w14:textId="77777777" w:rsidR="00796C8A" w:rsidRPr="00F42B4B" w:rsidRDefault="00796C8A" w:rsidP="00796C8A">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6735A0F9" w14:textId="77777777" w:rsidR="00796C8A" w:rsidRPr="00F42B4B" w:rsidRDefault="00796C8A" w:rsidP="00796C8A">
      <w:pPr>
        <w:spacing w:after="0" w:line="276" w:lineRule="auto"/>
        <w:ind w:right="-1"/>
        <w:jc w:val="both"/>
        <w:rPr>
          <w:rFonts w:cs="Arial"/>
        </w:rPr>
      </w:pPr>
    </w:p>
    <w:p w14:paraId="0F6D4FFE" w14:textId="77777777" w:rsidR="00796C8A" w:rsidRDefault="00796C8A" w:rsidP="008C5821">
      <w:pPr>
        <w:pStyle w:val="Prrafodelista"/>
        <w:numPr>
          <w:ilvl w:val="0"/>
          <w:numId w:val="1"/>
        </w:numPr>
        <w:spacing w:line="276" w:lineRule="auto"/>
        <w:ind w:right="-1"/>
        <w:jc w:val="both"/>
        <w:outlineLvl w:val="0"/>
        <w:rPr>
          <w:rFonts w:ascii="HelveticaNeueLT Std" w:eastAsiaTheme="minorEastAsia" w:hAnsi="HelveticaNeueLT Std" w:cs="Arial"/>
          <w:sz w:val="20"/>
          <w:szCs w:val="20"/>
          <w:lang w:eastAsia="en-US"/>
        </w:rPr>
      </w:pPr>
      <w:r w:rsidRPr="00F42B4B">
        <w:rPr>
          <w:rFonts w:ascii="HelveticaNeueLT Std" w:eastAsiaTheme="minorEastAsia" w:hAnsi="HelveticaNeueLT Std" w:cs="Arial"/>
          <w:b/>
          <w:bCs/>
          <w:sz w:val="20"/>
          <w:szCs w:val="20"/>
          <w:lang w:eastAsia="en-US"/>
        </w:rPr>
        <w:t>Otros Activos Diferidos. -</w:t>
      </w:r>
      <w:r w:rsidRPr="00F42B4B">
        <w:rPr>
          <w:rFonts w:ascii="HelveticaNeueLT Std" w:eastAsiaTheme="minorEastAsia" w:hAnsi="HelveticaNeueLT Std" w:cs="Arial"/>
          <w:sz w:val="20"/>
          <w:szCs w:val="20"/>
          <w:lang w:eastAsia="en-US"/>
        </w:rPr>
        <w:t xml:space="preserve"> Su saldo representa los depósitos en garantía que se han otorgado a la Comisión Federal de Electricidad (CFE) para prestar el servicio de energía eléctrica.</w:t>
      </w:r>
    </w:p>
    <w:p w14:paraId="6FA28D73" w14:textId="77777777" w:rsidR="00796C8A" w:rsidRPr="00F42B4B" w:rsidRDefault="00796C8A" w:rsidP="00796C8A">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4CA6DE92" w14:textId="77777777" w:rsidR="00796C8A" w:rsidRPr="00F42B4B" w:rsidRDefault="00796C8A" w:rsidP="00796C8A">
      <w:pPr>
        <w:spacing w:line="276" w:lineRule="auto"/>
        <w:ind w:right="-1"/>
        <w:jc w:val="both"/>
        <w:outlineLvl w:val="0"/>
        <w:rPr>
          <w:rFonts w:cs="Arial"/>
          <w:b/>
        </w:rPr>
      </w:pPr>
      <w:r w:rsidRPr="00F42B4B">
        <w:rPr>
          <w:rFonts w:cs="Arial"/>
          <w:b/>
        </w:rPr>
        <w:t>Pasivo Circulante</w:t>
      </w:r>
    </w:p>
    <w:p w14:paraId="38B55AA9" w14:textId="77777777" w:rsidR="00796C8A" w:rsidRDefault="00796C8A" w:rsidP="00796C8A">
      <w:pPr>
        <w:spacing w:line="276" w:lineRule="auto"/>
        <w:ind w:right="-1"/>
        <w:jc w:val="both"/>
        <w:outlineLvl w:val="0"/>
        <w:rPr>
          <w:rFonts w:eastAsiaTheme="minorEastAsia" w:cs="Arial"/>
        </w:rPr>
      </w:pPr>
      <w:r w:rsidRPr="00D27374">
        <w:rPr>
          <w:rFonts w:eastAsiaTheme="minorEastAsia" w:cs="Arial"/>
          <w:b/>
          <w:bCs/>
        </w:rPr>
        <w:t>Cuentas por Pagar a Corto Plazo</w:t>
      </w:r>
      <w:r w:rsidRPr="00D27374">
        <w:rPr>
          <w:rFonts w:cs="Arial"/>
          <w:b/>
          <w:bCs/>
        </w:rPr>
        <w:t>.-</w:t>
      </w:r>
      <w:r w:rsidRPr="00D27374">
        <w:rPr>
          <w:rFonts w:cs="Arial"/>
          <w:b/>
          <w:bCs/>
          <w:sz w:val="22"/>
          <w:szCs w:val="22"/>
        </w:rPr>
        <w:t xml:space="preserve"> </w:t>
      </w:r>
      <w:r w:rsidRPr="00D27374">
        <w:rPr>
          <w:rFonts w:eastAsiaTheme="minorEastAsia" w:cs="Arial"/>
        </w:rPr>
        <w:t xml:space="preserve">El saldo de este rubro por </w:t>
      </w:r>
      <w:r w:rsidRPr="00923D3E">
        <w:rPr>
          <w:rFonts w:eastAsiaTheme="minorEastAsia" w:cs="Arial"/>
        </w:rPr>
        <w:t>4</w:t>
      </w:r>
      <w:proofErr w:type="gramStart"/>
      <w:r w:rsidRPr="00923D3E">
        <w:rPr>
          <w:rFonts w:eastAsiaTheme="minorEastAsia" w:cs="Arial"/>
        </w:rPr>
        <w:t>,293,299.61</w:t>
      </w:r>
      <w:proofErr w:type="gramEnd"/>
      <w:r w:rsidRPr="00D27374">
        <w:rPr>
          <w:rFonts w:eastAsiaTheme="minorEastAsia" w:cs="Arial"/>
        </w:rPr>
        <w:t>, se integra de la forma y con la antigüedad de saldos siguientes:</w:t>
      </w:r>
    </w:p>
    <w:p w14:paraId="791CE729" w14:textId="77777777" w:rsidR="00796C8A" w:rsidRDefault="00796C8A" w:rsidP="00796C8A">
      <w:pPr>
        <w:spacing w:line="276" w:lineRule="auto"/>
        <w:ind w:right="-1"/>
        <w:jc w:val="center"/>
        <w:outlineLvl w:val="0"/>
        <w:rPr>
          <w:rFonts w:eastAsiaTheme="minorEastAsia" w:cs="Arial"/>
        </w:rPr>
      </w:pPr>
      <w:r w:rsidRPr="0035174E">
        <w:rPr>
          <w:noProof/>
          <w:lang w:eastAsia="es-MX"/>
        </w:rPr>
        <w:drawing>
          <wp:inline distT="0" distB="0" distL="0" distR="0" wp14:anchorId="4B8C0618" wp14:editId="55D2B743">
            <wp:extent cx="5288280" cy="57150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8280" cy="571500"/>
                    </a:xfrm>
                    <a:prstGeom prst="rect">
                      <a:avLst/>
                    </a:prstGeom>
                    <a:noFill/>
                    <a:ln>
                      <a:noFill/>
                    </a:ln>
                  </pic:spPr>
                </pic:pic>
              </a:graphicData>
            </a:graphic>
          </wp:inline>
        </w:drawing>
      </w:r>
    </w:p>
    <w:p w14:paraId="11323013" w14:textId="77777777" w:rsidR="00796C8A" w:rsidRPr="00F42B4B" w:rsidRDefault="00796C8A" w:rsidP="00796C8A">
      <w:pPr>
        <w:spacing w:line="276" w:lineRule="auto"/>
        <w:ind w:right="-1"/>
        <w:jc w:val="both"/>
        <w:outlineLvl w:val="0"/>
        <w:rPr>
          <w:rFonts w:cs="Arial"/>
        </w:rPr>
      </w:pPr>
      <w:r w:rsidRPr="00F42B4B">
        <w:rPr>
          <w:rFonts w:cs="Arial"/>
        </w:rPr>
        <w:t xml:space="preserve">El importe a más de 365 días se debe a la </w:t>
      </w:r>
      <w:r w:rsidRPr="007C2D07">
        <w:rPr>
          <w:rFonts w:cs="Arial"/>
        </w:rPr>
        <w:t xml:space="preserve">cancelación </w:t>
      </w:r>
      <w:r w:rsidRPr="00F42B4B">
        <w:rPr>
          <w:rFonts w:cs="Arial"/>
        </w:rPr>
        <w:t xml:space="preserve">de cheques en tránsito </w:t>
      </w:r>
      <w:r>
        <w:rPr>
          <w:rFonts w:cs="Arial"/>
        </w:rPr>
        <w:t xml:space="preserve">(por devolución de ingresos indebidos), </w:t>
      </w:r>
      <w:r w:rsidRPr="00F42B4B">
        <w:rPr>
          <w:rFonts w:cs="Arial"/>
        </w:rPr>
        <w:t>los cuales deben de permanecer en cuentas por pagar de acuerdo con la normatividad vigente.</w:t>
      </w:r>
    </w:p>
    <w:p w14:paraId="4D6B0166" w14:textId="77777777" w:rsidR="00796C8A" w:rsidRPr="006333E9" w:rsidRDefault="00796C8A" w:rsidP="008C5821">
      <w:pPr>
        <w:pStyle w:val="Prrafodelista"/>
        <w:numPr>
          <w:ilvl w:val="0"/>
          <w:numId w:val="1"/>
        </w:numPr>
        <w:spacing w:line="276" w:lineRule="auto"/>
        <w:ind w:right="-1"/>
        <w:jc w:val="both"/>
        <w:outlineLvl w:val="0"/>
        <w:rPr>
          <w:rFonts w:eastAsiaTheme="minorEastAsia" w:cs="Arial"/>
          <w:b/>
          <w:bCs/>
        </w:rPr>
      </w:pPr>
      <w:r w:rsidRPr="006333E9">
        <w:rPr>
          <w:rFonts w:ascii="HelveticaNeueLT Std" w:eastAsiaTheme="minorEastAsia" w:hAnsi="HelveticaNeueLT Std" w:cs="Arial"/>
          <w:b/>
          <w:bCs/>
          <w:sz w:val="20"/>
          <w:szCs w:val="20"/>
          <w:lang w:eastAsia="en-US"/>
        </w:rPr>
        <w:t xml:space="preserve">Proveedores por Pagar a Corto Plazo. </w:t>
      </w:r>
      <w:r w:rsidRPr="006333E9">
        <w:rPr>
          <w:rFonts w:ascii="HelveticaNeueLT Std" w:eastAsiaTheme="minorEastAsia" w:hAnsi="HelveticaNeueLT Std" w:cs="Arial"/>
          <w:sz w:val="20"/>
          <w:szCs w:val="20"/>
          <w:lang w:eastAsia="en-US"/>
        </w:rPr>
        <w:t xml:space="preserve">- El saldo de </w:t>
      </w:r>
      <w:r>
        <w:rPr>
          <w:rFonts w:ascii="HelveticaNeueLT Std" w:eastAsiaTheme="minorEastAsia" w:hAnsi="HelveticaNeueLT Std" w:cs="Arial"/>
          <w:sz w:val="20"/>
          <w:szCs w:val="20"/>
          <w:lang w:eastAsia="en-US"/>
        </w:rPr>
        <w:t>284,308</w:t>
      </w:r>
      <w:r w:rsidRPr="00FE66B7">
        <w:rPr>
          <w:rFonts w:ascii="HelveticaNeueLT Std" w:eastAsiaTheme="minorEastAsia" w:hAnsi="HelveticaNeueLT Std" w:cs="Arial"/>
          <w:sz w:val="20"/>
          <w:szCs w:val="20"/>
          <w:lang w:eastAsia="en-US"/>
        </w:rPr>
        <w:t>.</w:t>
      </w:r>
      <w:r>
        <w:rPr>
          <w:rFonts w:ascii="HelveticaNeueLT Std" w:eastAsiaTheme="minorEastAsia" w:hAnsi="HelveticaNeueLT Std" w:cs="Arial"/>
          <w:sz w:val="20"/>
          <w:szCs w:val="20"/>
          <w:lang w:eastAsia="en-US"/>
        </w:rPr>
        <w:t>51</w:t>
      </w:r>
      <w:r w:rsidRPr="006333E9">
        <w:rPr>
          <w:rFonts w:ascii="HelveticaNeueLT Std" w:eastAsiaTheme="minorEastAsia" w:hAnsi="HelveticaNeueLT Std" w:cs="Arial"/>
          <w:sz w:val="20"/>
          <w:szCs w:val="20"/>
          <w:lang w:eastAsia="en-US"/>
        </w:rPr>
        <w:t>, representa el importe de las obligaciones de pago, principalmente por los proveedores;</w:t>
      </w:r>
      <w:r>
        <w:rPr>
          <w:rFonts w:ascii="HelveticaNeueLT Std" w:eastAsiaTheme="minorEastAsia" w:hAnsi="HelveticaNeueLT Std" w:cs="Arial"/>
          <w:sz w:val="20"/>
          <w:szCs w:val="20"/>
          <w:lang w:eastAsia="en-US"/>
        </w:rPr>
        <w:t xml:space="preserve"> Sistema </w:t>
      </w:r>
      <w:proofErr w:type="spellStart"/>
      <w:r>
        <w:rPr>
          <w:rFonts w:ascii="HelveticaNeueLT Std" w:eastAsiaTheme="minorEastAsia" w:hAnsi="HelveticaNeueLT Std" w:cs="Arial"/>
          <w:sz w:val="20"/>
          <w:szCs w:val="20"/>
          <w:lang w:eastAsia="en-US"/>
        </w:rPr>
        <w:t>Contino</w:t>
      </w:r>
      <w:proofErr w:type="spellEnd"/>
      <w:r>
        <w:rPr>
          <w:rFonts w:ascii="HelveticaNeueLT Std" w:eastAsiaTheme="minorEastAsia" w:hAnsi="HelveticaNeueLT Std" w:cs="Arial"/>
          <w:sz w:val="20"/>
          <w:szCs w:val="20"/>
          <w:lang w:eastAsia="en-US"/>
        </w:rPr>
        <w:t xml:space="preserve"> S.A. de C.V. y </w:t>
      </w:r>
      <w:r w:rsidRPr="0035174E">
        <w:rPr>
          <w:rFonts w:ascii="HelveticaNeueLT Std" w:eastAsiaTheme="minorEastAsia" w:hAnsi="HelveticaNeueLT Std" w:cs="Arial"/>
          <w:sz w:val="20"/>
          <w:szCs w:val="20"/>
          <w:lang w:eastAsia="en-US"/>
        </w:rPr>
        <w:t>Total Play Telecomunicaciones S.A. de C.V.</w:t>
      </w:r>
    </w:p>
    <w:p w14:paraId="1D217E3F" w14:textId="77777777" w:rsidR="00796C8A" w:rsidRPr="004509A1" w:rsidRDefault="00796C8A" w:rsidP="00796C8A">
      <w:pPr>
        <w:pStyle w:val="Prrafodelista"/>
        <w:spacing w:line="276" w:lineRule="auto"/>
        <w:ind w:left="502" w:right="-1"/>
        <w:jc w:val="both"/>
        <w:outlineLvl w:val="0"/>
        <w:rPr>
          <w:rFonts w:eastAsiaTheme="minorEastAsia" w:cs="Arial"/>
          <w:b/>
          <w:bCs/>
        </w:rPr>
      </w:pPr>
    </w:p>
    <w:p w14:paraId="28F508B6" w14:textId="77777777" w:rsidR="00796C8A" w:rsidRPr="002835AB" w:rsidRDefault="00796C8A" w:rsidP="00796C8A">
      <w:pPr>
        <w:numPr>
          <w:ilvl w:val="0"/>
          <w:numId w:val="1"/>
        </w:numPr>
        <w:spacing w:after="0" w:line="276" w:lineRule="auto"/>
        <w:ind w:right="-1"/>
        <w:contextualSpacing/>
        <w:jc w:val="both"/>
        <w:outlineLvl w:val="0"/>
        <w:rPr>
          <w:rFonts w:eastAsia="Times New Roman" w:cs="Arial"/>
          <w:lang w:eastAsia="es-MX"/>
        </w:rPr>
      </w:pPr>
      <w:r w:rsidRPr="002835AB">
        <w:rPr>
          <w:rFonts w:eastAsiaTheme="minorEastAsia" w:cs="Arial"/>
          <w:b/>
          <w:bCs/>
        </w:rPr>
        <w:t>Retenciones y Contribuciones por Pagar a Corto Plazo</w:t>
      </w:r>
      <w:r w:rsidRPr="002835AB">
        <w:rPr>
          <w:rFonts w:eastAsiaTheme="minorEastAsia" w:cs="Arial"/>
          <w:b/>
          <w:bCs/>
          <w:lang w:eastAsia="es-MX"/>
        </w:rPr>
        <w:t xml:space="preserve">. – </w:t>
      </w:r>
      <w:r w:rsidRPr="002835AB">
        <w:rPr>
          <w:rFonts w:eastAsiaTheme="minorEastAsia" w:cs="Arial"/>
        </w:rPr>
        <w:t xml:space="preserve">El saldo de </w:t>
      </w:r>
      <w:r w:rsidRPr="0035174E">
        <w:rPr>
          <w:rFonts w:eastAsia="HelveticaNeueLT Std" w:cs="HelveticaNeueLT Std"/>
        </w:rPr>
        <w:t>2</w:t>
      </w:r>
      <w:proofErr w:type="gramStart"/>
      <w:r>
        <w:rPr>
          <w:rFonts w:eastAsia="HelveticaNeueLT Std" w:cs="HelveticaNeueLT Std"/>
        </w:rPr>
        <w:t>,</w:t>
      </w:r>
      <w:r w:rsidRPr="0035174E">
        <w:rPr>
          <w:rFonts w:eastAsia="HelveticaNeueLT Std" w:cs="HelveticaNeueLT Std"/>
        </w:rPr>
        <w:t>060</w:t>
      </w:r>
      <w:r>
        <w:rPr>
          <w:rFonts w:eastAsia="HelveticaNeueLT Std" w:cs="HelveticaNeueLT Std"/>
        </w:rPr>
        <w:t>,</w:t>
      </w:r>
      <w:r w:rsidRPr="0035174E">
        <w:rPr>
          <w:rFonts w:eastAsia="HelveticaNeueLT Std" w:cs="HelveticaNeueLT Std"/>
        </w:rPr>
        <w:t>528.08</w:t>
      </w:r>
      <w:proofErr w:type="gramEnd"/>
      <w:r w:rsidRPr="002835AB">
        <w:rPr>
          <w:rFonts w:eastAsiaTheme="minorEastAsia" w:cs="Arial"/>
        </w:rPr>
        <w:t xml:space="preserve">, en este mes representa </w:t>
      </w:r>
      <w:r w:rsidRPr="002835AB">
        <w:rPr>
          <w:rFonts w:eastAsiaTheme="minorEastAsia" w:cs="Arial"/>
          <w:lang w:eastAsia="es-MX"/>
        </w:rPr>
        <w:t xml:space="preserve">el </w:t>
      </w:r>
      <w:r w:rsidRPr="002835AB">
        <w:rPr>
          <w:rFonts w:eastAsia="Times New Roman" w:cs="Arial"/>
          <w:lang w:eastAsia="es-MX"/>
        </w:rPr>
        <w:t xml:space="preserve">importe de las retenciones pendientes de pago </w:t>
      </w:r>
      <w:r>
        <w:rPr>
          <w:rFonts w:eastAsia="Times New Roman" w:cs="Arial"/>
          <w:lang w:eastAsia="es-MX"/>
        </w:rPr>
        <w:t xml:space="preserve">en la que </w:t>
      </w:r>
      <w:r w:rsidRPr="00FE66B7">
        <w:rPr>
          <w:rFonts w:eastAsia="Times New Roman" w:cs="Arial"/>
          <w:lang w:eastAsia="es-MX"/>
        </w:rPr>
        <w:t>1,</w:t>
      </w:r>
      <w:r>
        <w:rPr>
          <w:rFonts w:eastAsia="Times New Roman" w:cs="Arial"/>
          <w:lang w:eastAsia="es-MX"/>
        </w:rPr>
        <w:t>353</w:t>
      </w:r>
      <w:r w:rsidRPr="00FE66B7">
        <w:rPr>
          <w:rFonts w:eastAsia="Times New Roman" w:cs="Arial"/>
          <w:lang w:eastAsia="es-MX"/>
        </w:rPr>
        <w:t>,</w:t>
      </w:r>
      <w:r>
        <w:rPr>
          <w:rFonts w:eastAsia="Times New Roman" w:cs="Arial"/>
          <w:lang w:eastAsia="es-MX"/>
        </w:rPr>
        <w:t>258</w:t>
      </w:r>
      <w:r w:rsidRPr="00FE66B7">
        <w:rPr>
          <w:rFonts w:eastAsia="Times New Roman" w:cs="Arial"/>
          <w:lang w:eastAsia="es-MX"/>
        </w:rPr>
        <w:t>.</w:t>
      </w:r>
      <w:r>
        <w:rPr>
          <w:rFonts w:eastAsia="Times New Roman" w:cs="Arial"/>
          <w:lang w:eastAsia="es-MX"/>
        </w:rPr>
        <w:t>10, corresponde a</w:t>
      </w:r>
      <w:r w:rsidRPr="002835AB">
        <w:rPr>
          <w:rFonts w:eastAsia="Times New Roman" w:cs="Arial"/>
          <w:lang w:eastAsia="es-MX"/>
        </w:rPr>
        <w:t xml:space="preserve"> Impuesto Sobre la Renta (</w:t>
      </w:r>
      <w:proofErr w:type="spellStart"/>
      <w:r w:rsidRPr="002835AB">
        <w:rPr>
          <w:rFonts w:eastAsia="Times New Roman" w:cs="Arial"/>
          <w:lang w:eastAsia="es-MX"/>
        </w:rPr>
        <w:t>I.S.R</w:t>
      </w:r>
      <w:proofErr w:type="spellEnd"/>
      <w:r w:rsidRPr="002835AB">
        <w:rPr>
          <w:rFonts w:eastAsia="Times New Roman" w:cs="Arial"/>
          <w:lang w:eastAsia="es-MX"/>
        </w:rPr>
        <w:t>.)</w:t>
      </w:r>
      <w:r>
        <w:rPr>
          <w:rFonts w:eastAsiaTheme="minorEastAsia" w:cs="Arial"/>
          <w:lang w:eastAsia="es-MX"/>
        </w:rPr>
        <w:t>.</w:t>
      </w:r>
    </w:p>
    <w:p w14:paraId="5B5BEF14" w14:textId="77777777" w:rsidR="00796C8A" w:rsidRPr="00FD60B5" w:rsidRDefault="00796C8A" w:rsidP="00796C8A">
      <w:pPr>
        <w:ind w:right="-1"/>
        <w:jc w:val="both"/>
        <w:rPr>
          <w:rFonts w:cs="Arial"/>
        </w:rPr>
      </w:pPr>
    </w:p>
    <w:p w14:paraId="70EFBE9C" w14:textId="77777777" w:rsidR="00796C8A" w:rsidRPr="00725E02" w:rsidRDefault="00796C8A" w:rsidP="00796C8A">
      <w:pPr>
        <w:numPr>
          <w:ilvl w:val="0"/>
          <w:numId w:val="1"/>
        </w:numPr>
        <w:spacing w:after="0" w:line="240" w:lineRule="auto"/>
        <w:ind w:right="-1"/>
        <w:contextualSpacing/>
        <w:jc w:val="both"/>
        <w:rPr>
          <w:rFonts w:eastAsia="Times New Roman" w:cs="Arial"/>
          <w:lang w:eastAsia="es-MX"/>
        </w:rPr>
      </w:pPr>
      <w:r w:rsidRPr="00725E02">
        <w:rPr>
          <w:rFonts w:eastAsiaTheme="minorEastAsia" w:cs="Arial"/>
          <w:b/>
          <w:bCs/>
        </w:rPr>
        <w:lastRenderedPageBreak/>
        <w:t xml:space="preserve">Otras Cuentas por Pagar a Corto Plazo. </w:t>
      </w:r>
      <w:r w:rsidRPr="00725E02">
        <w:rPr>
          <w:rFonts w:eastAsiaTheme="minorEastAsia" w:cs="Arial"/>
        </w:rPr>
        <w:t xml:space="preserve">- El saldo de </w:t>
      </w:r>
      <w:r w:rsidRPr="00B07EEA">
        <w:rPr>
          <w:rFonts w:eastAsia="HelveticaNeueLT Std" w:cs="HelveticaNeueLT Std"/>
        </w:rPr>
        <w:t>1</w:t>
      </w:r>
      <w:proofErr w:type="gramStart"/>
      <w:r>
        <w:rPr>
          <w:rFonts w:eastAsia="HelveticaNeueLT Std" w:cs="HelveticaNeueLT Std"/>
        </w:rPr>
        <w:t>,</w:t>
      </w:r>
      <w:r w:rsidRPr="00B07EEA">
        <w:rPr>
          <w:rFonts w:eastAsia="HelveticaNeueLT Std" w:cs="HelveticaNeueLT Std"/>
        </w:rPr>
        <w:t>948</w:t>
      </w:r>
      <w:r>
        <w:rPr>
          <w:rFonts w:eastAsia="HelveticaNeueLT Std" w:cs="HelveticaNeueLT Std"/>
        </w:rPr>
        <w:t>,</w:t>
      </w:r>
      <w:r w:rsidRPr="00B07EEA">
        <w:rPr>
          <w:rFonts w:eastAsia="HelveticaNeueLT Std" w:cs="HelveticaNeueLT Std"/>
        </w:rPr>
        <w:t>463.02</w:t>
      </w:r>
      <w:proofErr w:type="gramEnd"/>
      <w:r w:rsidRPr="00725E02">
        <w:rPr>
          <w:rFonts w:eastAsiaTheme="minorEastAsia" w:cs="Arial"/>
        </w:rPr>
        <w:t>, en este mes representa principalmente,</w:t>
      </w:r>
      <w:r>
        <w:rPr>
          <w:rFonts w:eastAsiaTheme="minorEastAsia" w:cs="Arial"/>
        </w:rPr>
        <w:t xml:space="preserve"> Servicios Personales por Pagar a Corto Plazo por </w:t>
      </w:r>
      <w:r w:rsidRPr="00A2403D">
        <w:rPr>
          <w:rFonts w:eastAsiaTheme="minorEastAsia" w:cs="Arial"/>
        </w:rPr>
        <w:t>1</w:t>
      </w:r>
      <w:r>
        <w:rPr>
          <w:rFonts w:eastAsiaTheme="minorEastAsia" w:cs="Arial"/>
        </w:rPr>
        <w:t>,</w:t>
      </w:r>
      <w:r w:rsidRPr="00A2403D">
        <w:rPr>
          <w:rFonts w:eastAsiaTheme="minorEastAsia" w:cs="Arial"/>
        </w:rPr>
        <w:t>432</w:t>
      </w:r>
      <w:r>
        <w:rPr>
          <w:rFonts w:eastAsiaTheme="minorEastAsia" w:cs="Arial"/>
        </w:rPr>
        <w:t>,</w:t>
      </w:r>
      <w:r w:rsidRPr="00A2403D">
        <w:rPr>
          <w:rFonts w:eastAsiaTheme="minorEastAsia" w:cs="Arial"/>
        </w:rPr>
        <w:t>530.7</w:t>
      </w:r>
      <w:r>
        <w:rPr>
          <w:rFonts w:eastAsiaTheme="minorEastAsia" w:cs="Arial"/>
        </w:rPr>
        <w:t xml:space="preserve">0 </w:t>
      </w:r>
      <w:r w:rsidRPr="00725E02">
        <w:rPr>
          <w:rFonts w:eastAsiaTheme="minorEastAsia" w:cs="Arial"/>
        </w:rPr>
        <w:t xml:space="preserve">y cheques en tránsito cancelados </w:t>
      </w:r>
      <w:r>
        <w:rPr>
          <w:rFonts w:eastAsiaTheme="minorEastAsia" w:cs="Arial"/>
        </w:rPr>
        <w:t>y</w:t>
      </w:r>
      <w:r w:rsidRPr="00725E02">
        <w:rPr>
          <w:rFonts w:eastAsiaTheme="minorEastAsia" w:cs="Arial"/>
        </w:rPr>
        <w:t xml:space="preserve"> devoluciones de ingresos indebidos</w:t>
      </w:r>
      <w:r>
        <w:rPr>
          <w:rFonts w:eastAsiaTheme="minorEastAsia" w:cs="Arial"/>
        </w:rPr>
        <w:t xml:space="preserve"> por </w:t>
      </w:r>
      <w:r w:rsidRPr="00A2403D">
        <w:rPr>
          <w:rFonts w:eastAsiaTheme="minorEastAsia" w:cs="Arial"/>
        </w:rPr>
        <w:t>515</w:t>
      </w:r>
      <w:r>
        <w:rPr>
          <w:rFonts w:eastAsiaTheme="minorEastAsia" w:cs="Arial"/>
        </w:rPr>
        <w:t>,</w:t>
      </w:r>
      <w:r w:rsidRPr="00A2403D">
        <w:rPr>
          <w:rFonts w:eastAsiaTheme="minorEastAsia" w:cs="Arial"/>
        </w:rPr>
        <w:t>932.32</w:t>
      </w:r>
      <w:r w:rsidRPr="00725E02">
        <w:rPr>
          <w:rFonts w:eastAsiaTheme="minorEastAsia" w:cs="Arial"/>
        </w:rPr>
        <w:t>.</w:t>
      </w:r>
    </w:p>
    <w:p w14:paraId="3870598A" w14:textId="77777777" w:rsidR="00796C8A" w:rsidRPr="00245FE2" w:rsidRDefault="00796C8A" w:rsidP="00796C8A">
      <w:pPr>
        <w:pStyle w:val="Prrafodelista"/>
        <w:rPr>
          <w:rFonts w:cs="Arial"/>
        </w:rPr>
      </w:pPr>
    </w:p>
    <w:p w14:paraId="4927C824" w14:textId="77777777" w:rsidR="00796C8A" w:rsidRPr="00245FE2" w:rsidRDefault="00796C8A" w:rsidP="008C5821">
      <w:pPr>
        <w:pStyle w:val="Prrafodelista"/>
        <w:numPr>
          <w:ilvl w:val="0"/>
          <w:numId w:val="1"/>
        </w:numPr>
        <w:ind w:right="-1"/>
        <w:jc w:val="both"/>
        <w:rPr>
          <w:rFonts w:ascii="HelveticaNeueLT Std" w:eastAsiaTheme="minorEastAsia" w:hAnsi="HelveticaNeueLT Std" w:cs="Arial"/>
          <w:bCs/>
          <w:sz w:val="20"/>
          <w:szCs w:val="20"/>
          <w:lang w:eastAsia="en-US"/>
        </w:rPr>
      </w:pPr>
      <w:r w:rsidRPr="00245FE2">
        <w:rPr>
          <w:rFonts w:ascii="HelveticaNeueLT Std" w:eastAsiaTheme="minorEastAsia" w:hAnsi="HelveticaNeueLT Std" w:cs="Arial"/>
          <w:b/>
          <w:bCs/>
          <w:sz w:val="20"/>
          <w:szCs w:val="20"/>
          <w:lang w:eastAsia="en-US"/>
        </w:rPr>
        <w:t>Porción a Corto Plazo de la Deuda Pública Interna</w:t>
      </w:r>
      <w:r>
        <w:rPr>
          <w:rFonts w:ascii="HelveticaNeueLT Std" w:eastAsiaTheme="minorEastAsia" w:hAnsi="HelveticaNeueLT Std" w:cs="Arial"/>
          <w:b/>
          <w:bCs/>
          <w:sz w:val="20"/>
          <w:szCs w:val="20"/>
          <w:lang w:eastAsia="en-US"/>
        </w:rPr>
        <w:t xml:space="preserve">.-  </w:t>
      </w:r>
      <w:r w:rsidRPr="00245FE2">
        <w:rPr>
          <w:rFonts w:ascii="HelveticaNeueLT Std" w:eastAsiaTheme="minorEastAsia" w:hAnsi="HelveticaNeueLT Std" w:cs="Arial"/>
          <w:bCs/>
          <w:sz w:val="20"/>
          <w:szCs w:val="20"/>
          <w:lang w:eastAsia="en-US"/>
        </w:rPr>
        <w:t xml:space="preserve">El saldo de </w:t>
      </w:r>
      <w:r w:rsidRPr="0096332C">
        <w:rPr>
          <w:rFonts w:ascii="HelveticaNeueLT Std" w:eastAsiaTheme="minorEastAsia" w:hAnsi="HelveticaNeueLT Std" w:cs="Arial"/>
          <w:bCs/>
          <w:sz w:val="20"/>
          <w:szCs w:val="20"/>
          <w:lang w:eastAsia="en-US"/>
        </w:rPr>
        <w:t>209</w:t>
      </w:r>
      <w:proofErr w:type="gramStart"/>
      <w:r w:rsidRPr="0096332C">
        <w:rPr>
          <w:rFonts w:ascii="HelveticaNeueLT Std" w:eastAsiaTheme="minorEastAsia" w:hAnsi="HelveticaNeueLT Std" w:cs="Arial"/>
          <w:bCs/>
          <w:sz w:val="20"/>
          <w:szCs w:val="20"/>
          <w:lang w:eastAsia="en-US"/>
        </w:rPr>
        <w:t>,028,647.77</w:t>
      </w:r>
      <w:proofErr w:type="gramEnd"/>
      <w:r>
        <w:rPr>
          <w:rFonts w:ascii="HelveticaNeueLT Std" w:eastAsiaTheme="minorEastAsia" w:hAnsi="HelveticaNeueLT Std" w:cs="Arial"/>
          <w:bCs/>
          <w:sz w:val="20"/>
          <w:szCs w:val="20"/>
          <w:lang w:eastAsia="en-US"/>
        </w:rPr>
        <w:t xml:space="preserve"> en este mes </w:t>
      </w:r>
      <w:r w:rsidRPr="00F51AB4">
        <w:rPr>
          <w:rFonts w:ascii="HelveticaNeueLT Std" w:eastAsiaTheme="minorEastAsia" w:hAnsi="HelveticaNeueLT Std" w:cs="Arial"/>
          <w:sz w:val="20"/>
          <w:szCs w:val="20"/>
          <w:lang w:eastAsia="en-US"/>
        </w:rPr>
        <w:t>corresponde al pasivo</w:t>
      </w:r>
      <w:r>
        <w:rPr>
          <w:rFonts w:ascii="HelveticaNeueLT Std" w:eastAsiaTheme="minorEastAsia" w:hAnsi="HelveticaNeueLT Std" w:cs="Arial"/>
          <w:sz w:val="20"/>
          <w:szCs w:val="20"/>
          <w:lang w:eastAsia="en-US"/>
        </w:rPr>
        <w:t xml:space="preserve"> </w:t>
      </w:r>
      <w:r w:rsidRPr="001F3B81">
        <w:rPr>
          <w:rFonts w:ascii="HelveticaNeueLT Std" w:eastAsiaTheme="minorEastAsia" w:hAnsi="HelveticaNeueLT Std" w:cs="Arial"/>
          <w:b/>
          <w:sz w:val="20"/>
          <w:szCs w:val="20"/>
          <w:lang w:eastAsia="en-US"/>
        </w:rPr>
        <w:t>a corto plazo</w:t>
      </w:r>
      <w:r>
        <w:rPr>
          <w:rFonts w:ascii="HelveticaNeueLT Std" w:eastAsiaTheme="minorEastAsia" w:hAnsi="HelveticaNeueLT Std" w:cs="Arial"/>
          <w:sz w:val="20"/>
          <w:szCs w:val="20"/>
          <w:lang w:eastAsia="en-US"/>
        </w:rPr>
        <w:t xml:space="preserve">, </w:t>
      </w:r>
      <w:r w:rsidRPr="00F51AB4">
        <w:rPr>
          <w:rFonts w:ascii="HelveticaNeueLT Std" w:eastAsiaTheme="minorEastAsia" w:hAnsi="HelveticaNeueLT Std" w:cs="Arial"/>
          <w:sz w:val="20"/>
          <w:szCs w:val="20"/>
          <w:lang w:eastAsia="en-US"/>
        </w:rPr>
        <w:t xml:space="preserve">en los que se comprometen los ingresos presentes y futuros </w:t>
      </w:r>
      <w:r>
        <w:rPr>
          <w:rFonts w:ascii="HelveticaNeueLT Std" w:eastAsiaTheme="minorEastAsia" w:hAnsi="HelveticaNeueLT Std" w:cs="Arial"/>
          <w:sz w:val="20"/>
          <w:szCs w:val="20"/>
          <w:lang w:eastAsia="en-US"/>
        </w:rPr>
        <w:t>del IFREM</w:t>
      </w:r>
      <w:r w:rsidRPr="00F51AB4">
        <w:rPr>
          <w:rFonts w:ascii="HelveticaNeueLT Std" w:eastAsiaTheme="minorEastAsia" w:hAnsi="HelveticaNeueLT Std" w:cs="Arial"/>
          <w:sz w:val="20"/>
          <w:szCs w:val="20"/>
          <w:lang w:eastAsia="en-US"/>
        </w:rPr>
        <w:t xml:space="preserve">; por el Fideicomiso de Cobranza; correspondiente a los Certificados Bursátiles Fiduciarios </w:t>
      </w:r>
      <w:r>
        <w:rPr>
          <w:rFonts w:ascii="HelveticaNeueLT Std" w:eastAsiaTheme="minorEastAsia" w:hAnsi="HelveticaNeueLT Std" w:cs="Arial"/>
          <w:sz w:val="20"/>
          <w:szCs w:val="20"/>
          <w:lang w:eastAsia="en-US"/>
        </w:rPr>
        <w:t>Serie Subordinada C.</w:t>
      </w:r>
    </w:p>
    <w:p w14:paraId="6408DC9B" w14:textId="77777777" w:rsidR="007C0E6F" w:rsidRDefault="007C0E6F" w:rsidP="00796C8A">
      <w:pPr>
        <w:spacing w:line="276" w:lineRule="auto"/>
        <w:ind w:right="-1"/>
        <w:jc w:val="both"/>
        <w:outlineLvl w:val="0"/>
        <w:rPr>
          <w:rFonts w:eastAsiaTheme="minorEastAsia" w:cs="Arial"/>
          <w:b/>
          <w:bCs/>
        </w:rPr>
      </w:pPr>
    </w:p>
    <w:p w14:paraId="2E94E3C6" w14:textId="77777777" w:rsidR="00796C8A" w:rsidRPr="002E3F40" w:rsidRDefault="00796C8A" w:rsidP="00796C8A">
      <w:pPr>
        <w:spacing w:line="276" w:lineRule="auto"/>
        <w:ind w:right="-1"/>
        <w:jc w:val="both"/>
        <w:outlineLvl w:val="0"/>
        <w:rPr>
          <w:rFonts w:eastAsiaTheme="minorEastAsia" w:cs="Arial"/>
          <w:b/>
          <w:bCs/>
        </w:rPr>
      </w:pPr>
      <w:r w:rsidRPr="002E3F40">
        <w:rPr>
          <w:rFonts w:eastAsiaTheme="minorEastAsia" w:cs="Arial"/>
          <w:b/>
          <w:bCs/>
        </w:rPr>
        <w:t>Pasivo No Circulante</w:t>
      </w:r>
    </w:p>
    <w:p w14:paraId="20F2FC19" w14:textId="77777777" w:rsidR="00796C8A" w:rsidRPr="000F432A" w:rsidRDefault="00796C8A" w:rsidP="00796C8A">
      <w:pPr>
        <w:spacing w:line="276" w:lineRule="auto"/>
        <w:ind w:right="-1"/>
        <w:jc w:val="both"/>
        <w:outlineLvl w:val="0"/>
        <w:rPr>
          <w:rFonts w:eastAsiaTheme="minorEastAsia" w:cs="Arial"/>
          <w:b/>
          <w:bCs/>
        </w:rPr>
      </w:pPr>
      <w:r w:rsidRPr="000F432A">
        <w:rPr>
          <w:rFonts w:eastAsiaTheme="minorEastAsia" w:cs="Arial"/>
          <w:b/>
          <w:bCs/>
        </w:rPr>
        <w:t xml:space="preserve">Documentos por Pagar a Largo Plazo. - </w:t>
      </w:r>
      <w:r w:rsidRPr="000F432A">
        <w:rPr>
          <w:rFonts w:eastAsiaTheme="minorEastAsia" w:cs="Arial"/>
          <w:bCs/>
        </w:rPr>
        <w:t>Se integra por:</w:t>
      </w:r>
    </w:p>
    <w:p w14:paraId="3CFD7EAF" w14:textId="24BE0467" w:rsidR="0002536D" w:rsidRPr="003D515A" w:rsidRDefault="00796C8A" w:rsidP="00796C8A">
      <w:pPr>
        <w:spacing w:after="0" w:line="240" w:lineRule="auto"/>
        <w:ind w:left="502"/>
        <w:contextualSpacing/>
        <w:jc w:val="both"/>
        <w:rPr>
          <w:rFonts w:eastAsiaTheme="minorEastAsia" w:cs="Arial"/>
          <w:sz w:val="6"/>
          <w:highlight w:val="yellow"/>
        </w:rPr>
      </w:pPr>
      <w:r w:rsidRPr="00F632D9">
        <w:rPr>
          <w:rFonts w:eastAsiaTheme="minorEastAsia" w:cs="Arial"/>
          <w:b/>
          <w:bCs/>
        </w:rPr>
        <w:t>Documentos Comerciales por Pagar a Largo Plazo.-</w:t>
      </w:r>
      <w:r w:rsidRPr="00F632D9">
        <w:rPr>
          <w:rFonts w:eastAsiaTheme="minorEastAsia" w:cs="Arial"/>
        </w:rPr>
        <w:t xml:space="preserve"> El saldo de 5,635,539,983.63, corresponde al pasivo,  en los que se comprometen los ingresos presentes y futuros por concepto de Registro Público de la Propiedad (</w:t>
      </w:r>
      <w:proofErr w:type="spellStart"/>
      <w:r w:rsidRPr="00F632D9">
        <w:rPr>
          <w:rFonts w:eastAsiaTheme="minorEastAsia" w:cs="Arial"/>
        </w:rPr>
        <w:t>RPP</w:t>
      </w:r>
      <w:proofErr w:type="spellEnd"/>
      <w:r w:rsidRPr="00F632D9">
        <w:rPr>
          <w:rFonts w:eastAsiaTheme="minorEastAsia" w:cs="Arial"/>
        </w:rPr>
        <w:t xml:space="preserve">) del IFREM, de acuerdo al Decreto de Autorización No. 79 publicado en la Gaceta del Gobierno de fecha 12 de mayo del 2010; por el Fideicomiso de Cobranza con el contrato irrevocable </w:t>
      </w:r>
      <w:bookmarkStart w:id="0" w:name="_Hlk62665902"/>
      <w:r w:rsidRPr="00F632D9">
        <w:rPr>
          <w:rFonts w:eastAsiaTheme="minorEastAsia" w:cs="Arial"/>
        </w:rPr>
        <w:t xml:space="preserve">número </w:t>
      </w:r>
      <w:bookmarkEnd w:id="0"/>
      <w:r w:rsidRPr="00F632D9">
        <w:rPr>
          <w:rFonts w:eastAsiaTheme="minorEastAsia" w:cs="Arial"/>
        </w:rPr>
        <w:t xml:space="preserve">80615, de fecha 29 de julio en el ejercicio 2010; correspondiente a los Certificados Bursátiles Fiduciarios Serie A por 1,842,221,171.13 y Certificados Bursátiles Fiduciarios Serie B por 866,143,769.43, así mismo por el contrato del Fideicomiso Irrevocable número F/1426, de fecha 10 de marzo de 2011, con un saldo por pagar </w:t>
      </w:r>
      <w:r w:rsidRPr="00C7237B">
        <w:rPr>
          <w:rFonts w:eastAsiaTheme="minorEastAsia" w:cs="Arial"/>
        </w:rPr>
        <w:t>de 2,927,175,043.07.</w:t>
      </w:r>
      <w:r w:rsidRPr="00F632D9">
        <w:rPr>
          <w:rFonts w:eastAsiaTheme="minorEastAsia" w:cs="Arial"/>
        </w:rPr>
        <w:tab/>
      </w:r>
    </w:p>
    <w:p w14:paraId="0A53695B" w14:textId="77777777" w:rsidR="0002536D" w:rsidRPr="003D515A" w:rsidRDefault="0002536D" w:rsidP="0002536D">
      <w:pPr>
        <w:spacing w:after="0" w:line="240" w:lineRule="auto"/>
        <w:ind w:left="502"/>
        <w:contextualSpacing/>
        <w:jc w:val="both"/>
        <w:rPr>
          <w:rFonts w:eastAsiaTheme="minorEastAsia" w:cs="Arial"/>
          <w:sz w:val="6"/>
          <w:highlight w:val="yellow"/>
        </w:rPr>
      </w:pPr>
    </w:p>
    <w:p w14:paraId="7C464AD8" w14:textId="77777777" w:rsidR="00F21D55" w:rsidRDefault="00F21D55" w:rsidP="00F21D55"/>
    <w:p w14:paraId="2FB24A0A" w14:textId="77777777" w:rsidR="00F21D55" w:rsidRPr="00311CDE" w:rsidRDefault="00F21D55" w:rsidP="00F21D55">
      <w:pPr>
        <w:numPr>
          <w:ilvl w:val="0"/>
          <w:numId w:val="17"/>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14:paraId="65CF27FD" w14:textId="77777777" w:rsidR="00F21D55" w:rsidRPr="0096540A" w:rsidRDefault="00F21D55" w:rsidP="00F21D55">
      <w:pPr>
        <w:spacing w:before="240" w:after="240" w:line="276" w:lineRule="auto"/>
        <w:ind w:left="1068" w:right="-1"/>
        <w:contextualSpacing/>
        <w:outlineLvl w:val="0"/>
        <w:rPr>
          <w:rFonts w:eastAsia="Times New Roman" w:cs="Arial"/>
          <w:b/>
          <w:sz w:val="16"/>
          <w:lang w:eastAsia="es-MX"/>
        </w:rPr>
      </w:pPr>
    </w:p>
    <w:p w14:paraId="573E0441" w14:textId="77777777" w:rsidR="00F21D55" w:rsidRPr="00DA5FD6" w:rsidRDefault="00F21D55" w:rsidP="00F21D55">
      <w:pPr>
        <w:spacing w:line="276" w:lineRule="auto"/>
        <w:ind w:right="-1"/>
        <w:jc w:val="both"/>
        <w:outlineLvl w:val="0"/>
        <w:rPr>
          <w:rFonts w:cs="Arial"/>
          <w:b/>
        </w:rPr>
      </w:pPr>
      <w:r w:rsidRPr="00DA5FD6">
        <w:rPr>
          <w:rFonts w:cs="Arial"/>
          <w:b/>
        </w:rPr>
        <w:t>Ingresos de la Gestión:</w:t>
      </w:r>
    </w:p>
    <w:p w14:paraId="0136084F" w14:textId="77777777" w:rsidR="00F21D55" w:rsidRPr="004478F3" w:rsidRDefault="00F21D55" w:rsidP="00F21D55">
      <w:pPr>
        <w:numPr>
          <w:ilvl w:val="0"/>
          <w:numId w:val="33"/>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w:t>
      </w:r>
      <w:r w:rsidRPr="00341246">
        <w:rPr>
          <w:rFonts w:eastAsia="Times New Roman" w:cs="Arial"/>
          <w:lang w:eastAsia="es-MX"/>
        </w:rPr>
        <w:t>157</w:t>
      </w:r>
      <w:r>
        <w:rPr>
          <w:rFonts w:eastAsia="Times New Roman" w:cs="Arial"/>
          <w:lang w:eastAsia="es-MX"/>
        </w:rPr>
        <w:t>,</w:t>
      </w:r>
      <w:r w:rsidRPr="00341246">
        <w:rPr>
          <w:rFonts w:eastAsia="Times New Roman" w:cs="Arial"/>
          <w:lang w:eastAsia="es-MX"/>
        </w:rPr>
        <w:t>145</w:t>
      </w:r>
      <w:r>
        <w:rPr>
          <w:rFonts w:eastAsia="Times New Roman" w:cs="Arial"/>
          <w:lang w:eastAsia="es-MX"/>
        </w:rPr>
        <w:t>,</w:t>
      </w:r>
      <w:r w:rsidRPr="00341246">
        <w:rPr>
          <w:rFonts w:eastAsia="Times New Roman" w:cs="Arial"/>
          <w:lang w:eastAsia="es-MX"/>
        </w:rPr>
        <w:t>164</w:t>
      </w:r>
      <w:r>
        <w:rPr>
          <w:rFonts w:eastAsia="Times New Roman" w:cs="Arial"/>
          <w:lang w:eastAsia="es-MX"/>
        </w:rPr>
        <w:t xml:space="preserve">.00 </w:t>
      </w:r>
      <w:r w:rsidRPr="00093862">
        <w:rPr>
          <w:rFonts w:eastAsia="Times New Roman" w:cs="Arial"/>
          <w:lang w:eastAsia="es-MX"/>
        </w:rPr>
        <w:t>obteniendo una recaudación en los recursos del Registro Público de la Propiedad (</w:t>
      </w:r>
      <w:proofErr w:type="spellStart"/>
      <w:r w:rsidRPr="00093862">
        <w:rPr>
          <w:rFonts w:eastAsia="Times New Roman" w:cs="Arial"/>
          <w:lang w:eastAsia="es-MX"/>
        </w:rPr>
        <w:t>RPP</w:t>
      </w:r>
      <w:proofErr w:type="spellEnd"/>
      <w:r w:rsidRPr="00093862">
        <w:rPr>
          <w:rFonts w:eastAsia="Times New Roman" w:cs="Arial"/>
          <w:lang w:eastAsia="es-MX"/>
        </w:rPr>
        <w:t xml:space="preserve">) por </w:t>
      </w:r>
      <w:r w:rsidRPr="00341246">
        <w:rPr>
          <w:rFonts w:eastAsia="Times New Roman" w:cs="Arial"/>
          <w:lang w:eastAsia="es-MX"/>
        </w:rPr>
        <w:t>153</w:t>
      </w:r>
      <w:r>
        <w:rPr>
          <w:rFonts w:eastAsia="Times New Roman" w:cs="Arial"/>
          <w:lang w:eastAsia="es-MX"/>
        </w:rPr>
        <w:t>,</w:t>
      </w:r>
      <w:r w:rsidRPr="00341246">
        <w:rPr>
          <w:rFonts w:eastAsia="Times New Roman" w:cs="Arial"/>
          <w:lang w:eastAsia="es-MX"/>
        </w:rPr>
        <w:t>799</w:t>
      </w:r>
      <w:r>
        <w:rPr>
          <w:rFonts w:eastAsia="Times New Roman" w:cs="Arial"/>
          <w:lang w:eastAsia="es-MX"/>
        </w:rPr>
        <w:t>,</w:t>
      </w:r>
      <w:r w:rsidRPr="00341246">
        <w:rPr>
          <w:rFonts w:eastAsia="Times New Roman" w:cs="Arial"/>
          <w:lang w:eastAsia="es-MX"/>
        </w:rPr>
        <w:t>842</w:t>
      </w:r>
      <w:r>
        <w:rPr>
          <w:rFonts w:eastAsia="Times New Roman" w:cs="Arial"/>
          <w:lang w:eastAsia="es-MX"/>
        </w:rPr>
        <w:t xml:space="preserve">.00 </w:t>
      </w:r>
      <w:r w:rsidRPr="00093862">
        <w:rPr>
          <w:rFonts w:eastAsia="Times New Roman" w:cs="Arial"/>
          <w:lang w:eastAsia="es-MX"/>
        </w:rPr>
        <w:t>y los recursos del Registro Público del Comercio (</w:t>
      </w:r>
      <w:proofErr w:type="spellStart"/>
      <w:r w:rsidRPr="00093862">
        <w:rPr>
          <w:rFonts w:eastAsia="Times New Roman" w:cs="Arial"/>
          <w:lang w:eastAsia="es-MX"/>
        </w:rPr>
        <w:t>RPC</w:t>
      </w:r>
      <w:proofErr w:type="spellEnd"/>
      <w:r w:rsidRPr="00093862">
        <w:rPr>
          <w:rFonts w:eastAsia="Times New Roman" w:cs="Arial"/>
          <w:lang w:eastAsia="es-MX"/>
        </w:rPr>
        <w:t xml:space="preserve">) por </w:t>
      </w:r>
      <w:r w:rsidRPr="00341246">
        <w:rPr>
          <w:rFonts w:eastAsia="Times New Roman" w:cs="Arial"/>
          <w:lang w:eastAsia="es-MX"/>
        </w:rPr>
        <w:t>3</w:t>
      </w:r>
      <w:r>
        <w:rPr>
          <w:rFonts w:eastAsia="Times New Roman" w:cs="Arial"/>
          <w:lang w:eastAsia="es-MX"/>
        </w:rPr>
        <w:t>,</w:t>
      </w:r>
      <w:r w:rsidRPr="00341246">
        <w:rPr>
          <w:rFonts w:eastAsia="Times New Roman" w:cs="Arial"/>
          <w:lang w:eastAsia="es-MX"/>
        </w:rPr>
        <w:t>345</w:t>
      </w:r>
      <w:r>
        <w:rPr>
          <w:rFonts w:eastAsia="Times New Roman" w:cs="Arial"/>
          <w:lang w:eastAsia="es-MX"/>
        </w:rPr>
        <w:t>,</w:t>
      </w:r>
      <w:r w:rsidRPr="00341246">
        <w:rPr>
          <w:rFonts w:eastAsia="Times New Roman" w:cs="Arial"/>
          <w:lang w:eastAsia="es-MX"/>
        </w:rPr>
        <w:t>322</w:t>
      </w:r>
      <w:r w:rsidRPr="00BA2EDE">
        <w:rPr>
          <w:rFonts w:eastAsia="Times New Roman" w:cs="Arial"/>
          <w:lang w:eastAsia="es-MX"/>
        </w:rPr>
        <w:t>.00</w:t>
      </w:r>
      <w:r w:rsidRPr="00093862">
        <w:rPr>
          <w:rFonts w:eastAsia="Times New Roman" w:cs="Arial"/>
          <w:lang w:eastAsia="es-MX"/>
        </w:rPr>
        <w:t xml:space="preserve">. Al mes se lleva un total acumulado por </w:t>
      </w:r>
      <w:r w:rsidRPr="00EC36F0">
        <w:rPr>
          <w:rFonts w:eastAsia="Times New Roman" w:cs="Arial"/>
          <w:lang w:eastAsia="es-MX"/>
        </w:rPr>
        <w:t>753</w:t>
      </w:r>
      <w:proofErr w:type="gramStart"/>
      <w:r>
        <w:rPr>
          <w:rFonts w:eastAsia="Times New Roman" w:cs="Arial"/>
          <w:lang w:eastAsia="es-MX"/>
        </w:rPr>
        <w:t>,</w:t>
      </w:r>
      <w:r w:rsidRPr="00EC36F0">
        <w:rPr>
          <w:rFonts w:eastAsia="Times New Roman" w:cs="Arial"/>
          <w:lang w:eastAsia="es-MX"/>
        </w:rPr>
        <w:t>947</w:t>
      </w:r>
      <w:r>
        <w:rPr>
          <w:rFonts w:eastAsia="Times New Roman" w:cs="Arial"/>
          <w:lang w:eastAsia="es-MX"/>
        </w:rPr>
        <w:t>,</w:t>
      </w:r>
      <w:r w:rsidRPr="00EC36F0">
        <w:rPr>
          <w:rFonts w:eastAsia="Times New Roman" w:cs="Arial"/>
          <w:lang w:eastAsia="es-MX"/>
        </w:rPr>
        <w:t>663</w:t>
      </w:r>
      <w:r>
        <w:rPr>
          <w:rFonts w:eastAsia="Times New Roman" w:cs="Arial"/>
          <w:lang w:eastAsia="es-MX"/>
        </w:rPr>
        <w:t>.00</w:t>
      </w:r>
      <w:proofErr w:type="gramEnd"/>
      <w:r w:rsidRPr="00093862">
        <w:rPr>
          <w:rFonts w:eastAsia="Times New Roman" w:cs="Arial"/>
          <w:lang w:eastAsia="es-MX"/>
        </w:rPr>
        <w:t>.</w:t>
      </w:r>
    </w:p>
    <w:p w14:paraId="10E9783F" w14:textId="77777777" w:rsidR="00F21D55" w:rsidRDefault="00F21D55" w:rsidP="00F21D55">
      <w:pPr>
        <w:spacing w:after="0" w:line="276" w:lineRule="auto"/>
        <w:ind w:left="644" w:right="-1"/>
        <w:contextualSpacing/>
        <w:jc w:val="both"/>
        <w:rPr>
          <w:rFonts w:eastAsia="Times New Roman" w:cs="Arial"/>
          <w:b/>
          <w:lang w:eastAsia="es-MX"/>
        </w:rPr>
      </w:pPr>
    </w:p>
    <w:p w14:paraId="67B6CF8B" w14:textId="77777777" w:rsidR="00F21D55" w:rsidRPr="004478F3" w:rsidRDefault="00F21D55" w:rsidP="00F21D55">
      <w:pPr>
        <w:spacing w:after="0" w:line="276" w:lineRule="auto"/>
        <w:ind w:left="644" w:right="-1"/>
        <w:contextualSpacing/>
        <w:jc w:val="both"/>
        <w:rPr>
          <w:rFonts w:eastAsia="Times New Roman" w:cs="Arial"/>
          <w:b/>
          <w:lang w:eastAsia="es-MX"/>
        </w:rPr>
      </w:pPr>
    </w:p>
    <w:p w14:paraId="6B44F7D9" w14:textId="77777777" w:rsidR="00F21D55" w:rsidRPr="004478F3" w:rsidRDefault="00F21D55" w:rsidP="00F21D55">
      <w:pPr>
        <w:numPr>
          <w:ilvl w:val="0"/>
          <w:numId w:val="33"/>
        </w:numPr>
        <w:spacing w:after="0" w:line="276" w:lineRule="auto"/>
        <w:ind w:right="-1"/>
        <w:contextualSpacing/>
        <w:jc w:val="both"/>
        <w:rPr>
          <w:rFonts w:eastAsia="Times New Roman" w:cs="Arial"/>
          <w:lang w:eastAsia="es-MX"/>
        </w:rPr>
      </w:pPr>
      <w:r w:rsidRPr="004478F3">
        <w:rPr>
          <w:rFonts w:eastAsia="Times New Roman" w:cs="Arial"/>
          <w:b/>
          <w:lang w:eastAsia="es-MX"/>
        </w:rPr>
        <w:t>Participaciones, Aportaciones, Convenios, Incentivos Derivados de la Colaboración Fiscal, Fondos Distintos de Aportaciones, Transferencias, Asignaciones, Subsidios y Subvenciones, y Pensiones y Jubilaciones.</w:t>
      </w:r>
      <w:r>
        <w:rPr>
          <w:rFonts w:eastAsia="Times New Roman" w:cs="Arial"/>
          <w:b/>
          <w:lang w:eastAsia="es-MX"/>
        </w:rPr>
        <w:t xml:space="preserve"> </w:t>
      </w:r>
      <w:r w:rsidRPr="004478F3">
        <w:rPr>
          <w:rFonts w:eastAsia="Times New Roman" w:cs="Arial"/>
          <w:lang w:eastAsia="es-MX"/>
        </w:rPr>
        <w:t xml:space="preserve">El </w:t>
      </w:r>
      <w:r>
        <w:rPr>
          <w:rFonts w:eastAsia="Times New Roman" w:cs="Arial"/>
          <w:lang w:eastAsia="es-MX"/>
        </w:rPr>
        <w:t xml:space="preserve">saldo de </w:t>
      </w:r>
      <w:r w:rsidRPr="00453CDF">
        <w:rPr>
          <w:rFonts w:eastAsia="Times New Roman" w:cs="Arial"/>
          <w:lang w:eastAsia="es-MX"/>
        </w:rPr>
        <w:t>3</w:t>
      </w:r>
      <w:proofErr w:type="gramStart"/>
      <w:r>
        <w:rPr>
          <w:rFonts w:eastAsia="Times New Roman" w:cs="Arial"/>
          <w:lang w:eastAsia="es-MX"/>
        </w:rPr>
        <w:t>,</w:t>
      </w:r>
      <w:r w:rsidRPr="00453CDF">
        <w:rPr>
          <w:rFonts w:eastAsia="Times New Roman" w:cs="Arial"/>
          <w:lang w:eastAsia="es-MX"/>
        </w:rPr>
        <w:t>709</w:t>
      </w:r>
      <w:r>
        <w:rPr>
          <w:rFonts w:eastAsia="Times New Roman" w:cs="Arial"/>
          <w:lang w:eastAsia="es-MX"/>
        </w:rPr>
        <w:t>,</w:t>
      </w:r>
      <w:r w:rsidRPr="00453CDF">
        <w:rPr>
          <w:rFonts w:eastAsia="Times New Roman" w:cs="Arial"/>
          <w:lang w:eastAsia="es-MX"/>
        </w:rPr>
        <w:t>378.27</w:t>
      </w:r>
      <w:proofErr w:type="gramEnd"/>
      <w:r>
        <w:rPr>
          <w:rFonts w:eastAsia="Times New Roman" w:cs="Arial"/>
          <w:lang w:eastAsia="es-MX"/>
        </w:rPr>
        <w:t xml:space="preserve"> corresponde a suficiencia de recursos para Ministración para Programa de Acciones para el Desarrollo (PAD). </w:t>
      </w:r>
      <w:r w:rsidRPr="00093862">
        <w:rPr>
          <w:rFonts w:eastAsia="Times New Roman" w:cs="Arial"/>
          <w:lang w:eastAsia="es-MX"/>
        </w:rPr>
        <w:t xml:space="preserve">Al mes se lleva un total acumulado por </w:t>
      </w:r>
      <w:r w:rsidRPr="00453CDF">
        <w:rPr>
          <w:rFonts w:eastAsia="Times New Roman" w:cs="Arial"/>
          <w:lang w:eastAsia="es-MX"/>
        </w:rPr>
        <w:t>105</w:t>
      </w:r>
      <w:proofErr w:type="gramStart"/>
      <w:r>
        <w:rPr>
          <w:rFonts w:eastAsia="Times New Roman" w:cs="Arial"/>
          <w:lang w:eastAsia="es-MX"/>
        </w:rPr>
        <w:t>,</w:t>
      </w:r>
      <w:r w:rsidRPr="00453CDF">
        <w:rPr>
          <w:rFonts w:eastAsia="Times New Roman" w:cs="Arial"/>
          <w:lang w:eastAsia="es-MX"/>
        </w:rPr>
        <w:t>640</w:t>
      </w:r>
      <w:r>
        <w:rPr>
          <w:rFonts w:eastAsia="Times New Roman" w:cs="Arial"/>
          <w:lang w:eastAsia="es-MX"/>
        </w:rPr>
        <w:t>,</w:t>
      </w:r>
      <w:r w:rsidRPr="00453CDF">
        <w:rPr>
          <w:rFonts w:eastAsia="Times New Roman" w:cs="Arial"/>
          <w:lang w:eastAsia="es-MX"/>
        </w:rPr>
        <w:t>274.32</w:t>
      </w:r>
      <w:proofErr w:type="gramEnd"/>
      <w:r>
        <w:rPr>
          <w:rFonts w:eastAsia="Times New Roman" w:cs="Arial"/>
          <w:lang w:eastAsia="es-MX"/>
        </w:rPr>
        <w:t>.</w:t>
      </w:r>
    </w:p>
    <w:p w14:paraId="4FE53B03" w14:textId="77777777" w:rsidR="00F21D55" w:rsidRPr="0096540A" w:rsidRDefault="00F21D55" w:rsidP="00F21D55">
      <w:pPr>
        <w:spacing w:after="0" w:line="276" w:lineRule="auto"/>
        <w:ind w:right="-1"/>
        <w:jc w:val="both"/>
        <w:rPr>
          <w:rFonts w:cs="Arial"/>
          <w:sz w:val="16"/>
        </w:rPr>
      </w:pPr>
    </w:p>
    <w:p w14:paraId="2815D39C" w14:textId="77777777" w:rsidR="00F21D55" w:rsidRPr="0096540A" w:rsidRDefault="00F21D55" w:rsidP="00F21D55">
      <w:pPr>
        <w:spacing w:after="0" w:line="276" w:lineRule="auto"/>
        <w:ind w:right="-1"/>
        <w:contextualSpacing/>
        <w:jc w:val="both"/>
        <w:rPr>
          <w:rFonts w:eastAsia="Times New Roman" w:cs="Arial"/>
          <w:sz w:val="14"/>
          <w:szCs w:val="24"/>
          <w:lang w:eastAsia="es-MX"/>
        </w:rPr>
      </w:pPr>
    </w:p>
    <w:p w14:paraId="6863C243" w14:textId="77777777" w:rsidR="00F21D55" w:rsidRPr="000A636B" w:rsidRDefault="00F21D55" w:rsidP="00F21D55">
      <w:pPr>
        <w:pStyle w:val="Prrafodelista"/>
        <w:numPr>
          <w:ilvl w:val="0"/>
          <w:numId w:val="33"/>
        </w:numPr>
        <w:rPr>
          <w:rFonts w:ascii="HelveticaNeueLT Std" w:hAnsi="HelveticaNeueLT Std" w:cs="Arial"/>
          <w:sz w:val="20"/>
          <w:szCs w:val="20"/>
        </w:rPr>
      </w:pPr>
      <w:r w:rsidRPr="008D248E">
        <w:rPr>
          <w:rFonts w:ascii="HelveticaNeueLT Std" w:hAnsi="HelveticaNeueLT Std" w:cs="Arial"/>
          <w:b/>
          <w:sz w:val="20"/>
          <w:szCs w:val="20"/>
        </w:rPr>
        <w:t>Otros Ingresos y Beneficios</w:t>
      </w:r>
      <w:r w:rsidRPr="000A636B">
        <w:rPr>
          <w:rFonts w:cs="Arial"/>
          <w:b/>
        </w:rPr>
        <w:t>:</w:t>
      </w:r>
      <w:r w:rsidRPr="000A636B">
        <w:rPr>
          <w:rFonts w:cs="Arial"/>
        </w:rPr>
        <w:t xml:space="preserve"> </w:t>
      </w:r>
      <w:r w:rsidRPr="000A636B">
        <w:rPr>
          <w:rFonts w:ascii="HelveticaNeueLT Std" w:hAnsi="HelveticaNeueLT Std" w:cs="Arial"/>
          <w:sz w:val="20"/>
          <w:szCs w:val="20"/>
        </w:rPr>
        <w:t xml:space="preserve">En el mes que se observa un monto de </w:t>
      </w:r>
      <w:r w:rsidRPr="00453CDF">
        <w:rPr>
          <w:rFonts w:ascii="HelveticaNeueLT Std" w:hAnsi="HelveticaNeueLT Std" w:cs="Arial"/>
          <w:sz w:val="20"/>
          <w:szCs w:val="20"/>
        </w:rPr>
        <w:t>1</w:t>
      </w:r>
      <w:r>
        <w:rPr>
          <w:rFonts w:ascii="HelveticaNeueLT Std" w:hAnsi="HelveticaNeueLT Std" w:cs="Arial"/>
          <w:sz w:val="20"/>
          <w:szCs w:val="20"/>
        </w:rPr>
        <w:t>,</w:t>
      </w:r>
      <w:r w:rsidRPr="00453CDF">
        <w:rPr>
          <w:rFonts w:ascii="HelveticaNeueLT Std" w:hAnsi="HelveticaNeueLT Std" w:cs="Arial"/>
          <w:sz w:val="20"/>
          <w:szCs w:val="20"/>
        </w:rPr>
        <w:t>068</w:t>
      </w:r>
      <w:r>
        <w:rPr>
          <w:rFonts w:ascii="HelveticaNeueLT Std" w:hAnsi="HelveticaNeueLT Std" w:cs="Arial"/>
          <w:sz w:val="20"/>
          <w:szCs w:val="20"/>
        </w:rPr>
        <w:t>,</w:t>
      </w:r>
      <w:r w:rsidRPr="00453CDF">
        <w:rPr>
          <w:rFonts w:ascii="HelveticaNeueLT Std" w:hAnsi="HelveticaNeueLT Std" w:cs="Arial"/>
          <w:sz w:val="20"/>
          <w:szCs w:val="20"/>
        </w:rPr>
        <w:t>597.38</w:t>
      </w:r>
      <w:r w:rsidRPr="000A636B">
        <w:rPr>
          <w:rFonts w:ascii="HelveticaNeueLT Std" w:hAnsi="HelveticaNeueLT Std" w:cs="Arial"/>
          <w:sz w:val="20"/>
          <w:szCs w:val="20"/>
        </w:rPr>
        <w:t xml:space="preserve">, al mes se tiene un acumulado por </w:t>
      </w:r>
      <w:r w:rsidRPr="00453CDF">
        <w:rPr>
          <w:rFonts w:ascii="HelveticaNeueLT Std" w:hAnsi="HelveticaNeueLT Std" w:cs="Arial"/>
          <w:sz w:val="20"/>
          <w:szCs w:val="20"/>
        </w:rPr>
        <w:t>231</w:t>
      </w:r>
      <w:r>
        <w:rPr>
          <w:rFonts w:ascii="HelveticaNeueLT Std" w:hAnsi="HelveticaNeueLT Std" w:cs="Arial"/>
          <w:sz w:val="20"/>
          <w:szCs w:val="20"/>
        </w:rPr>
        <w:t>,</w:t>
      </w:r>
      <w:r w:rsidRPr="00453CDF">
        <w:rPr>
          <w:rFonts w:ascii="HelveticaNeueLT Std" w:hAnsi="HelveticaNeueLT Std" w:cs="Arial"/>
          <w:sz w:val="20"/>
          <w:szCs w:val="20"/>
        </w:rPr>
        <w:t>998</w:t>
      </w:r>
      <w:r>
        <w:rPr>
          <w:rFonts w:ascii="HelveticaNeueLT Std" w:hAnsi="HelveticaNeueLT Std" w:cs="Arial"/>
          <w:sz w:val="20"/>
          <w:szCs w:val="20"/>
        </w:rPr>
        <w:t>,</w:t>
      </w:r>
      <w:r w:rsidRPr="00453CDF">
        <w:rPr>
          <w:rFonts w:ascii="HelveticaNeueLT Std" w:hAnsi="HelveticaNeueLT Std" w:cs="Arial"/>
          <w:sz w:val="20"/>
          <w:szCs w:val="20"/>
        </w:rPr>
        <w:t>218.64</w:t>
      </w:r>
      <w:r w:rsidRPr="000A636B">
        <w:rPr>
          <w:rFonts w:ascii="HelveticaNeueLT Std" w:hAnsi="HelveticaNeueLT Std" w:cs="Arial"/>
          <w:sz w:val="20"/>
          <w:szCs w:val="20"/>
        </w:rPr>
        <w:t>, que corresponden a:</w:t>
      </w:r>
    </w:p>
    <w:p w14:paraId="56208631" w14:textId="77777777" w:rsidR="00F21D55" w:rsidRPr="0096540A" w:rsidRDefault="00F21D55" w:rsidP="00F21D55">
      <w:pPr>
        <w:spacing w:after="0" w:line="276" w:lineRule="auto"/>
        <w:ind w:right="-1"/>
        <w:jc w:val="both"/>
        <w:rPr>
          <w:rFonts w:cs="Arial"/>
          <w:sz w:val="16"/>
        </w:rPr>
      </w:pPr>
    </w:p>
    <w:p w14:paraId="38C8D753" w14:textId="77777777" w:rsidR="00F21D55" w:rsidRDefault="00F21D55" w:rsidP="00F21D55">
      <w:pPr>
        <w:spacing w:line="276" w:lineRule="auto"/>
        <w:ind w:left="644" w:right="-1"/>
        <w:jc w:val="both"/>
        <w:outlineLvl w:val="0"/>
        <w:rPr>
          <w:rFonts w:cs="Arial"/>
        </w:rPr>
      </w:pPr>
      <w:r w:rsidRPr="00036CAD">
        <w:rPr>
          <w:rFonts w:cs="Arial"/>
          <w:b/>
        </w:rPr>
        <w:t>Ingresos Financieros</w:t>
      </w:r>
      <w:r w:rsidRPr="00036CAD">
        <w:rPr>
          <w:rFonts w:cs="Arial"/>
        </w:rPr>
        <w:t xml:space="preserve">. - </w:t>
      </w:r>
      <w:r w:rsidRPr="002F08C3">
        <w:rPr>
          <w:rFonts w:cs="Arial"/>
        </w:rPr>
        <w:t xml:space="preserve">Se observa en el mes un saldo de </w:t>
      </w:r>
      <w:r w:rsidRPr="0069599F">
        <w:rPr>
          <w:rFonts w:cs="Arial"/>
        </w:rPr>
        <w:t>905</w:t>
      </w:r>
      <w:r>
        <w:rPr>
          <w:rFonts w:cs="Arial"/>
        </w:rPr>
        <w:t>,</w:t>
      </w:r>
      <w:r w:rsidRPr="0069599F">
        <w:rPr>
          <w:rFonts w:cs="Arial"/>
        </w:rPr>
        <w:t>859.49</w:t>
      </w:r>
      <w:r w:rsidRPr="002F08C3">
        <w:rPr>
          <w:rFonts w:cs="Arial"/>
        </w:rPr>
        <w:t xml:space="preserve">, que corresponden a los intereses de las cuentas bancarias productivas y las cuentas de inversión del Instituto. Al mes se tiene un acumulado por </w:t>
      </w:r>
      <w:r w:rsidRPr="0069599F">
        <w:rPr>
          <w:rFonts w:cs="Arial"/>
        </w:rPr>
        <w:t>231</w:t>
      </w:r>
      <w:proofErr w:type="gramStart"/>
      <w:r>
        <w:rPr>
          <w:rFonts w:cs="Arial"/>
        </w:rPr>
        <w:t>,</w:t>
      </w:r>
      <w:r w:rsidRPr="0069599F">
        <w:rPr>
          <w:rFonts w:cs="Arial"/>
        </w:rPr>
        <w:t>761</w:t>
      </w:r>
      <w:r>
        <w:rPr>
          <w:rFonts w:cs="Arial"/>
        </w:rPr>
        <w:t>,</w:t>
      </w:r>
      <w:r w:rsidRPr="0069599F">
        <w:rPr>
          <w:rFonts w:cs="Arial"/>
        </w:rPr>
        <w:t>362.36</w:t>
      </w:r>
      <w:proofErr w:type="gramEnd"/>
      <w:r w:rsidRPr="002F08C3">
        <w:rPr>
          <w:rFonts w:cs="Arial"/>
        </w:rPr>
        <w:t>.</w:t>
      </w:r>
    </w:p>
    <w:p w14:paraId="0BF9569C" w14:textId="77777777" w:rsidR="00F21D55" w:rsidRDefault="00F21D55" w:rsidP="00F21D55">
      <w:pPr>
        <w:spacing w:line="276" w:lineRule="auto"/>
        <w:ind w:left="644" w:right="-1"/>
        <w:jc w:val="both"/>
        <w:outlineLvl w:val="0"/>
        <w:rPr>
          <w:rFonts w:cs="Arial"/>
        </w:rPr>
      </w:pPr>
      <w:r w:rsidRPr="00D16623">
        <w:rPr>
          <w:rFonts w:cs="Arial"/>
          <w:b/>
        </w:rPr>
        <w:lastRenderedPageBreak/>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sidRPr="0069599F">
        <w:rPr>
          <w:rFonts w:cs="Arial"/>
        </w:rPr>
        <w:t>162</w:t>
      </w:r>
      <w:r>
        <w:rPr>
          <w:rFonts w:cs="Arial"/>
        </w:rPr>
        <w:t>,</w:t>
      </w:r>
      <w:r w:rsidRPr="0069599F">
        <w:rPr>
          <w:rFonts w:cs="Arial"/>
        </w:rPr>
        <w:t>737.89</w:t>
      </w:r>
      <w:r>
        <w:rPr>
          <w:rFonts w:cs="Arial"/>
        </w:rPr>
        <w:t xml:space="preserve"> correspondiente a </w:t>
      </w:r>
      <w:r w:rsidRPr="0069599F">
        <w:rPr>
          <w:rFonts w:cs="Arial"/>
        </w:rPr>
        <w:t>Venta de Bases p</w:t>
      </w:r>
      <w:r>
        <w:rPr>
          <w:rFonts w:cs="Arial"/>
        </w:rPr>
        <w:t>a</w:t>
      </w:r>
      <w:r w:rsidRPr="0069599F">
        <w:rPr>
          <w:rFonts w:cs="Arial"/>
        </w:rPr>
        <w:t>ra Concurso</w:t>
      </w:r>
      <w:r>
        <w:rPr>
          <w:rFonts w:cs="Arial"/>
        </w:rPr>
        <w:t xml:space="preserve"> por </w:t>
      </w:r>
      <w:r w:rsidRPr="0069599F">
        <w:rPr>
          <w:rFonts w:cs="Arial"/>
        </w:rPr>
        <w:t>12</w:t>
      </w:r>
      <w:r>
        <w:rPr>
          <w:rFonts w:cs="Arial"/>
        </w:rPr>
        <w:t>,</w:t>
      </w:r>
      <w:r w:rsidRPr="0069599F">
        <w:rPr>
          <w:rFonts w:cs="Arial"/>
        </w:rPr>
        <w:t>143</w:t>
      </w:r>
      <w:r>
        <w:rPr>
          <w:rFonts w:cs="Arial"/>
        </w:rPr>
        <w:t xml:space="preserve">.00, Llamadas Telefónicas no Oficiales por </w:t>
      </w:r>
      <w:r w:rsidRPr="0069599F">
        <w:rPr>
          <w:rFonts w:cs="Arial"/>
        </w:rPr>
        <w:t>105.85</w:t>
      </w:r>
      <w:r>
        <w:rPr>
          <w:rFonts w:cs="Arial"/>
        </w:rPr>
        <w:t xml:space="preserve">, </w:t>
      </w:r>
      <w:r w:rsidRPr="00EE1650">
        <w:rPr>
          <w:rFonts w:cs="Arial"/>
        </w:rPr>
        <w:t>Cancelación de Cuentas por Pagar</w:t>
      </w:r>
      <w:r>
        <w:rPr>
          <w:rFonts w:cs="Arial"/>
        </w:rPr>
        <w:t xml:space="preserve"> por </w:t>
      </w:r>
      <w:r w:rsidRPr="00EE1650">
        <w:rPr>
          <w:rFonts w:cs="Arial"/>
        </w:rPr>
        <w:t>138</w:t>
      </w:r>
      <w:r>
        <w:rPr>
          <w:rFonts w:cs="Arial"/>
        </w:rPr>
        <w:t>,</w:t>
      </w:r>
      <w:r w:rsidRPr="00EE1650">
        <w:rPr>
          <w:rFonts w:cs="Arial"/>
        </w:rPr>
        <w:t>992.92</w:t>
      </w:r>
      <w:r>
        <w:rPr>
          <w:rFonts w:cs="Arial"/>
        </w:rPr>
        <w:t xml:space="preserve"> </w:t>
      </w:r>
      <w:r w:rsidRPr="005054A8">
        <w:rPr>
          <w:rFonts w:cs="Arial"/>
        </w:rPr>
        <w:t xml:space="preserve">Aprovechamientos por </w:t>
      </w:r>
      <w:r>
        <w:rPr>
          <w:rFonts w:cs="Arial"/>
        </w:rPr>
        <w:t>S</w:t>
      </w:r>
      <w:r w:rsidRPr="005054A8">
        <w:rPr>
          <w:rFonts w:cs="Arial"/>
        </w:rPr>
        <w:t xml:space="preserve">anción o </w:t>
      </w:r>
      <w:r>
        <w:rPr>
          <w:rFonts w:cs="Arial"/>
        </w:rPr>
        <w:t>I</w:t>
      </w:r>
      <w:r w:rsidRPr="005054A8">
        <w:rPr>
          <w:rFonts w:cs="Arial"/>
        </w:rPr>
        <w:t>ncumplimiento</w:t>
      </w:r>
      <w:r>
        <w:rPr>
          <w:rFonts w:cs="Arial"/>
        </w:rPr>
        <w:t xml:space="preserve"> por </w:t>
      </w:r>
      <w:r w:rsidRPr="00EE1650">
        <w:rPr>
          <w:rFonts w:cs="Arial"/>
        </w:rPr>
        <w:t>1</w:t>
      </w:r>
      <w:r>
        <w:rPr>
          <w:rFonts w:cs="Arial"/>
        </w:rPr>
        <w:t>,</w:t>
      </w:r>
      <w:r w:rsidRPr="00EE1650">
        <w:rPr>
          <w:rFonts w:cs="Arial"/>
        </w:rPr>
        <w:t>315.16</w:t>
      </w:r>
      <w:r>
        <w:rPr>
          <w:rFonts w:cs="Arial"/>
        </w:rPr>
        <w:t xml:space="preserve">, Depósitos en efectivo no referenciado por </w:t>
      </w:r>
      <w:r w:rsidRPr="00EE1650">
        <w:rPr>
          <w:rFonts w:cs="Arial"/>
        </w:rPr>
        <w:t>3</w:t>
      </w:r>
      <w:r>
        <w:rPr>
          <w:rFonts w:cs="Arial"/>
        </w:rPr>
        <w:t>,</w:t>
      </w:r>
      <w:r w:rsidRPr="00EE1650">
        <w:rPr>
          <w:rFonts w:cs="Arial"/>
        </w:rPr>
        <w:t>360</w:t>
      </w:r>
      <w:r>
        <w:rPr>
          <w:rFonts w:cs="Arial"/>
        </w:rPr>
        <w:t xml:space="preserve">.00, Otros ingresos varios por .08, Rendimientos de la remesa de los ingresos por </w:t>
      </w:r>
      <w:proofErr w:type="spellStart"/>
      <w:r>
        <w:rPr>
          <w:rFonts w:cs="Arial"/>
        </w:rPr>
        <w:t>RPC</w:t>
      </w:r>
      <w:proofErr w:type="spellEnd"/>
      <w:r>
        <w:rPr>
          <w:rFonts w:cs="Arial"/>
        </w:rPr>
        <w:t xml:space="preserve"> por </w:t>
      </w:r>
      <w:r w:rsidRPr="00EE1650">
        <w:rPr>
          <w:rFonts w:cs="Arial"/>
        </w:rPr>
        <w:t>6</w:t>
      </w:r>
      <w:r>
        <w:rPr>
          <w:rFonts w:cs="Arial"/>
        </w:rPr>
        <w:t>,</w:t>
      </w:r>
      <w:r w:rsidRPr="00EE1650">
        <w:rPr>
          <w:rFonts w:cs="Arial"/>
        </w:rPr>
        <w:t>820.88</w:t>
      </w:r>
      <w:r>
        <w:rPr>
          <w:rFonts w:cs="Arial"/>
        </w:rPr>
        <w:t>.</w:t>
      </w:r>
      <w:r w:rsidRPr="007C7CED">
        <w:rPr>
          <w:rFonts w:cs="Arial"/>
        </w:rPr>
        <w:t xml:space="preserve"> </w:t>
      </w:r>
      <w:r w:rsidRPr="00DA5FD6">
        <w:rPr>
          <w:rFonts w:cs="Arial"/>
        </w:rPr>
        <w:t>Presenta un saldo acumulado</w:t>
      </w:r>
      <w:r>
        <w:rPr>
          <w:rFonts w:cs="Arial"/>
        </w:rPr>
        <w:t xml:space="preserve"> al mes</w:t>
      </w:r>
      <w:r w:rsidRPr="00DA5FD6">
        <w:rPr>
          <w:rFonts w:cs="Arial"/>
        </w:rPr>
        <w:t xml:space="preserve"> </w:t>
      </w:r>
      <w:r>
        <w:rPr>
          <w:rFonts w:cs="Arial"/>
        </w:rPr>
        <w:t xml:space="preserve">por </w:t>
      </w:r>
      <w:r w:rsidRPr="00EE1650">
        <w:rPr>
          <w:rFonts w:cs="Arial"/>
        </w:rPr>
        <w:t>236</w:t>
      </w:r>
      <w:r>
        <w:rPr>
          <w:rFonts w:cs="Arial"/>
        </w:rPr>
        <w:t>,</w:t>
      </w:r>
      <w:r w:rsidRPr="00EE1650">
        <w:rPr>
          <w:rFonts w:cs="Arial"/>
        </w:rPr>
        <w:t>856.28</w:t>
      </w:r>
      <w:r>
        <w:rPr>
          <w:rFonts w:cs="Arial"/>
        </w:rPr>
        <w:t>.</w:t>
      </w:r>
    </w:p>
    <w:p w14:paraId="76E6F34B" w14:textId="77777777" w:rsidR="00F21D55" w:rsidRDefault="00F21D55" w:rsidP="00F21D55">
      <w:pPr>
        <w:spacing w:line="276" w:lineRule="auto"/>
        <w:ind w:right="-1"/>
        <w:jc w:val="both"/>
        <w:outlineLvl w:val="0"/>
        <w:rPr>
          <w:rFonts w:cs="Arial"/>
          <w:b/>
        </w:rPr>
      </w:pPr>
      <w:r w:rsidRPr="00543156">
        <w:rPr>
          <w:rFonts w:cs="Arial"/>
          <w:b/>
        </w:rPr>
        <w:t>Gastos y Otras Pérdidas:</w:t>
      </w:r>
      <w:r>
        <w:rPr>
          <w:rFonts w:cs="Arial"/>
          <w:b/>
        </w:rPr>
        <w:t xml:space="preserve"> </w:t>
      </w:r>
    </w:p>
    <w:p w14:paraId="15107DB5" w14:textId="77777777" w:rsidR="00F21D55" w:rsidRPr="0095546C" w:rsidRDefault="00F21D55" w:rsidP="007C0E6F">
      <w:pPr>
        <w:pStyle w:val="Prrafodelista"/>
        <w:numPr>
          <w:ilvl w:val="0"/>
          <w:numId w:val="38"/>
        </w:numPr>
        <w:rPr>
          <w:rFonts w:cs="Arial"/>
        </w:rPr>
      </w:pPr>
      <w:r w:rsidRPr="00594439">
        <w:rPr>
          <w:rFonts w:ascii="HelveticaNeueLT Std" w:eastAsiaTheme="minorHAnsi" w:hAnsi="HelveticaNeueLT Std" w:cs="Arial"/>
          <w:b/>
          <w:sz w:val="20"/>
          <w:szCs w:val="20"/>
          <w:lang w:eastAsia="en-US"/>
        </w:rPr>
        <w:t>Gastos de Funcionamiento</w:t>
      </w:r>
      <w:r w:rsidRPr="00594439">
        <w:rPr>
          <w:rFonts w:cs="Arial"/>
        </w:rPr>
        <w:t xml:space="preserve">. - </w:t>
      </w:r>
      <w:r w:rsidRPr="00594439">
        <w:rPr>
          <w:rFonts w:ascii="HelveticaNeueLT Std" w:eastAsiaTheme="minorHAnsi" w:hAnsi="HelveticaNeueLT Std" w:cs="Arial"/>
          <w:sz w:val="20"/>
          <w:szCs w:val="20"/>
          <w:lang w:eastAsia="en-US"/>
        </w:rPr>
        <w:t xml:space="preserve">Para la operación del Instituto, se han erogado en este mes la cantidad de </w:t>
      </w:r>
      <w:r w:rsidRPr="00790EC5">
        <w:rPr>
          <w:rFonts w:ascii="HelveticaNeueLT Std" w:eastAsiaTheme="minorHAnsi" w:hAnsi="HelveticaNeueLT Std" w:cs="Arial"/>
          <w:sz w:val="20"/>
          <w:szCs w:val="20"/>
          <w:lang w:eastAsia="en-US"/>
        </w:rPr>
        <w:t>18</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381</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010.59</w:t>
      </w:r>
      <w:r w:rsidRPr="00594439">
        <w:rPr>
          <w:rFonts w:ascii="HelveticaNeueLT Std" w:eastAsiaTheme="minorHAnsi" w:hAnsi="HelveticaNeueLT Std" w:cs="Arial"/>
          <w:sz w:val="20"/>
          <w:szCs w:val="20"/>
          <w:lang w:eastAsia="en-US"/>
        </w:rPr>
        <w:t xml:space="preserve">, integrados principalmente por: “Servicios Personales” (pagos de la nómina y sus colaterales) con un importe de </w:t>
      </w:r>
      <w:r w:rsidRPr="00790EC5">
        <w:rPr>
          <w:rFonts w:ascii="HelveticaNeueLT Std" w:eastAsiaTheme="minorHAnsi" w:hAnsi="HelveticaNeueLT Std" w:cs="Arial"/>
          <w:sz w:val="20"/>
          <w:szCs w:val="20"/>
          <w:lang w:eastAsia="en-US"/>
        </w:rPr>
        <w:t>11</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732</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346.38</w:t>
      </w:r>
      <w:r w:rsidRPr="00594439">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63.83</w:t>
      </w:r>
      <w:r w:rsidRPr="00594439">
        <w:rPr>
          <w:rFonts w:ascii="HelveticaNeueLT Std" w:eastAsiaTheme="minorHAnsi" w:hAnsi="HelveticaNeueLT Std" w:cs="Arial"/>
          <w:sz w:val="20"/>
          <w:szCs w:val="20"/>
          <w:lang w:eastAsia="en-US"/>
        </w:rPr>
        <w:t xml:space="preserve"> por ciento, en el concepto de </w:t>
      </w:r>
      <w:r>
        <w:rPr>
          <w:rFonts w:ascii="HelveticaNeueLT Std" w:eastAsiaTheme="minorHAnsi" w:hAnsi="HelveticaNeueLT Std" w:cs="Arial"/>
          <w:sz w:val="20"/>
          <w:szCs w:val="20"/>
          <w:lang w:eastAsia="en-US"/>
        </w:rPr>
        <w:t xml:space="preserve">“Materiales y Suministros” por </w:t>
      </w:r>
      <w:r w:rsidRPr="00790EC5">
        <w:rPr>
          <w:rFonts w:ascii="HelveticaNeueLT Std" w:eastAsiaTheme="minorHAnsi" w:hAnsi="HelveticaNeueLT Std" w:cs="Arial"/>
          <w:sz w:val="20"/>
          <w:szCs w:val="20"/>
          <w:lang w:eastAsia="en-US"/>
        </w:rPr>
        <w:t>3</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140</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116.14</w:t>
      </w:r>
      <w:r>
        <w:rPr>
          <w:rFonts w:ascii="HelveticaNeueLT Std" w:eastAsiaTheme="minorHAnsi" w:hAnsi="HelveticaNeueLT Std" w:cs="Arial"/>
          <w:sz w:val="20"/>
          <w:szCs w:val="20"/>
          <w:lang w:eastAsia="en-US"/>
        </w:rPr>
        <w:t xml:space="preserve"> que representa el 17.08 por ciento, en el concepto de</w:t>
      </w:r>
      <w:r w:rsidRPr="00603770">
        <w:rPr>
          <w:rFonts w:ascii="HelveticaNeueLT Std" w:eastAsiaTheme="minorHAnsi" w:hAnsi="HelveticaNeueLT Std" w:cs="Arial"/>
          <w:sz w:val="20"/>
          <w:szCs w:val="20"/>
          <w:lang w:eastAsia="en-US"/>
        </w:rPr>
        <w:t xml:space="preserve"> </w:t>
      </w:r>
      <w:r w:rsidRPr="00594439">
        <w:rPr>
          <w:rFonts w:ascii="HelveticaNeueLT Std" w:eastAsiaTheme="minorHAnsi" w:hAnsi="HelveticaNeueLT Std" w:cs="Arial"/>
          <w:sz w:val="20"/>
          <w:szCs w:val="20"/>
          <w:lang w:eastAsia="en-US"/>
        </w:rPr>
        <w:t xml:space="preserve">“Servicios Generales” por </w:t>
      </w:r>
      <w:r w:rsidRPr="00790EC5">
        <w:rPr>
          <w:rFonts w:ascii="HelveticaNeueLT Std" w:eastAsiaTheme="minorHAnsi" w:hAnsi="HelveticaNeueLT Std" w:cs="Arial"/>
          <w:sz w:val="20"/>
          <w:szCs w:val="20"/>
          <w:lang w:eastAsia="en-US"/>
        </w:rPr>
        <w:t>3</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508</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548.07</w:t>
      </w:r>
      <w:r>
        <w:rPr>
          <w:rFonts w:ascii="HelveticaNeueLT Std" w:eastAsiaTheme="minorHAnsi" w:hAnsi="HelveticaNeueLT Std" w:cs="Arial"/>
          <w:sz w:val="20"/>
          <w:szCs w:val="20"/>
          <w:lang w:eastAsia="en-US"/>
        </w:rPr>
        <w:t xml:space="preserve"> </w:t>
      </w:r>
      <w:r w:rsidRPr="00594439">
        <w:rPr>
          <w:rFonts w:ascii="HelveticaNeueLT Std" w:eastAsiaTheme="minorHAnsi" w:hAnsi="HelveticaNeueLT Std" w:cs="Arial"/>
          <w:sz w:val="20"/>
          <w:szCs w:val="20"/>
          <w:lang w:eastAsia="en-US"/>
        </w:rPr>
        <w:t>que representa el</w:t>
      </w:r>
      <w:r>
        <w:rPr>
          <w:rFonts w:ascii="HelveticaNeueLT Std" w:eastAsiaTheme="minorHAnsi" w:hAnsi="HelveticaNeueLT Std" w:cs="Arial"/>
          <w:sz w:val="20"/>
          <w:szCs w:val="20"/>
          <w:lang w:eastAsia="en-US"/>
        </w:rPr>
        <w:t xml:space="preserve"> 19</w:t>
      </w:r>
      <w:r w:rsidRPr="00594439">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09</w:t>
      </w:r>
      <w:r w:rsidRPr="00594439">
        <w:rPr>
          <w:rFonts w:ascii="HelveticaNeueLT Std" w:eastAsiaTheme="minorHAnsi" w:hAnsi="HelveticaNeueLT Std" w:cs="Arial"/>
          <w:sz w:val="20"/>
          <w:szCs w:val="20"/>
          <w:lang w:eastAsia="en-US"/>
        </w:rPr>
        <w:t xml:space="preserve"> por ciento</w:t>
      </w:r>
      <w:r>
        <w:rPr>
          <w:rFonts w:ascii="HelveticaNeueLT Std" w:eastAsiaTheme="minorHAnsi" w:hAnsi="HelveticaNeueLT Std" w:cs="Arial"/>
          <w:sz w:val="20"/>
          <w:szCs w:val="20"/>
          <w:lang w:eastAsia="en-US"/>
        </w:rPr>
        <w:t xml:space="preserve">. Presenta un saldo acumulado al mes por </w:t>
      </w:r>
      <w:r w:rsidRPr="00790EC5">
        <w:rPr>
          <w:rFonts w:ascii="HelveticaNeueLT Std" w:eastAsiaTheme="minorHAnsi" w:hAnsi="HelveticaNeueLT Std" w:cs="Arial"/>
          <w:sz w:val="20"/>
          <w:szCs w:val="20"/>
          <w:lang w:eastAsia="en-US"/>
        </w:rPr>
        <w:t>102</w:t>
      </w:r>
      <w:proofErr w:type="gramStart"/>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225</w:t>
      </w:r>
      <w:r>
        <w:rPr>
          <w:rFonts w:ascii="HelveticaNeueLT Std" w:eastAsiaTheme="minorHAnsi" w:hAnsi="HelveticaNeueLT Std" w:cs="Arial"/>
          <w:sz w:val="20"/>
          <w:szCs w:val="20"/>
          <w:lang w:eastAsia="en-US"/>
        </w:rPr>
        <w:t>,</w:t>
      </w:r>
      <w:r w:rsidRPr="00790EC5">
        <w:rPr>
          <w:rFonts w:ascii="HelveticaNeueLT Std" w:eastAsiaTheme="minorHAnsi" w:hAnsi="HelveticaNeueLT Std" w:cs="Arial"/>
          <w:sz w:val="20"/>
          <w:szCs w:val="20"/>
          <w:lang w:eastAsia="en-US"/>
        </w:rPr>
        <w:t>118.9</w:t>
      </w:r>
      <w:r>
        <w:rPr>
          <w:rFonts w:ascii="HelveticaNeueLT Std" w:eastAsiaTheme="minorHAnsi" w:hAnsi="HelveticaNeueLT Std" w:cs="Arial"/>
          <w:sz w:val="20"/>
          <w:szCs w:val="20"/>
          <w:lang w:eastAsia="en-US"/>
        </w:rPr>
        <w:t>0</w:t>
      </w:r>
      <w:proofErr w:type="gramEnd"/>
      <w:r>
        <w:rPr>
          <w:rFonts w:ascii="HelveticaNeueLT Std" w:eastAsiaTheme="minorHAnsi" w:hAnsi="HelveticaNeueLT Std" w:cs="Arial"/>
          <w:sz w:val="20"/>
          <w:szCs w:val="20"/>
          <w:lang w:eastAsia="en-US"/>
        </w:rPr>
        <w:t>.</w:t>
      </w:r>
    </w:p>
    <w:p w14:paraId="34B34D2A" w14:textId="77777777" w:rsidR="00F21D55" w:rsidRPr="0095546C" w:rsidRDefault="00F21D55" w:rsidP="00F21D55">
      <w:pPr>
        <w:pStyle w:val="Prrafodelista"/>
        <w:spacing w:line="276" w:lineRule="auto"/>
        <w:ind w:left="644" w:right="-1"/>
        <w:jc w:val="both"/>
        <w:outlineLvl w:val="0"/>
        <w:rPr>
          <w:rFonts w:cs="Arial"/>
        </w:rPr>
      </w:pPr>
    </w:p>
    <w:p w14:paraId="5DA417E0" w14:textId="77777777" w:rsidR="00F21D55" w:rsidRPr="0095546C" w:rsidRDefault="00F21D55" w:rsidP="007C0E6F">
      <w:pPr>
        <w:pStyle w:val="Prrafodelista"/>
        <w:numPr>
          <w:ilvl w:val="0"/>
          <w:numId w:val="38"/>
        </w:numPr>
        <w:spacing w:line="276" w:lineRule="auto"/>
        <w:ind w:right="-1"/>
        <w:jc w:val="both"/>
        <w:outlineLvl w:val="0"/>
        <w:rPr>
          <w:rFonts w:ascii="HelveticaNeueLT Std" w:eastAsiaTheme="minorHAnsi" w:hAnsi="HelveticaNeueLT Std" w:cs="Arial"/>
          <w:sz w:val="20"/>
          <w:szCs w:val="20"/>
          <w:lang w:eastAsia="en-US"/>
        </w:rPr>
      </w:pPr>
      <w:r w:rsidRPr="0095546C">
        <w:rPr>
          <w:rFonts w:ascii="HelveticaNeueLT Std" w:eastAsiaTheme="minorHAnsi" w:hAnsi="HelveticaNeueLT Std" w:cs="Arial"/>
          <w:b/>
          <w:sz w:val="20"/>
          <w:szCs w:val="20"/>
          <w:lang w:eastAsia="en-US"/>
        </w:rPr>
        <w:t>Transferencias, Asignaciones, Subsidios y Otras Ayudas</w:t>
      </w:r>
      <w:r w:rsidRPr="0095546C">
        <w:rPr>
          <w:rFonts w:cs="Arial"/>
          <w:b/>
        </w:rPr>
        <w:t>. –</w:t>
      </w:r>
      <w:r w:rsidRPr="0095546C">
        <w:rPr>
          <w:rFonts w:cs="Arial"/>
        </w:rPr>
        <w:t xml:space="preserve"> </w:t>
      </w:r>
      <w:r w:rsidRPr="0095546C">
        <w:rPr>
          <w:rFonts w:ascii="HelveticaNeueLT Std" w:eastAsiaTheme="minorHAnsi" w:hAnsi="HelveticaNeueLT Std" w:cs="Arial"/>
          <w:sz w:val="20"/>
          <w:szCs w:val="20"/>
          <w:lang w:eastAsia="en-US"/>
        </w:rPr>
        <w:t xml:space="preserve">Presenta en el mes un monto de </w:t>
      </w:r>
      <w:r w:rsidRPr="00526097">
        <w:rPr>
          <w:rFonts w:ascii="HelveticaNeueLT Std" w:eastAsiaTheme="minorHAnsi" w:hAnsi="HelveticaNeueLT Std" w:cs="Arial"/>
          <w:sz w:val="20"/>
          <w:szCs w:val="20"/>
          <w:lang w:eastAsia="en-US"/>
        </w:rPr>
        <w:t>377</w:t>
      </w:r>
      <w:r>
        <w:rPr>
          <w:rFonts w:ascii="HelveticaNeueLT Std" w:eastAsiaTheme="minorHAnsi" w:hAnsi="HelveticaNeueLT Std" w:cs="Arial"/>
          <w:sz w:val="20"/>
          <w:szCs w:val="20"/>
          <w:lang w:eastAsia="en-US"/>
        </w:rPr>
        <w:t>,</w:t>
      </w:r>
      <w:r w:rsidRPr="00526097">
        <w:rPr>
          <w:rFonts w:ascii="HelveticaNeueLT Std" w:eastAsiaTheme="minorHAnsi" w:hAnsi="HelveticaNeueLT Std" w:cs="Arial"/>
          <w:sz w:val="20"/>
          <w:szCs w:val="20"/>
          <w:lang w:eastAsia="en-US"/>
        </w:rPr>
        <w:t>047.29</w:t>
      </w:r>
      <w:r>
        <w:rPr>
          <w:rFonts w:ascii="HelveticaNeueLT Std" w:eastAsiaTheme="minorHAnsi" w:hAnsi="HelveticaNeueLT Std" w:cs="Arial"/>
          <w:sz w:val="20"/>
          <w:szCs w:val="20"/>
          <w:lang w:eastAsia="en-US"/>
        </w:rPr>
        <w:t>, p</w:t>
      </w:r>
      <w:r w:rsidRPr="0095546C">
        <w:rPr>
          <w:rFonts w:ascii="HelveticaNeueLT Std" w:eastAsiaTheme="minorHAnsi" w:hAnsi="HelveticaNeueLT Std" w:cs="Arial"/>
          <w:sz w:val="20"/>
          <w:szCs w:val="20"/>
          <w:lang w:eastAsia="en-US"/>
        </w:rPr>
        <w:t xml:space="preserve">or Concepto de Devoluciones de Ingresos Indebidos, </w:t>
      </w:r>
      <w:r>
        <w:rPr>
          <w:rFonts w:ascii="HelveticaNeueLT Std" w:eastAsiaTheme="minorHAnsi" w:hAnsi="HelveticaNeueLT Std" w:cs="Arial"/>
          <w:sz w:val="20"/>
          <w:szCs w:val="20"/>
          <w:lang w:eastAsia="en-US"/>
        </w:rPr>
        <w:t xml:space="preserve">se trae otro monto de </w:t>
      </w:r>
      <w:r w:rsidRPr="0095546C">
        <w:rPr>
          <w:rFonts w:ascii="HelveticaNeueLT Std" w:eastAsiaTheme="minorHAnsi" w:hAnsi="HelveticaNeueLT Std" w:cs="Arial"/>
          <w:sz w:val="20"/>
          <w:szCs w:val="20"/>
          <w:lang w:eastAsia="en-US"/>
        </w:rPr>
        <w:t xml:space="preserve">94,230.00 que corresponde a Entrega de Remanentes a Gobierno del Estado de las Series Bursátiles A y B </w:t>
      </w:r>
      <w:r>
        <w:rPr>
          <w:rFonts w:ascii="HelveticaNeueLT Std" w:eastAsiaTheme="minorHAnsi" w:hAnsi="HelveticaNeueLT Std" w:cs="Arial"/>
          <w:sz w:val="20"/>
          <w:szCs w:val="20"/>
          <w:lang w:eastAsia="en-US"/>
        </w:rPr>
        <w:t xml:space="preserve">del mes pasado, </w:t>
      </w:r>
      <w:r w:rsidRPr="0095546C">
        <w:rPr>
          <w:rFonts w:ascii="HelveticaNeueLT Std" w:eastAsiaTheme="minorHAnsi" w:hAnsi="HelveticaNeueLT Std" w:cs="Arial"/>
          <w:sz w:val="20"/>
          <w:szCs w:val="20"/>
          <w:lang w:eastAsia="en-US"/>
        </w:rPr>
        <w:t xml:space="preserve">mostrando un saldo acumulado al mes por </w:t>
      </w:r>
      <w:r w:rsidRPr="00526097">
        <w:rPr>
          <w:rFonts w:ascii="HelveticaNeueLT Std" w:eastAsiaTheme="minorHAnsi" w:hAnsi="HelveticaNeueLT Std" w:cs="Arial"/>
          <w:sz w:val="20"/>
          <w:szCs w:val="20"/>
          <w:lang w:eastAsia="en-US"/>
        </w:rPr>
        <w:t>860</w:t>
      </w:r>
      <w:r>
        <w:rPr>
          <w:rFonts w:ascii="HelveticaNeueLT Std" w:eastAsiaTheme="minorHAnsi" w:hAnsi="HelveticaNeueLT Std" w:cs="Arial"/>
          <w:sz w:val="20"/>
          <w:szCs w:val="20"/>
          <w:lang w:eastAsia="en-US"/>
        </w:rPr>
        <w:t>,</w:t>
      </w:r>
      <w:r w:rsidRPr="00526097">
        <w:rPr>
          <w:rFonts w:ascii="HelveticaNeueLT Std" w:eastAsiaTheme="minorHAnsi" w:hAnsi="HelveticaNeueLT Std" w:cs="Arial"/>
          <w:sz w:val="20"/>
          <w:szCs w:val="20"/>
          <w:lang w:eastAsia="en-US"/>
        </w:rPr>
        <w:t>228.85</w:t>
      </w:r>
      <w:r w:rsidRPr="0095546C">
        <w:rPr>
          <w:rFonts w:ascii="HelveticaNeueLT Std" w:eastAsiaTheme="minorHAnsi" w:hAnsi="HelveticaNeueLT Std" w:cs="Arial"/>
          <w:sz w:val="20"/>
          <w:szCs w:val="20"/>
          <w:lang w:eastAsia="en-US"/>
        </w:rPr>
        <w:t xml:space="preserve">. </w:t>
      </w:r>
    </w:p>
    <w:p w14:paraId="7B34E17C" w14:textId="77777777" w:rsidR="00F21D55" w:rsidRDefault="00F21D55" w:rsidP="00F21D55">
      <w:pPr>
        <w:pStyle w:val="Prrafodelista"/>
        <w:rPr>
          <w:rFonts w:cs="Arial"/>
        </w:rPr>
      </w:pPr>
    </w:p>
    <w:p w14:paraId="36BB4E94" w14:textId="77777777" w:rsidR="00F21D55" w:rsidRPr="00911F90" w:rsidRDefault="00F21D55" w:rsidP="007C0E6F">
      <w:pPr>
        <w:numPr>
          <w:ilvl w:val="0"/>
          <w:numId w:val="38"/>
        </w:numPr>
        <w:spacing w:after="0" w:line="276" w:lineRule="auto"/>
        <w:ind w:right="-1"/>
        <w:jc w:val="both"/>
        <w:rPr>
          <w:rFonts w:cs="Arial"/>
        </w:rPr>
      </w:pPr>
      <w:r w:rsidRPr="00AA61F6">
        <w:rPr>
          <w:rFonts w:cs="Arial"/>
          <w:b/>
        </w:rPr>
        <w:t xml:space="preserve">Intereses, Comisiones y Otros Gastos de la Deuda Pública. </w:t>
      </w:r>
      <w:r>
        <w:rPr>
          <w:rFonts w:cs="Arial"/>
          <w:b/>
        </w:rPr>
        <w:t>–</w:t>
      </w:r>
      <w:r>
        <w:rPr>
          <w:rFonts w:cs="Arial"/>
        </w:rPr>
        <w:t xml:space="preserve"> Al mes se tiene un monto por </w:t>
      </w:r>
      <w:r w:rsidRPr="008A106D">
        <w:rPr>
          <w:rFonts w:cs="Arial"/>
        </w:rPr>
        <w:t>225</w:t>
      </w:r>
      <w:proofErr w:type="gramStart"/>
      <w:r>
        <w:rPr>
          <w:rFonts w:cs="Arial"/>
        </w:rPr>
        <w:t>,</w:t>
      </w:r>
      <w:r w:rsidRPr="008A106D">
        <w:rPr>
          <w:rFonts w:cs="Arial"/>
        </w:rPr>
        <w:t>421</w:t>
      </w:r>
      <w:r>
        <w:rPr>
          <w:rFonts w:cs="Arial"/>
        </w:rPr>
        <w:t>,</w:t>
      </w:r>
      <w:r w:rsidRPr="008A106D">
        <w:rPr>
          <w:rFonts w:cs="Arial"/>
        </w:rPr>
        <w:t>258.37</w:t>
      </w:r>
      <w:proofErr w:type="gramEnd"/>
      <w:r>
        <w:rPr>
          <w:rFonts w:cs="Arial"/>
        </w:rPr>
        <w:t xml:space="preserve">, los cuales muestran el total de las Series Bursátiles “A, “B” y “C”.  </w:t>
      </w:r>
    </w:p>
    <w:p w14:paraId="4AC25969" w14:textId="77777777" w:rsidR="00F21D55" w:rsidRPr="00C2579F" w:rsidRDefault="00F21D55" w:rsidP="00F21D55">
      <w:pPr>
        <w:spacing w:after="0" w:line="276" w:lineRule="auto"/>
        <w:ind w:right="-1"/>
        <w:jc w:val="both"/>
        <w:rPr>
          <w:rFonts w:cs="Arial"/>
        </w:rPr>
      </w:pPr>
    </w:p>
    <w:p w14:paraId="1CECDC3A" w14:textId="77777777" w:rsidR="00F21D55" w:rsidRPr="00080A6D" w:rsidRDefault="00F21D55" w:rsidP="007C0E6F">
      <w:pPr>
        <w:numPr>
          <w:ilvl w:val="0"/>
          <w:numId w:val="38"/>
        </w:numPr>
        <w:spacing w:after="0" w:line="276" w:lineRule="auto"/>
        <w:ind w:right="-1"/>
        <w:jc w:val="both"/>
      </w:pPr>
      <w:r w:rsidRPr="00594439">
        <w:rPr>
          <w:rFonts w:cs="Arial"/>
          <w:b/>
        </w:rPr>
        <w:t>Otros Gastos y Pérdidas Extraordinarias</w:t>
      </w:r>
      <w:r w:rsidRPr="00594439">
        <w:rPr>
          <w:rFonts w:cs="Arial"/>
        </w:rPr>
        <w:t>. - En esta partida se refleja</w:t>
      </w:r>
      <w:r>
        <w:rPr>
          <w:rFonts w:cs="Arial"/>
        </w:rPr>
        <w:t xml:space="preserve"> </w:t>
      </w:r>
      <w:r w:rsidRPr="00594439">
        <w:rPr>
          <w:rFonts w:cs="Arial"/>
        </w:rPr>
        <w:t xml:space="preserve">en el mes la cantidad de </w:t>
      </w:r>
      <w:r w:rsidRPr="00F64481">
        <w:rPr>
          <w:rFonts w:cs="Arial"/>
        </w:rPr>
        <w:t>1</w:t>
      </w:r>
      <w:proofErr w:type="gramStart"/>
      <w:r>
        <w:rPr>
          <w:rFonts w:cs="Arial"/>
        </w:rPr>
        <w:t>,</w:t>
      </w:r>
      <w:r w:rsidRPr="00F64481">
        <w:rPr>
          <w:rFonts w:cs="Arial"/>
        </w:rPr>
        <w:t>029</w:t>
      </w:r>
      <w:r>
        <w:rPr>
          <w:rFonts w:cs="Arial"/>
        </w:rPr>
        <w:t>,</w:t>
      </w:r>
      <w:r w:rsidRPr="00F64481">
        <w:rPr>
          <w:rFonts w:cs="Arial"/>
        </w:rPr>
        <w:t>344.95</w:t>
      </w:r>
      <w:proofErr w:type="gramEnd"/>
      <w:r w:rsidRPr="00594439">
        <w:rPr>
          <w:rFonts w:cs="Arial"/>
        </w:rPr>
        <w:t xml:space="preserve"> la depreciación de bienes muebles e inmuebles.</w:t>
      </w:r>
      <w:r>
        <w:rPr>
          <w:rFonts w:cs="Arial"/>
        </w:rPr>
        <w:t xml:space="preserve"> Presenta un saldo acumulado al mes por </w:t>
      </w:r>
      <w:r w:rsidRPr="00F64481">
        <w:rPr>
          <w:rFonts w:cs="Arial"/>
        </w:rPr>
        <w:t>6</w:t>
      </w:r>
      <w:proofErr w:type="gramStart"/>
      <w:r>
        <w:rPr>
          <w:rFonts w:cs="Arial"/>
        </w:rPr>
        <w:t>,</w:t>
      </w:r>
      <w:r w:rsidRPr="00F64481">
        <w:rPr>
          <w:rFonts w:cs="Arial"/>
        </w:rPr>
        <w:t>339</w:t>
      </w:r>
      <w:r>
        <w:rPr>
          <w:rFonts w:cs="Arial"/>
        </w:rPr>
        <w:t>,</w:t>
      </w:r>
      <w:r w:rsidRPr="00F64481">
        <w:rPr>
          <w:rFonts w:cs="Arial"/>
        </w:rPr>
        <w:t>736.63</w:t>
      </w:r>
      <w:proofErr w:type="gramEnd"/>
      <w:r>
        <w:rPr>
          <w:rFonts w:cs="Arial"/>
        </w:rPr>
        <w:t xml:space="preserve">. </w:t>
      </w:r>
      <w:r w:rsidRPr="00594439">
        <w:rPr>
          <w:rFonts w:cs="Arial"/>
        </w:rPr>
        <w:t>Así mismo</w:t>
      </w:r>
      <w:r>
        <w:rPr>
          <w:rFonts w:cs="Arial"/>
        </w:rPr>
        <w:t>,</w:t>
      </w:r>
      <w:r w:rsidRPr="00594439">
        <w:rPr>
          <w:rFonts w:cs="Arial"/>
        </w:rPr>
        <w:t xml:space="preserve"> gastos contables no presupuestarios por un importe de </w:t>
      </w:r>
      <w:r w:rsidRPr="00F64481">
        <w:rPr>
          <w:rFonts w:cs="Arial"/>
        </w:rPr>
        <w:t>3</w:t>
      </w:r>
      <w:proofErr w:type="gramStart"/>
      <w:r>
        <w:rPr>
          <w:rFonts w:cs="Arial"/>
        </w:rPr>
        <w:t>,</w:t>
      </w:r>
      <w:r w:rsidRPr="00F64481">
        <w:rPr>
          <w:rFonts w:cs="Arial"/>
        </w:rPr>
        <w:t>075</w:t>
      </w:r>
      <w:r>
        <w:rPr>
          <w:rFonts w:cs="Arial"/>
        </w:rPr>
        <w:t>,</w:t>
      </w:r>
      <w:r w:rsidRPr="00F64481">
        <w:rPr>
          <w:rFonts w:cs="Arial"/>
        </w:rPr>
        <w:t>045.84</w:t>
      </w:r>
      <w:proofErr w:type="gramEnd"/>
      <w:r w:rsidRPr="00594439">
        <w:rPr>
          <w:rFonts w:cs="Arial"/>
        </w:rPr>
        <w:t xml:space="preserve"> correspondientes a la devolución al </w:t>
      </w:r>
      <w:proofErr w:type="spellStart"/>
      <w:r w:rsidRPr="00594439">
        <w:rPr>
          <w:rFonts w:cs="Arial"/>
        </w:rPr>
        <w:t>GEM</w:t>
      </w:r>
      <w:proofErr w:type="spellEnd"/>
      <w:r w:rsidRPr="00594439">
        <w:rPr>
          <w:rFonts w:cs="Arial"/>
        </w:rPr>
        <w:t>, de los Remanentes e intereses del Programa de Acciones para el Desarrollo (PAD</w:t>
      </w:r>
      <w:r w:rsidRPr="00594439">
        <w:rPr>
          <w:rFonts w:cs="Arial"/>
          <w:b/>
        </w:rPr>
        <w:t>)</w:t>
      </w:r>
      <w:r>
        <w:rPr>
          <w:rFonts w:cs="Arial"/>
        </w:rPr>
        <w:t>.</w:t>
      </w:r>
    </w:p>
    <w:p w14:paraId="45C950B2" w14:textId="77777777" w:rsidR="00F21D55" w:rsidRDefault="00F21D55" w:rsidP="00F21D55">
      <w:pPr>
        <w:pStyle w:val="Prrafodelista"/>
      </w:pPr>
    </w:p>
    <w:p w14:paraId="57299C45" w14:textId="77777777" w:rsidR="00F21D55" w:rsidRPr="00813049" w:rsidRDefault="00F21D55" w:rsidP="007C0E6F">
      <w:pPr>
        <w:numPr>
          <w:ilvl w:val="0"/>
          <w:numId w:val="38"/>
        </w:numPr>
        <w:spacing w:after="0" w:line="259" w:lineRule="auto"/>
        <w:ind w:right="-1"/>
        <w:jc w:val="both"/>
        <w:rPr>
          <w:rFonts w:eastAsia="Times New Roman" w:cs="Arial"/>
          <w:b/>
          <w:lang w:eastAsia="es-MX"/>
        </w:rPr>
      </w:pPr>
      <w:r w:rsidRPr="00813049">
        <w:rPr>
          <w:rFonts w:cs="Arial"/>
          <w:b/>
        </w:rPr>
        <w:t>Inversión Pública</w:t>
      </w:r>
      <w:r w:rsidRPr="00813049">
        <w:rPr>
          <w:rFonts w:cs="Arial"/>
        </w:rPr>
        <w:t xml:space="preserve">. - Refleja la afectación no capitalizable correspondiente al PAD, del Programa de Regularización de Tenencia de la Tierra, por el importe devengado de </w:t>
      </w:r>
      <w:r w:rsidRPr="00F64481">
        <w:rPr>
          <w:rFonts w:cs="Arial"/>
        </w:rPr>
        <w:t>2</w:t>
      </w:r>
      <w:proofErr w:type="gramStart"/>
      <w:r>
        <w:rPr>
          <w:rFonts w:cs="Arial"/>
        </w:rPr>
        <w:t>,</w:t>
      </w:r>
      <w:r w:rsidRPr="00F64481">
        <w:rPr>
          <w:rFonts w:cs="Arial"/>
        </w:rPr>
        <w:t>721</w:t>
      </w:r>
      <w:r>
        <w:rPr>
          <w:rFonts w:cs="Arial"/>
        </w:rPr>
        <w:t>,</w:t>
      </w:r>
      <w:r w:rsidRPr="00F64481">
        <w:rPr>
          <w:rFonts w:cs="Arial"/>
        </w:rPr>
        <w:t>976.65</w:t>
      </w:r>
      <w:proofErr w:type="gramEnd"/>
      <w:r w:rsidRPr="00813049">
        <w:rPr>
          <w:rFonts w:cs="Arial"/>
        </w:rPr>
        <w:t xml:space="preserve">. Presenta un saldo acumulado devengado por </w:t>
      </w:r>
      <w:r w:rsidRPr="00F64481">
        <w:rPr>
          <w:rFonts w:cs="Arial"/>
        </w:rPr>
        <w:t>13</w:t>
      </w:r>
      <w:proofErr w:type="gramStart"/>
      <w:r>
        <w:rPr>
          <w:rFonts w:cs="Arial"/>
        </w:rPr>
        <w:t>,</w:t>
      </w:r>
      <w:r w:rsidRPr="00F64481">
        <w:rPr>
          <w:rFonts w:cs="Arial"/>
        </w:rPr>
        <w:t>648</w:t>
      </w:r>
      <w:r>
        <w:rPr>
          <w:rFonts w:cs="Arial"/>
        </w:rPr>
        <w:t>,</w:t>
      </w:r>
      <w:r w:rsidRPr="00F64481">
        <w:rPr>
          <w:rFonts w:cs="Arial"/>
        </w:rPr>
        <w:t>288.93</w:t>
      </w:r>
      <w:proofErr w:type="gramEnd"/>
      <w:r w:rsidRPr="00813049">
        <w:rPr>
          <w:rFonts w:cs="Arial"/>
        </w:rPr>
        <w:t xml:space="preserve">. </w:t>
      </w:r>
    </w:p>
    <w:p w14:paraId="1DD913E3" w14:textId="77777777" w:rsidR="00F21D55" w:rsidRPr="00216EAB" w:rsidRDefault="00F21D55" w:rsidP="00F21D55">
      <w:pPr>
        <w:spacing w:after="0" w:line="276" w:lineRule="auto"/>
        <w:ind w:right="-1"/>
        <w:jc w:val="both"/>
        <w:rPr>
          <w:color w:val="FF0000"/>
        </w:rPr>
      </w:pPr>
    </w:p>
    <w:p w14:paraId="2BDC9C3F" w14:textId="77777777" w:rsidR="00F21D55" w:rsidRPr="00DC0BE0" w:rsidRDefault="00F21D55" w:rsidP="00F21D55">
      <w:pPr>
        <w:numPr>
          <w:ilvl w:val="0"/>
          <w:numId w:val="17"/>
        </w:numPr>
        <w:spacing w:before="240" w:after="240" w:line="276" w:lineRule="auto"/>
        <w:ind w:right="-1"/>
        <w:contextualSpacing/>
        <w:outlineLvl w:val="0"/>
        <w:rPr>
          <w:rFonts w:eastAsia="Times New Roman" w:cs="Arial"/>
          <w:b/>
          <w:lang w:eastAsia="es-MX"/>
        </w:rPr>
      </w:pPr>
      <w:r w:rsidRPr="00DC0BE0">
        <w:rPr>
          <w:rFonts w:eastAsia="Times New Roman" w:cs="Arial"/>
          <w:b/>
          <w:lang w:eastAsia="es-MX"/>
        </w:rPr>
        <w:t>NOTAS AL ESTADO DE VARIACIONES EN LA HACIENDA PÚBLICA/PATRIMONIO</w:t>
      </w:r>
    </w:p>
    <w:p w14:paraId="4962D9E1" w14:textId="77777777" w:rsidR="00F21D55" w:rsidRPr="0020562B" w:rsidRDefault="00F21D55" w:rsidP="00F21D55">
      <w:pPr>
        <w:spacing w:before="240" w:after="240" w:line="276" w:lineRule="auto"/>
        <w:ind w:left="1068" w:right="-1"/>
        <w:contextualSpacing/>
        <w:outlineLvl w:val="0"/>
        <w:rPr>
          <w:rFonts w:eastAsia="Times New Roman" w:cs="Arial"/>
          <w:b/>
          <w:lang w:eastAsia="es-MX"/>
        </w:rPr>
      </w:pPr>
    </w:p>
    <w:p w14:paraId="704D6108" w14:textId="77777777" w:rsidR="00F21D55" w:rsidRDefault="00F21D55" w:rsidP="00F21D55">
      <w:pPr>
        <w:spacing w:line="276" w:lineRule="auto"/>
        <w:ind w:right="-1"/>
        <w:jc w:val="both"/>
        <w:outlineLvl w:val="0"/>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de 2019</w:t>
      </w:r>
      <w:r w:rsidRPr="00DA5FD6">
        <w:rPr>
          <w:rFonts w:cs="Arial"/>
        </w:rPr>
        <w:t xml:space="preserve"> del Instituto </w:t>
      </w:r>
      <w:r>
        <w:rPr>
          <w:rFonts w:cs="Arial"/>
        </w:rPr>
        <w:t xml:space="preserve">por la cantidad de </w:t>
      </w:r>
      <w:r w:rsidRPr="000E1289">
        <w:rPr>
          <w:rFonts w:cs="Arial"/>
        </w:rPr>
        <w:t>2</w:t>
      </w:r>
      <w:proofErr w:type="gramStart"/>
      <w:r w:rsidRPr="000E1289">
        <w:rPr>
          <w:rFonts w:cs="Arial"/>
        </w:rPr>
        <w:t>,410,250.11</w:t>
      </w:r>
      <w:proofErr w:type="gramEnd"/>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14:paraId="63905701" w14:textId="77777777" w:rsidR="00F21D55" w:rsidRPr="00963F7E" w:rsidRDefault="00F21D55" w:rsidP="00F21D55">
      <w:pPr>
        <w:spacing w:line="276" w:lineRule="auto"/>
        <w:ind w:right="-1"/>
        <w:jc w:val="both"/>
        <w:outlineLvl w:val="0"/>
        <w:rPr>
          <w:rFonts w:cs="Arial"/>
        </w:rPr>
      </w:pPr>
      <w:r w:rsidRPr="00963F7E">
        <w:rPr>
          <w:rFonts w:cs="Arial"/>
          <w:b/>
        </w:rPr>
        <w:t>Hacienda Pública / Patrimonio Generado de Ejercicios Anteriores. -</w:t>
      </w:r>
      <w:r>
        <w:rPr>
          <w:rFonts w:cs="Arial"/>
          <w:b/>
        </w:rPr>
        <w:t xml:space="preserve"> </w:t>
      </w:r>
      <w:r>
        <w:rPr>
          <w:rFonts w:cs="Arial"/>
        </w:rPr>
        <w:t>En este mes se detecta que el Patrimonio Neto Final es de menos 91</w:t>
      </w:r>
      <w:proofErr w:type="gramStart"/>
      <w:r>
        <w:rPr>
          <w:rFonts w:cs="Arial"/>
        </w:rPr>
        <w:t>,282,543.96</w:t>
      </w:r>
      <w:proofErr w:type="gramEnd"/>
      <w:r>
        <w:rPr>
          <w:rFonts w:cs="Arial"/>
        </w:rPr>
        <w:t>, por los Resultados de Ejercicios Anteriores.</w:t>
      </w:r>
    </w:p>
    <w:p w14:paraId="3366BF2B" w14:textId="77777777" w:rsidR="00F21D55" w:rsidRDefault="00F21D55" w:rsidP="00F21D55">
      <w:pPr>
        <w:spacing w:line="240" w:lineRule="auto"/>
        <w:jc w:val="both"/>
        <w:rPr>
          <w:rFonts w:cs="Arial"/>
        </w:rPr>
      </w:pPr>
      <w:r w:rsidRPr="00DA5FD6">
        <w:rPr>
          <w:rFonts w:cs="Arial"/>
          <w:b/>
        </w:rPr>
        <w:lastRenderedPageBreak/>
        <w:t>Resultado del Ejercicio: (Ahorro/Desahorro). -</w:t>
      </w:r>
      <w:r w:rsidRPr="00DA5FD6">
        <w:rPr>
          <w:rFonts w:cs="Arial"/>
        </w:rPr>
        <w:t xml:space="preserve"> Se observa en la Hacienda Pública/Patrimonio Generado del Ejercicio, un </w:t>
      </w:r>
      <w:r>
        <w:rPr>
          <w:rFonts w:cs="Arial"/>
        </w:rPr>
        <w:t xml:space="preserve">ahorro por </w:t>
      </w:r>
      <w:r w:rsidRPr="006E6A0B">
        <w:rPr>
          <w:rFonts w:cs="Arial"/>
        </w:rPr>
        <w:t>740</w:t>
      </w:r>
      <w:r>
        <w:rPr>
          <w:rFonts w:cs="Arial"/>
        </w:rPr>
        <w:t>,</w:t>
      </w:r>
      <w:r w:rsidRPr="006E6A0B">
        <w:rPr>
          <w:rFonts w:cs="Arial"/>
        </w:rPr>
        <w:t>016</w:t>
      </w:r>
      <w:r>
        <w:rPr>
          <w:rFonts w:cs="Arial"/>
        </w:rPr>
        <w:t>,</w:t>
      </w:r>
      <w:r w:rsidRPr="006E6A0B">
        <w:rPr>
          <w:rFonts w:cs="Arial"/>
        </w:rPr>
        <w:t>478.44</w:t>
      </w:r>
      <w:r w:rsidRPr="000F2F11">
        <w:rPr>
          <w:rFonts w:cs="Arial"/>
        </w:rPr>
        <w:t xml:space="preserve">,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14:paraId="05CC5839" w14:textId="77777777" w:rsidR="00F21D55" w:rsidRPr="00304218" w:rsidRDefault="00F21D55" w:rsidP="00F21D55">
      <w:pPr>
        <w:numPr>
          <w:ilvl w:val="0"/>
          <w:numId w:val="17"/>
        </w:numPr>
        <w:spacing w:before="240" w:after="240" w:line="276" w:lineRule="auto"/>
        <w:ind w:right="-1"/>
        <w:contextualSpacing/>
        <w:outlineLvl w:val="0"/>
        <w:rPr>
          <w:rFonts w:ascii="HelveticaNeueLT Std Lt" w:eastAsia="Times New Roman" w:hAnsi="HelveticaNeueLT Std Lt" w:cs="Times New Roman"/>
          <w:b/>
          <w:bCs/>
          <w:lang w:eastAsia="es-MX"/>
        </w:rPr>
      </w:pPr>
      <w:r w:rsidRPr="00304218">
        <w:rPr>
          <w:rFonts w:eastAsia="Times New Roman" w:cs="Arial"/>
          <w:b/>
          <w:lang w:eastAsia="es-MX"/>
        </w:rPr>
        <w:t>NOTAS AL ESTADO DE FLUJOS DE EFECTIVO</w:t>
      </w:r>
    </w:p>
    <w:p w14:paraId="0B6144F2" w14:textId="77777777" w:rsidR="00F21D55" w:rsidRDefault="00F21D55" w:rsidP="00F21D55">
      <w:pPr>
        <w:spacing w:line="276" w:lineRule="auto"/>
        <w:ind w:right="-1"/>
        <w:rPr>
          <w:rFonts w:cs="Arial"/>
        </w:rPr>
      </w:pPr>
      <w:r w:rsidRPr="00594439">
        <w:rPr>
          <w:rFonts w:cs="Arial"/>
        </w:rPr>
        <w:t>En este Estado se observa el análisis de los saldos inicial y final que figuran en la última parte del Estado de Flujo de Efectivo en la cuenta de efectivo y equivalentes es como sigue:</w:t>
      </w:r>
    </w:p>
    <w:tbl>
      <w:tblPr>
        <w:tblW w:w="7720" w:type="dxa"/>
        <w:tblInd w:w="976" w:type="dxa"/>
        <w:tblCellMar>
          <w:left w:w="70" w:type="dxa"/>
          <w:right w:w="70" w:type="dxa"/>
        </w:tblCellMar>
        <w:tblLook w:val="04A0" w:firstRow="1" w:lastRow="0" w:firstColumn="1" w:lastColumn="0" w:noHBand="0" w:noVBand="1"/>
      </w:tblPr>
      <w:tblGrid>
        <w:gridCol w:w="3220"/>
        <w:gridCol w:w="2260"/>
        <w:gridCol w:w="2240"/>
      </w:tblGrid>
      <w:tr w:rsidR="00F21D55" w:rsidRPr="00116D30" w14:paraId="255908CC" w14:textId="77777777" w:rsidTr="00EB489C">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95627"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CONCEPTO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7B2B0B47"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MES ACTUAL</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3D5C9F53"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MES ANTERIOR</w:t>
            </w:r>
          </w:p>
        </w:tc>
      </w:tr>
      <w:tr w:rsidR="00F21D55" w:rsidRPr="00116D30" w14:paraId="6DD2FF66" w14:textId="77777777" w:rsidTr="00EB489C">
        <w:trPr>
          <w:trHeight w:val="30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63B34530" w14:textId="77777777" w:rsidR="00F21D55" w:rsidRPr="00116D30" w:rsidRDefault="00F21D55" w:rsidP="00EB489C">
            <w:pPr>
              <w:spacing w:after="0" w:line="240" w:lineRule="auto"/>
              <w:jc w:val="both"/>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Efectivo </w:t>
            </w:r>
          </w:p>
        </w:tc>
        <w:tc>
          <w:tcPr>
            <w:tcW w:w="2260" w:type="dxa"/>
            <w:tcBorders>
              <w:top w:val="nil"/>
              <w:left w:val="nil"/>
              <w:bottom w:val="single" w:sz="4" w:space="0" w:color="auto"/>
              <w:right w:val="single" w:sz="4" w:space="0" w:color="auto"/>
            </w:tcBorders>
            <w:shd w:val="clear" w:color="000000" w:fill="FFFFFF"/>
            <w:vAlign w:val="center"/>
            <w:hideMark/>
          </w:tcPr>
          <w:p w14:paraId="6F721C6C"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33,000.00 </w:t>
            </w:r>
          </w:p>
        </w:tc>
        <w:tc>
          <w:tcPr>
            <w:tcW w:w="2240" w:type="dxa"/>
            <w:tcBorders>
              <w:top w:val="nil"/>
              <w:left w:val="nil"/>
              <w:bottom w:val="single" w:sz="4" w:space="0" w:color="auto"/>
              <w:right w:val="single" w:sz="4" w:space="0" w:color="auto"/>
            </w:tcBorders>
            <w:shd w:val="clear" w:color="000000" w:fill="FFFFFF"/>
            <w:vAlign w:val="center"/>
            <w:hideMark/>
          </w:tcPr>
          <w:p w14:paraId="07B96136"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33,000.00 </w:t>
            </w:r>
          </w:p>
        </w:tc>
      </w:tr>
      <w:tr w:rsidR="00F21D55" w:rsidRPr="00116D30" w14:paraId="5C8ACF45" w14:textId="77777777" w:rsidTr="00EB489C">
        <w:trPr>
          <w:trHeight w:val="495"/>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529CE164" w14:textId="77777777" w:rsidR="00F21D55" w:rsidRPr="00116D30" w:rsidRDefault="00F21D55" w:rsidP="00EB489C">
            <w:pPr>
              <w:spacing w:after="0" w:line="240" w:lineRule="auto"/>
              <w:jc w:val="both"/>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Efectivo en Bancos  - Tesorería</w:t>
            </w:r>
          </w:p>
        </w:tc>
        <w:tc>
          <w:tcPr>
            <w:tcW w:w="2260" w:type="dxa"/>
            <w:tcBorders>
              <w:top w:val="nil"/>
              <w:left w:val="nil"/>
              <w:bottom w:val="single" w:sz="4" w:space="0" w:color="auto"/>
              <w:right w:val="single" w:sz="4" w:space="0" w:color="auto"/>
            </w:tcBorders>
            <w:shd w:val="clear" w:color="000000" w:fill="FFFFFF"/>
            <w:vAlign w:val="center"/>
            <w:hideMark/>
          </w:tcPr>
          <w:p w14:paraId="677FA48C"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10,482,613.39 </w:t>
            </w:r>
          </w:p>
        </w:tc>
        <w:tc>
          <w:tcPr>
            <w:tcW w:w="2240" w:type="dxa"/>
            <w:tcBorders>
              <w:top w:val="nil"/>
              <w:left w:val="nil"/>
              <w:bottom w:val="single" w:sz="4" w:space="0" w:color="auto"/>
              <w:right w:val="single" w:sz="4" w:space="0" w:color="auto"/>
            </w:tcBorders>
            <w:shd w:val="clear" w:color="000000" w:fill="FFFFFF"/>
            <w:vAlign w:val="center"/>
            <w:hideMark/>
          </w:tcPr>
          <w:p w14:paraId="26D88C4B"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11,816,707.03 </w:t>
            </w:r>
          </w:p>
        </w:tc>
      </w:tr>
      <w:tr w:rsidR="00F21D55" w:rsidRPr="00116D30" w14:paraId="33007B6E" w14:textId="77777777" w:rsidTr="00EB489C">
        <w:trPr>
          <w:trHeight w:val="495"/>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543E627B" w14:textId="77777777" w:rsidR="00F21D55" w:rsidRPr="00116D30" w:rsidRDefault="00F21D55" w:rsidP="00EB489C">
            <w:pPr>
              <w:spacing w:after="0" w:line="240" w:lineRule="auto"/>
              <w:jc w:val="both"/>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Inversiones Temporales (hasta 3 meses)</w:t>
            </w:r>
          </w:p>
        </w:tc>
        <w:tc>
          <w:tcPr>
            <w:tcW w:w="2260" w:type="dxa"/>
            <w:tcBorders>
              <w:top w:val="nil"/>
              <w:left w:val="nil"/>
              <w:bottom w:val="single" w:sz="4" w:space="0" w:color="auto"/>
              <w:right w:val="single" w:sz="4" w:space="0" w:color="auto"/>
            </w:tcBorders>
            <w:shd w:val="clear" w:color="000000" w:fill="FFFFFF"/>
            <w:vAlign w:val="center"/>
            <w:hideMark/>
          </w:tcPr>
          <w:p w14:paraId="7854EF68"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267,896,761.50 </w:t>
            </w:r>
          </w:p>
        </w:tc>
        <w:tc>
          <w:tcPr>
            <w:tcW w:w="2240" w:type="dxa"/>
            <w:tcBorders>
              <w:top w:val="nil"/>
              <w:left w:val="nil"/>
              <w:bottom w:val="single" w:sz="4" w:space="0" w:color="auto"/>
              <w:right w:val="single" w:sz="4" w:space="0" w:color="auto"/>
            </w:tcBorders>
            <w:shd w:val="clear" w:color="000000" w:fill="FFFFFF"/>
            <w:vAlign w:val="center"/>
            <w:hideMark/>
          </w:tcPr>
          <w:p w14:paraId="6D716A1B"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            270,679,527.89 </w:t>
            </w:r>
          </w:p>
        </w:tc>
      </w:tr>
      <w:tr w:rsidR="00F21D55" w:rsidRPr="00116D30" w14:paraId="1E4720EB" w14:textId="77777777" w:rsidTr="00EB489C">
        <w:trPr>
          <w:trHeight w:val="495"/>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348BFAE9" w14:textId="77777777" w:rsidR="00F21D55" w:rsidRPr="00116D30" w:rsidRDefault="00F21D55" w:rsidP="00EB489C">
            <w:pPr>
              <w:spacing w:after="0" w:line="240" w:lineRule="auto"/>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Total Efectivo y Equivalentes</w:t>
            </w:r>
          </w:p>
        </w:tc>
        <w:tc>
          <w:tcPr>
            <w:tcW w:w="2260" w:type="dxa"/>
            <w:tcBorders>
              <w:top w:val="nil"/>
              <w:left w:val="nil"/>
              <w:bottom w:val="single" w:sz="4" w:space="0" w:color="auto"/>
              <w:right w:val="single" w:sz="4" w:space="0" w:color="auto"/>
            </w:tcBorders>
            <w:shd w:val="clear" w:color="000000" w:fill="FFFFFF"/>
            <w:vAlign w:val="center"/>
            <w:hideMark/>
          </w:tcPr>
          <w:p w14:paraId="79258F36"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 xml:space="preserve">          278,412,374.89 </w:t>
            </w:r>
          </w:p>
        </w:tc>
        <w:tc>
          <w:tcPr>
            <w:tcW w:w="2240" w:type="dxa"/>
            <w:tcBorders>
              <w:top w:val="nil"/>
              <w:left w:val="nil"/>
              <w:bottom w:val="single" w:sz="4" w:space="0" w:color="auto"/>
              <w:right w:val="single" w:sz="4" w:space="0" w:color="auto"/>
            </w:tcBorders>
            <w:shd w:val="clear" w:color="000000" w:fill="FFFFFF"/>
            <w:vAlign w:val="center"/>
            <w:hideMark/>
          </w:tcPr>
          <w:p w14:paraId="30F41144"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 xml:space="preserve">          282,529,234.92 </w:t>
            </w:r>
          </w:p>
        </w:tc>
      </w:tr>
    </w:tbl>
    <w:p w14:paraId="29C6883A" w14:textId="77777777" w:rsidR="00F21D55" w:rsidRDefault="00F21D55" w:rsidP="00F21D55">
      <w:pPr>
        <w:tabs>
          <w:tab w:val="left" w:pos="5918"/>
        </w:tabs>
        <w:spacing w:line="276" w:lineRule="auto"/>
        <w:ind w:right="-1"/>
        <w:rPr>
          <w:rFonts w:cs="Arial"/>
        </w:rPr>
      </w:pPr>
    </w:p>
    <w:p w14:paraId="4064DD08" w14:textId="77777777" w:rsidR="00F21D55" w:rsidRDefault="00F21D55" w:rsidP="00F21D55">
      <w:pPr>
        <w:spacing w:line="276" w:lineRule="auto"/>
        <w:ind w:right="-1"/>
        <w:jc w:val="both"/>
      </w:pPr>
      <w:r w:rsidRPr="00C1138F">
        <w:t>La Conciliación de los Flujos de Efectivo Netos de las Actividades de Operación y la cuenta de Ahorro/Desahorro antes de Rubros Extraordinarios, queda como sigue:</w:t>
      </w:r>
    </w:p>
    <w:tbl>
      <w:tblPr>
        <w:tblW w:w="7720" w:type="dxa"/>
        <w:tblInd w:w="976" w:type="dxa"/>
        <w:tblCellMar>
          <w:left w:w="70" w:type="dxa"/>
          <w:right w:w="70" w:type="dxa"/>
        </w:tblCellMar>
        <w:tblLook w:val="04A0" w:firstRow="1" w:lastRow="0" w:firstColumn="1" w:lastColumn="0" w:noHBand="0" w:noVBand="1"/>
      </w:tblPr>
      <w:tblGrid>
        <w:gridCol w:w="3220"/>
        <w:gridCol w:w="2260"/>
        <w:gridCol w:w="2240"/>
      </w:tblGrid>
      <w:tr w:rsidR="00F21D55" w:rsidRPr="00116D30" w14:paraId="3A36EBCB" w14:textId="77777777" w:rsidTr="00EB489C">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382BD"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CONCEPTO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14:paraId="54EB8704"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MES ACTUAL</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6AA7961E" w14:textId="77777777" w:rsidR="00F21D55" w:rsidRPr="00116D30" w:rsidRDefault="00F21D55" w:rsidP="00EB489C">
            <w:pPr>
              <w:spacing w:after="0" w:line="240" w:lineRule="auto"/>
              <w:jc w:val="center"/>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MES ANTERIOR</w:t>
            </w:r>
          </w:p>
        </w:tc>
      </w:tr>
      <w:tr w:rsidR="00F21D55" w:rsidRPr="00116D30" w14:paraId="6C2C10C2" w14:textId="77777777" w:rsidTr="00EB489C">
        <w:trPr>
          <w:trHeight w:val="60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68009DFD" w14:textId="77777777" w:rsidR="00F21D55" w:rsidRPr="00116D30" w:rsidRDefault="00F21D55" w:rsidP="00EB489C">
            <w:pPr>
              <w:spacing w:after="0" w:line="240" w:lineRule="auto"/>
              <w:jc w:val="both"/>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Ahorro/Desahorro antes de rubros Extraordinarios</w:t>
            </w:r>
          </w:p>
        </w:tc>
        <w:tc>
          <w:tcPr>
            <w:tcW w:w="2260" w:type="dxa"/>
            <w:tcBorders>
              <w:top w:val="nil"/>
              <w:left w:val="nil"/>
              <w:bottom w:val="single" w:sz="4" w:space="0" w:color="auto"/>
              <w:right w:val="single" w:sz="4" w:space="0" w:color="auto"/>
            </w:tcBorders>
            <w:shd w:val="clear" w:color="auto" w:fill="auto"/>
            <w:vAlign w:val="center"/>
            <w:hideMark/>
          </w:tcPr>
          <w:p w14:paraId="7AB9EB8B"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143,165,081.77</w:t>
            </w:r>
          </w:p>
        </w:tc>
        <w:tc>
          <w:tcPr>
            <w:tcW w:w="2240" w:type="dxa"/>
            <w:tcBorders>
              <w:top w:val="nil"/>
              <w:left w:val="nil"/>
              <w:bottom w:val="single" w:sz="4" w:space="0" w:color="auto"/>
              <w:right w:val="single" w:sz="4" w:space="0" w:color="auto"/>
            </w:tcBorders>
            <w:shd w:val="clear" w:color="auto" w:fill="auto"/>
            <w:vAlign w:val="center"/>
            <w:hideMark/>
          </w:tcPr>
          <w:p w14:paraId="498E1E45"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122,617,918.65</w:t>
            </w:r>
          </w:p>
        </w:tc>
      </w:tr>
      <w:tr w:rsidR="00F21D55" w:rsidRPr="00116D30" w14:paraId="1F083DB8" w14:textId="77777777" w:rsidTr="00EB489C">
        <w:trPr>
          <w:trHeight w:val="57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718BDE8E" w14:textId="77777777" w:rsidR="00F21D55" w:rsidRPr="00116D30" w:rsidRDefault="00F21D55" w:rsidP="00EB489C">
            <w:pPr>
              <w:spacing w:after="0" w:line="240" w:lineRule="auto"/>
              <w:jc w:val="both"/>
              <w:rPr>
                <w:rFonts w:ascii="HelveticaNeueLT Std Lt" w:eastAsia="Times New Roman" w:hAnsi="HelveticaNeueLT Std Lt" w:cs="Times New Roman"/>
                <w:i/>
                <w:iCs/>
                <w:color w:val="000000"/>
                <w:lang w:eastAsia="es-MX"/>
              </w:rPr>
            </w:pPr>
            <w:r w:rsidRPr="00116D30">
              <w:rPr>
                <w:rFonts w:ascii="HelveticaNeueLT Std Lt" w:eastAsia="Times New Roman" w:hAnsi="HelveticaNeueLT Std Lt" w:cs="Times New Roman"/>
                <w:i/>
                <w:iCs/>
                <w:color w:val="000000"/>
                <w:lang w:eastAsia="es-MX"/>
              </w:rPr>
              <w:t>Movimientos de partidas (o rubros) que no afectan al efectivo.</w:t>
            </w:r>
          </w:p>
        </w:tc>
        <w:tc>
          <w:tcPr>
            <w:tcW w:w="2260" w:type="dxa"/>
            <w:tcBorders>
              <w:top w:val="nil"/>
              <w:left w:val="nil"/>
              <w:bottom w:val="single" w:sz="4" w:space="0" w:color="auto"/>
              <w:right w:val="single" w:sz="4" w:space="0" w:color="auto"/>
            </w:tcBorders>
            <w:shd w:val="clear" w:color="auto" w:fill="auto"/>
            <w:noWrap/>
            <w:vAlign w:val="bottom"/>
            <w:hideMark/>
          </w:tcPr>
          <w:p w14:paraId="1DE5E600" w14:textId="77777777" w:rsidR="00F21D55" w:rsidRPr="00116D30" w:rsidRDefault="00F21D55" w:rsidP="00EB489C">
            <w:pPr>
              <w:spacing w:after="0" w:line="240" w:lineRule="auto"/>
              <w:jc w:val="right"/>
              <w:rPr>
                <w:rFonts w:eastAsia="Times New Roman" w:cs="Times New Roman"/>
                <w:color w:val="000000"/>
                <w:lang w:eastAsia="es-MX"/>
              </w:rPr>
            </w:pPr>
            <w:r w:rsidRPr="00116D30">
              <w:rPr>
                <w:rFonts w:eastAsia="Times New Roman" w:cs="Times New Roman"/>
                <w:color w:val="000000"/>
                <w:lang w:eastAsia="es-MX"/>
              </w:rPr>
              <w:t>3,751,321.60</w:t>
            </w:r>
          </w:p>
        </w:tc>
        <w:tc>
          <w:tcPr>
            <w:tcW w:w="2240" w:type="dxa"/>
            <w:tcBorders>
              <w:top w:val="nil"/>
              <w:left w:val="nil"/>
              <w:bottom w:val="single" w:sz="4" w:space="0" w:color="auto"/>
              <w:right w:val="single" w:sz="4" w:space="0" w:color="auto"/>
            </w:tcBorders>
            <w:shd w:val="clear" w:color="auto" w:fill="auto"/>
            <w:noWrap/>
            <w:vAlign w:val="bottom"/>
            <w:hideMark/>
          </w:tcPr>
          <w:p w14:paraId="17B53D95" w14:textId="77777777" w:rsidR="00F21D55" w:rsidRPr="00116D30" w:rsidRDefault="00F21D55" w:rsidP="00EB489C">
            <w:pPr>
              <w:spacing w:after="0" w:line="240" w:lineRule="auto"/>
              <w:jc w:val="right"/>
              <w:rPr>
                <w:rFonts w:eastAsia="Times New Roman" w:cs="Times New Roman"/>
                <w:color w:val="000000"/>
                <w:lang w:eastAsia="es-MX"/>
              </w:rPr>
            </w:pPr>
            <w:r w:rsidRPr="00116D30">
              <w:rPr>
                <w:rFonts w:eastAsia="Times New Roman" w:cs="Times New Roman"/>
                <w:color w:val="000000"/>
                <w:lang w:eastAsia="es-MX"/>
              </w:rPr>
              <w:t>3,809,323.57</w:t>
            </w:r>
          </w:p>
        </w:tc>
      </w:tr>
      <w:tr w:rsidR="00F21D55" w:rsidRPr="00116D30" w14:paraId="326593E4" w14:textId="77777777" w:rsidTr="00EB489C">
        <w:trPr>
          <w:trHeight w:val="69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1A34855A" w14:textId="77777777" w:rsidR="00F21D55" w:rsidRPr="00116D30" w:rsidRDefault="00F21D55" w:rsidP="00EB489C">
            <w:pPr>
              <w:spacing w:after="0" w:line="240" w:lineRule="auto"/>
              <w:jc w:val="both"/>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Flujos Netos de Efectivo por Actividades de Operación</w:t>
            </w:r>
          </w:p>
        </w:tc>
        <w:tc>
          <w:tcPr>
            <w:tcW w:w="2260" w:type="dxa"/>
            <w:tcBorders>
              <w:top w:val="nil"/>
              <w:left w:val="nil"/>
              <w:bottom w:val="single" w:sz="4" w:space="0" w:color="auto"/>
              <w:right w:val="single" w:sz="4" w:space="0" w:color="auto"/>
            </w:tcBorders>
            <w:shd w:val="clear" w:color="auto" w:fill="auto"/>
            <w:vAlign w:val="center"/>
            <w:hideMark/>
          </w:tcPr>
          <w:p w14:paraId="6BEC8870"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139,413,760.17</w:t>
            </w:r>
          </w:p>
        </w:tc>
        <w:tc>
          <w:tcPr>
            <w:tcW w:w="2240" w:type="dxa"/>
            <w:tcBorders>
              <w:top w:val="nil"/>
              <w:left w:val="nil"/>
              <w:bottom w:val="single" w:sz="4" w:space="0" w:color="auto"/>
              <w:right w:val="single" w:sz="4" w:space="0" w:color="auto"/>
            </w:tcBorders>
            <w:shd w:val="clear" w:color="auto" w:fill="auto"/>
            <w:vAlign w:val="center"/>
            <w:hideMark/>
          </w:tcPr>
          <w:p w14:paraId="6C3B1A1C"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118,808,595.08</w:t>
            </w:r>
          </w:p>
        </w:tc>
      </w:tr>
      <w:tr w:rsidR="00F21D55" w:rsidRPr="00116D30" w14:paraId="378B1BD7" w14:textId="77777777" w:rsidTr="00EB489C">
        <w:trPr>
          <w:trHeight w:val="63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7DE76512" w14:textId="77777777" w:rsidR="00F21D55" w:rsidRPr="00116D30" w:rsidRDefault="00F21D55" w:rsidP="00EB489C">
            <w:pPr>
              <w:spacing w:after="0" w:line="240" w:lineRule="auto"/>
              <w:jc w:val="both"/>
              <w:rPr>
                <w:rFonts w:ascii="HelveticaNeueLT Std Lt" w:eastAsia="Times New Roman" w:hAnsi="HelveticaNeueLT Std Lt" w:cs="Times New Roman"/>
                <w:b/>
                <w:bCs/>
                <w:i/>
                <w:iCs/>
                <w:color w:val="000000"/>
                <w:lang w:eastAsia="es-MX"/>
              </w:rPr>
            </w:pPr>
            <w:r w:rsidRPr="00116D30">
              <w:rPr>
                <w:rFonts w:ascii="HelveticaNeueLT Std Lt" w:eastAsia="Times New Roman" w:hAnsi="HelveticaNeueLT Std Lt" w:cs="Times New Roman"/>
                <w:b/>
                <w:bCs/>
                <w:i/>
                <w:iCs/>
                <w:color w:val="000000"/>
                <w:lang w:eastAsia="es-MX"/>
              </w:rPr>
              <w:t>Flujos Netos de Efectivo por Actividades de Inversión</w:t>
            </w:r>
          </w:p>
        </w:tc>
        <w:tc>
          <w:tcPr>
            <w:tcW w:w="2260" w:type="dxa"/>
            <w:tcBorders>
              <w:top w:val="nil"/>
              <w:left w:val="nil"/>
              <w:bottom w:val="single" w:sz="4" w:space="0" w:color="auto"/>
              <w:right w:val="single" w:sz="4" w:space="0" w:color="auto"/>
            </w:tcBorders>
            <w:shd w:val="clear" w:color="auto" w:fill="auto"/>
            <w:vAlign w:val="center"/>
            <w:hideMark/>
          </w:tcPr>
          <w:p w14:paraId="311D5C2D"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-133,106,010.32</w:t>
            </w:r>
          </w:p>
        </w:tc>
        <w:tc>
          <w:tcPr>
            <w:tcW w:w="2240" w:type="dxa"/>
            <w:tcBorders>
              <w:top w:val="nil"/>
              <w:left w:val="nil"/>
              <w:bottom w:val="single" w:sz="4" w:space="0" w:color="auto"/>
              <w:right w:val="single" w:sz="4" w:space="0" w:color="auto"/>
            </w:tcBorders>
            <w:shd w:val="clear" w:color="auto" w:fill="auto"/>
            <w:vAlign w:val="center"/>
            <w:hideMark/>
          </w:tcPr>
          <w:p w14:paraId="4E65EEE8"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-105,361,156.79</w:t>
            </w:r>
          </w:p>
        </w:tc>
      </w:tr>
      <w:tr w:rsidR="00F21D55" w:rsidRPr="00116D30" w14:paraId="140EDC04" w14:textId="77777777" w:rsidTr="00EB489C">
        <w:trPr>
          <w:trHeight w:val="705"/>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6EB7CD9C" w14:textId="77777777" w:rsidR="00F21D55" w:rsidRPr="00116D30" w:rsidRDefault="00F21D55" w:rsidP="00EB489C">
            <w:pPr>
              <w:spacing w:after="0" w:line="240" w:lineRule="auto"/>
              <w:jc w:val="both"/>
              <w:rPr>
                <w:rFonts w:ascii="HelveticaNeueLT Std Lt" w:eastAsia="Times New Roman" w:hAnsi="HelveticaNeueLT Std Lt" w:cs="Times New Roman"/>
                <w:b/>
                <w:bCs/>
                <w:i/>
                <w:iCs/>
                <w:color w:val="000000"/>
                <w:lang w:eastAsia="es-MX"/>
              </w:rPr>
            </w:pPr>
            <w:r w:rsidRPr="00116D30">
              <w:rPr>
                <w:rFonts w:ascii="HelveticaNeueLT Std Lt" w:eastAsia="Times New Roman" w:hAnsi="HelveticaNeueLT Std Lt" w:cs="Times New Roman"/>
                <w:b/>
                <w:bCs/>
                <w:i/>
                <w:iCs/>
                <w:color w:val="000000"/>
                <w:lang w:eastAsia="es-MX"/>
              </w:rPr>
              <w:t>Flujos Netos de Efectivo por Actividades de Financiamiento</w:t>
            </w:r>
          </w:p>
        </w:tc>
        <w:tc>
          <w:tcPr>
            <w:tcW w:w="2260" w:type="dxa"/>
            <w:tcBorders>
              <w:top w:val="nil"/>
              <w:left w:val="nil"/>
              <w:bottom w:val="single" w:sz="4" w:space="0" w:color="auto"/>
              <w:right w:val="single" w:sz="4" w:space="0" w:color="auto"/>
            </w:tcBorders>
            <w:shd w:val="clear" w:color="auto" w:fill="auto"/>
            <w:vAlign w:val="center"/>
            <w:hideMark/>
          </w:tcPr>
          <w:p w14:paraId="1C57D6F4"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0.00</w:t>
            </w:r>
          </w:p>
        </w:tc>
        <w:tc>
          <w:tcPr>
            <w:tcW w:w="2240" w:type="dxa"/>
            <w:tcBorders>
              <w:top w:val="nil"/>
              <w:left w:val="nil"/>
              <w:bottom w:val="single" w:sz="4" w:space="0" w:color="auto"/>
              <w:right w:val="single" w:sz="4" w:space="0" w:color="auto"/>
            </w:tcBorders>
            <w:shd w:val="clear" w:color="auto" w:fill="auto"/>
            <w:vAlign w:val="center"/>
            <w:hideMark/>
          </w:tcPr>
          <w:p w14:paraId="70DE1D17"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2,230,945.05</w:t>
            </w:r>
          </w:p>
        </w:tc>
      </w:tr>
      <w:tr w:rsidR="00F21D55" w:rsidRPr="00116D30" w14:paraId="493CA981" w14:textId="77777777" w:rsidTr="00EB489C">
        <w:trPr>
          <w:trHeight w:val="645"/>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191B4538" w14:textId="77777777" w:rsidR="00F21D55" w:rsidRPr="00116D30" w:rsidRDefault="00F21D55" w:rsidP="00EB489C">
            <w:pPr>
              <w:spacing w:after="0" w:line="240" w:lineRule="auto"/>
              <w:jc w:val="both"/>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Variación Neta en el Efectivo y Equivalentes al Efectivo</w:t>
            </w:r>
          </w:p>
        </w:tc>
        <w:tc>
          <w:tcPr>
            <w:tcW w:w="2260" w:type="dxa"/>
            <w:tcBorders>
              <w:top w:val="nil"/>
              <w:left w:val="nil"/>
              <w:bottom w:val="single" w:sz="4" w:space="0" w:color="auto"/>
              <w:right w:val="single" w:sz="4" w:space="0" w:color="auto"/>
            </w:tcBorders>
            <w:shd w:val="clear" w:color="auto" w:fill="auto"/>
            <w:vAlign w:val="center"/>
            <w:hideMark/>
          </w:tcPr>
          <w:p w14:paraId="463B3EEC"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-4,116,860.03</w:t>
            </w:r>
          </w:p>
        </w:tc>
        <w:tc>
          <w:tcPr>
            <w:tcW w:w="2240" w:type="dxa"/>
            <w:tcBorders>
              <w:top w:val="nil"/>
              <w:left w:val="nil"/>
              <w:bottom w:val="single" w:sz="4" w:space="0" w:color="auto"/>
              <w:right w:val="single" w:sz="4" w:space="0" w:color="auto"/>
            </w:tcBorders>
            <w:shd w:val="clear" w:color="auto" w:fill="auto"/>
            <w:vAlign w:val="center"/>
            <w:hideMark/>
          </w:tcPr>
          <w:p w14:paraId="69E9CBCF"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15,678,383.34</w:t>
            </w:r>
          </w:p>
        </w:tc>
      </w:tr>
      <w:tr w:rsidR="00F21D55" w:rsidRPr="00116D30" w14:paraId="7AC81251" w14:textId="77777777" w:rsidTr="00EB489C">
        <w:trPr>
          <w:trHeight w:val="54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373F8385" w14:textId="77777777" w:rsidR="00F21D55" w:rsidRPr="00116D30" w:rsidRDefault="00F21D55" w:rsidP="00EB489C">
            <w:pPr>
              <w:spacing w:after="0" w:line="240" w:lineRule="auto"/>
              <w:jc w:val="both"/>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Efectivo y Equivalentes al Efectivo al Inicio del Ejercicio</w:t>
            </w:r>
          </w:p>
        </w:tc>
        <w:tc>
          <w:tcPr>
            <w:tcW w:w="2260" w:type="dxa"/>
            <w:tcBorders>
              <w:top w:val="nil"/>
              <w:left w:val="nil"/>
              <w:bottom w:val="single" w:sz="4" w:space="0" w:color="auto"/>
              <w:right w:val="single" w:sz="4" w:space="0" w:color="auto"/>
            </w:tcBorders>
            <w:shd w:val="clear" w:color="auto" w:fill="auto"/>
            <w:vAlign w:val="center"/>
            <w:hideMark/>
          </w:tcPr>
          <w:p w14:paraId="1AA54E00"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282,529,234.92</w:t>
            </w:r>
          </w:p>
        </w:tc>
        <w:tc>
          <w:tcPr>
            <w:tcW w:w="2240" w:type="dxa"/>
            <w:tcBorders>
              <w:top w:val="nil"/>
              <w:left w:val="nil"/>
              <w:bottom w:val="single" w:sz="4" w:space="0" w:color="auto"/>
              <w:right w:val="single" w:sz="4" w:space="0" w:color="auto"/>
            </w:tcBorders>
            <w:shd w:val="clear" w:color="auto" w:fill="auto"/>
            <w:vAlign w:val="center"/>
            <w:hideMark/>
          </w:tcPr>
          <w:p w14:paraId="52AE10D1" w14:textId="77777777" w:rsidR="00F21D55" w:rsidRPr="00116D30" w:rsidRDefault="00F21D55" w:rsidP="00EB489C">
            <w:pPr>
              <w:spacing w:after="0" w:line="240" w:lineRule="auto"/>
              <w:jc w:val="right"/>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266,850,851.58</w:t>
            </w:r>
          </w:p>
        </w:tc>
      </w:tr>
      <w:tr w:rsidR="00F21D55" w:rsidRPr="00116D30" w14:paraId="47C859AC" w14:textId="77777777" w:rsidTr="00EB489C">
        <w:trPr>
          <w:trHeight w:val="510"/>
        </w:trPr>
        <w:tc>
          <w:tcPr>
            <w:tcW w:w="3220" w:type="dxa"/>
            <w:tcBorders>
              <w:top w:val="nil"/>
              <w:left w:val="single" w:sz="4" w:space="0" w:color="auto"/>
              <w:bottom w:val="single" w:sz="4" w:space="0" w:color="auto"/>
              <w:right w:val="single" w:sz="4" w:space="0" w:color="auto"/>
            </w:tcBorders>
            <w:shd w:val="clear" w:color="000000" w:fill="FFFFFF"/>
            <w:vAlign w:val="center"/>
            <w:hideMark/>
          </w:tcPr>
          <w:p w14:paraId="687398F2" w14:textId="77777777" w:rsidR="00F21D55" w:rsidRPr="00116D30" w:rsidRDefault="00F21D55" w:rsidP="00EB489C">
            <w:pPr>
              <w:spacing w:after="0" w:line="240" w:lineRule="auto"/>
              <w:jc w:val="both"/>
              <w:rPr>
                <w:rFonts w:ascii="HelveticaNeueLT Std Lt" w:eastAsia="Times New Roman" w:hAnsi="HelveticaNeueLT Std Lt" w:cs="Times New Roman"/>
                <w:color w:val="000000"/>
                <w:lang w:eastAsia="es-MX"/>
              </w:rPr>
            </w:pPr>
            <w:r w:rsidRPr="00116D30">
              <w:rPr>
                <w:rFonts w:ascii="HelveticaNeueLT Std Lt" w:eastAsia="Times New Roman" w:hAnsi="HelveticaNeueLT Std Lt" w:cs="Times New Roman"/>
                <w:color w:val="000000"/>
                <w:lang w:eastAsia="es-MX"/>
              </w:rPr>
              <w:t xml:space="preserve">Efectivo y Equivalentes al Efectivo al final del Ejercicio </w:t>
            </w:r>
          </w:p>
        </w:tc>
        <w:tc>
          <w:tcPr>
            <w:tcW w:w="2260" w:type="dxa"/>
            <w:tcBorders>
              <w:top w:val="nil"/>
              <w:left w:val="nil"/>
              <w:bottom w:val="single" w:sz="4" w:space="0" w:color="auto"/>
              <w:right w:val="single" w:sz="4" w:space="0" w:color="auto"/>
            </w:tcBorders>
            <w:shd w:val="clear" w:color="auto" w:fill="auto"/>
            <w:vAlign w:val="center"/>
            <w:hideMark/>
          </w:tcPr>
          <w:p w14:paraId="35BF6EEE"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278,412,374.89</w:t>
            </w:r>
          </w:p>
        </w:tc>
        <w:tc>
          <w:tcPr>
            <w:tcW w:w="2240" w:type="dxa"/>
            <w:tcBorders>
              <w:top w:val="nil"/>
              <w:left w:val="nil"/>
              <w:bottom w:val="single" w:sz="4" w:space="0" w:color="auto"/>
              <w:right w:val="single" w:sz="4" w:space="0" w:color="auto"/>
            </w:tcBorders>
            <w:shd w:val="clear" w:color="auto" w:fill="auto"/>
            <w:vAlign w:val="center"/>
            <w:hideMark/>
          </w:tcPr>
          <w:p w14:paraId="0C0F7356" w14:textId="77777777" w:rsidR="00F21D55" w:rsidRPr="00116D30" w:rsidRDefault="00F21D55" w:rsidP="00EB489C">
            <w:pPr>
              <w:spacing w:after="0" w:line="240" w:lineRule="auto"/>
              <w:jc w:val="right"/>
              <w:rPr>
                <w:rFonts w:ascii="HelveticaNeueLT Std Lt" w:eastAsia="Times New Roman" w:hAnsi="HelveticaNeueLT Std Lt" w:cs="Times New Roman"/>
                <w:b/>
                <w:bCs/>
                <w:color w:val="000000"/>
                <w:lang w:eastAsia="es-MX"/>
              </w:rPr>
            </w:pPr>
            <w:r w:rsidRPr="00116D30">
              <w:rPr>
                <w:rFonts w:ascii="HelveticaNeueLT Std Lt" w:eastAsia="Times New Roman" w:hAnsi="HelveticaNeueLT Std Lt" w:cs="Times New Roman"/>
                <w:b/>
                <w:bCs/>
                <w:color w:val="000000"/>
                <w:lang w:eastAsia="es-MX"/>
              </w:rPr>
              <w:t>282,529,234.92</w:t>
            </w:r>
          </w:p>
        </w:tc>
      </w:tr>
    </w:tbl>
    <w:p w14:paraId="298C79E5" w14:textId="77777777" w:rsidR="007C0E6F" w:rsidRDefault="007C0E6F" w:rsidP="00796C8A">
      <w:pPr>
        <w:spacing w:line="276" w:lineRule="auto"/>
        <w:ind w:right="-1"/>
        <w:jc w:val="both"/>
        <w:rPr>
          <w:rFonts w:cs="Arial"/>
        </w:rPr>
      </w:pPr>
    </w:p>
    <w:p w14:paraId="7DD00A16" w14:textId="77777777" w:rsidR="00796C8A" w:rsidRDefault="00796C8A" w:rsidP="00796C8A">
      <w:pPr>
        <w:spacing w:line="276" w:lineRule="auto"/>
        <w:ind w:right="-1"/>
        <w:jc w:val="both"/>
      </w:pPr>
      <w:r>
        <w:rPr>
          <w:rFonts w:cs="Arial"/>
        </w:rPr>
        <w:t>El efectivo y equivalentes en este mes para que el Instituto de la Función Registral del Estado de México cubra sus obligaciones de pago, fue de 278</w:t>
      </w:r>
      <w:proofErr w:type="gramStart"/>
      <w:r>
        <w:rPr>
          <w:rFonts w:cs="Arial"/>
        </w:rPr>
        <w:t>,412,374.89</w:t>
      </w:r>
      <w:proofErr w:type="gramEnd"/>
      <w:r>
        <w:rPr>
          <w:rFonts w:cs="Arial"/>
        </w:rPr>
        <w:t>.</w:t>
      </w:r>
    </w:p>
    <w:p w14:paraId="1D126258" w14:textId="77777777" w:rsidR="00142DF7" w:rsidRPr="00142DF7" w:rsidRDefault="00142DF7" w:rsidP="00142DF7">
      <w:pPr>
        <w:numPr>
          <w:ilvl w:val="0"/>
          <w:numId w:val="7"/>
        </w:numPr>
        <w:spacing w:before="240" w:after="240" w:line="276" w:lineRule="auto"/>
        <w:ind w:left="1428" w:right="-1"/>
        <w:contextualSpacing/>
        <w:outlineLvl w:val="0"/>
        <w:rPr>
          <w:rFonts w:eastAsia="Calibri" w:cs="Arial"/>
          <w:b/>
          <w:lang w:eastAsia="es-MX"/>
        </w:rPr>
      </w:pPr>
      <w:r w:rsidRPr="00142DF7">
        <w:rPr>
          <w:rFonts w:eastAsia="Times New Roman" w:cs="Arial"/>
          <w:b/>
          <w:lang w:eastAsia="es-MX"/>
        </w:rPr>
        <w:lastRenderedPageBreak/>
        <w:t>CONCILIACIÓN ENTRE LOS INGRESOS PRESUPUESTARIOS Y CONTABLES, ASÍ COMO ENTRE LOS EGRESOS PRESUPUESTARIOS Y LOS GASTOS CONTABLES</w:t>
      </w:r>
    </w:p>
    <w:p w14:paraId="65539532" w14:textId="77777777" w:rsidR="00142DF7" w:rsidRPr="00142DF7" w:rsidRDefault="00142DF7" w:rsidP="00142DF7">
      <w:pPr>
        <w:tabs>
          <w:tab w:val="left" w:pos="2460"/>
          <w:tab w:val="left" w:pos="4290"/>
          <w:tab w:val="center" w:pos="5031"/>
        </w:tabs>
        <w:spacing w:line="254" w:lineRule="auto"/>
        <w:rPr>
          <w:rFonts w:eastAsia="Calibri" w:cs="Times New Roman"/>
          <w:highlight w:val="yellow"/>
        </w:rPr>
      </w:pPr>
      <w:r w:rsidRPr="00142DF7">
        <w:rPr>
          <w:rFonts w:eastAsia="Calibri" w:cs="Times New Roman"/>
          <w:noProof/>
          <w:lang w:eastAsia="es-MX"/>
        </w:rPr>
        <w:tab/>
      </w:r>
      <w:r w:rsidRPr="00142DF7">
        <w:rPr>
          <w:rFonts w:eastAsia="Calibri" w:cs="Times New Roman"/>
          <w:noProof/>
          <w:lang w:eastAsia="es-MX"/>
        </w:rPr>
        <w:tab/>
      </w:r>
      <w:r w:rsidRPr="00142DF7">
        <w:rPr>
          <w:rFonts w:eastAsia="Calibri" w:cs="Times New Roman"/>
          <w:noProof/>
          <w:lang w:eastAsia="es-MX"/>
        </w:rPr>
        <w:tab/>
      </w:r>
      <w:r w:rsidRPr="00142DF7">
        <w:rPr>
          <w:rFonts w:eastAsia="Calibri" w:cs="Times New Roman"/>
          <w:noProof/>
          <w:lang w:eastAsia="es-MX"/>
        </w:rPr>
        <w:drawing>
          <wp:inline distT="0" distB="0" distL="0" distR="0" wp14:anchorId="7CF0780B" wp14:editId="303A2B8B">
            <wp:extent cx="6276975" cy="3857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r w:rsidRPr="00142DF7">
        <w:rPr>
          <w:rFonts w:eastAsia="Calibri" w:cs="Times New Roman"/>
          <w:noProof/>
          <w:lang w:eastAsia="es-MX"/>
        </w:rPr>
        <w:tab/>
      </w:r>
    </w:p>
    <w:p w14:paraId="528F8717" w14:textId="77777777" w:rsidR="00142DF7" w:rsidRPr="00142DF7" w:rsidRDefault="00142DF7" w:rsidP="00142DF7">
      <w:pPr>
        <w:spacing w:after="0" w:line="276" w:lineRule="auto"/>
        <w:ind w:right="-1"/>
        <w:rPr>
          <w:rFonts w:eastAsia="Calibri" w:cs="Times New Roman"/>
          <w:noProof/>
          <w:lang w:eastAsia="es-MX"/>
        </w:rPr>
      </w:pPr>
    </w:p>
    <w:p w14:paraId="673E54B8" w14:textId="1489633B" w:rsidR="00142DF7" w:rsidRPr="00142DF7" w:rsidRDefault="00142DF7" w:rsidP="00142DF7">
      <w:pPr>
        <w:tabs>
          <w:tab w:val="left" w:pos="1545"/>
        </w:tabs>
        <w:spacing w:line="254" w:lineRule="auto"/>
        <w:jc w:val="both"/>
        <w:rPr>
          <w:rFonts w:eastAsia="Calibri" w:cs="Arial"/>
        </w:rPr>
      </w:pPr>
      <w:r w:rsidRPr="00142DF7">
        <w:rPr>
          <w:rFonts w:eastAsia="Calibri" w:cs="Arial"/>
          <w:b/>
        </w:rPr>
        <w:t>Conciliación entre los Ingresos Presupuestarios y Contables</w:t>
      </w:r>
      <w:r w:rsidRPr="00142DF7">
        <w:rPr>
          <w:rFonts w:eastAsia="Calibri" w:cs="Arial"/>
        </w:rPr>
        <w:t>.- Conciliación entre los Ingresos Presupuestarios y Contables.-  El renglón de Otros Ingresos Presupuestales No Contables por 281,969,228.89 se integran de: 88,233,018.07 Ingresos por disponibilidades presupuestarias Entidades Públicas 193,736,210.82  para el pago de Amortización de Capital de los Certificados Bursátiles Series "A", "B"</w:t>
      </w:r>
      <w:r w:rsidR="007C0E6F">
        <w:rPr>
          <w:rFonts w:eastAsia="Calibri" w:cs="Arial"/>
        </w:rPr>
        <w:t xml:space="preserve"> y</w:t>
      </w:r>
      <w:r w:rsidRPr="00142DF7">
        <w:rPr>
          <w:rFonts w:eastAsia="Calibri" w:cs="Arial"/>
        </w:rPr>
        <w:t xml:space="preserve"> "C" correspondientes al presente ejercicio del 2021.</w:t>
      </w:r>
    </w:p>
    <w:p w14:paraId="5D450F1A" w14:textId="77777777" w:rsidR="00142DF7" w:rsidRPr="00142DF7" w:rsidRDefault="00142DF7" w:rsidP="00142DF7">
      <w:pPr>
        <w:spacing w:line="254" w:lineRule="auto"/>
        <w:rPr>
          <w:rFonts w:eastAsia="Calibri" w:cs="Arial"/>
          <w:highlight w:val="yellow"/>
        </w:rPr>
      </w:pPr>
    </w:p>
    <w:p w14:paraId="3D6146BE" w14:textId="77777777" w:rsidR="00142DF7" w:rsidRPr="00142DF7" w:rsidRDefault="00142DF7" w:rsidP="00142DF7">
      <w:pPr>
        <w:spacing w:line="254" w:lineRule="auto"/>
        <w:rPr>
          <w:rFonts w:eastAsia="Calibri" w:cs="Arial"/>
          <w:highlight w:val="yellow"/>
        </w:rPr>
      </w:pPr>
    </w:p>
    <w:p w14:paraId="57E3A8E2" w14:textId="77777777" w:rsidR="00142DF7" w:rsidRPr="00142DF7" w:rsidRDefault="00142DF7" w:rsidP="00142DF7">
      <w:pPr>
        <w:tabs>
          <w:tab w:val="left" w:pos="5985"/>
          <w:tab w:val="left" w:pos="8445"/>
        </w:tabs>
        <w:spacing w:line="254" w:lineRule="auto"/>
        <w:rPr>
          <w:rFonts w:eastAsia="Calibri" w:cs="Arial"/>
        </w:rPr>
      </w:pPr>
      <w:r w:rsidRPr="00142DF7">
        <w:rPr>
          <w:rFonts w:eastAsia="Calibri" w:cs="Arial"/>
        </w:rPr>
        <w:tab/>
      </w:r>
      <w:r w:rsidRPr="00142DF7">
        <w:rPr>
          <w:rFonts w:eastAsia="Calibri" w:cs="Arial"/>
        </w:rPr>
        <w:tab/>
      </w:r>
    </w:p>
    <w:p w14:paraId="53D2D957" w14:textId="77777777" w:rsidR="00142DF7" w:rsidRPr="00142DF7" w:rsidRDefault="00142DF7" w:rsidP="00142DF7">
      <w:pPr>
        <w:tabs>
          <w:tab w:val="left" w:pos="8445"/>
        </w:tabs>
        <w:spacing w:line="254" w:lineRule="auto"/>
        <w:rPr>
          <w:rFonts w:eastAsia="Calibri" w:cs="Arial"/>
        </w:rPr>
      </w:pPr>
    </w:p>
    <w:p w14:paraId="5AE8C661" w14:textId="333D34A6" w:rsidR="00142DF7" w:rsidRPr="00142DF7" w:rsidRDefault="007C0E6F" w:rsidP="00142DF7">
      <w:pPr>
        <w:tabs>
          <w:tab w:val="left" w:pos="1215"/>
        </w:tabs>
        <w:spacing w:line="254" w:lineRule="auto"/>
        <w:jc w:val="center"/>
        <w:rPr>
          <w:rFonts w:eastAsia="Calibri" w:cs="Arial"/>
          <w:b/>
        </w:rPr>
      </w:pPr>
      <w:r w:rsidRPr="007C0E6F">
        <w:lastRenderedPageBreak/>
        <w:drawing>
          <wp:inline distT="0" distB="0" distL="0" distR="0" wp14:anchorId="6EA8DF4F" wp14:editId="1DED89F2">
            <wp:extent cx="5497830" cy="6044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2049" cy="6071418"/>
                    </a:xfrm>
                    <a:prstGeom prst="rect">
                      <a:avLst/>
                    </a:prstGeom>
                    <a:noFill/>
                    <a:ln>
                      <a:noFill/>
                    </a:ln>
                  </pic:spPr>
                </pic:pic>
              </a:graphicData>
            </a:graphic>
          </wp:inline>
        </w:drawing>
      </w:r>
    </w:p>
    <w:p w14:paraId="2F0F6708" w14:textId="427DBB64" w:rsidR="004314D0" w:rsidRDefault="00142DF7" w:rsidP="00142DF7">
      <w:pPr>
        <w:tabs>
          <w:tab w:val="left" w:pos="1215"/>
        </w:tabs>
        <w:spacing w:line="254" w:lineRule="auto"/>
        <w:jc w:val="both"/>
        <w:rPr>
          <w:rFonts w:eastAsia="Calibri" w:cs="Arial"/>
        </w:rPr>
      </w:pPr>
      <w:r w:rsidRPr="00142DF7">
        <w:rPr>
          <w:rFonts w:eastAsia="Calibri" w:cs="Arial"/>
          <w:b/>
        </w:rPr>
        <w:t>Conciliación entre los Egresos Presupuestarios y los Gastos Contables</w:t>
      </w:r>
      <w:r w:rsidRPr="00142DF7">
        <w:rPr>
          <w:rFonts w:eastAsia="Calibri" w:cs="Arial"/>
        </w:rPr>
        <w:t>.-</w:t>
      </w:r>
      <w:r w:rsidRPr="00142DF7">
        <w:rPr>
          <w:rFonts w:eastAsia="Calibri" w:cs="Times New Roman"/>
        </w:rPr>
        <w:t xml:space="preserve"> </w:t>
      </w:r>
      <w:r w:rsidRPr="00142DF7">
        <w:rPr>
          <w:rFonts w:eastAsia="Calibri" w:cs="Arial"/>
        </w:rPr>
        <w:t xml:space="preserve">El renglón de Otros Egresos Presupuestales No Contables por 862,760,028.58  se integran de: 819,547,032.31 de las Transferencias al Fideicomiso de Cobranza, 23,445,493.73 del saldo de los recursos por el Programa de Acciones de Desarrollo (PAD), en el “Programa de Regularización de Tenencia de Tierra” y 19,767,502.54 , en los otros </w:t>
      </w:r>
      <w:proofErr w:type="spellStart"/>
      <w:r w:rsidRPr="00142DF7">
        <w:rPr>
          <w:rFonts w:eastAsia="Calibri" w:cs="Arial"/>
        </w:rPr>
        <w:t>capitulos</w:t>
      </w:r>
      <w:proofErr w:type="spellEnd"/>
      <w:r w:rsidRPr="00142DF7">
        <w:rPr>
          <w:rFonts w:eastAsia="Calibri" w:cs="Arial"/>
        </w:rPr>
        <w:t xml:space="preserve"> de gasto del recurso comprometido de acuerdo al Avance Presupuestal al mes que se analiza. En el rubro de Otros Gastos Contables No Presupuestales el importe de 3</w:t>
      </w:r>
      <w:proofErr w:type="gramStart"/>
      <w:r w:rsidRPr="00142DF7">
        <w:rPr>
          <w:rFonts w:eastAsia="Calibri" w:cs="Arial"/>
        </w:rPr>
        <w:t>,075,045.84</w:t>
      </w:r>
      <w:proofErr w:type="gramEnd"/>
      <w:r w:rsidRPr="00142DF7">
        <w:rPr>
          <w:rFonts w:eastAsia="Calibri" w:cs="Arial"/>
        </w:rPr>
        <w:t xml:space="preserve"> corresponde a la transferencia al </w:t>
      </w:r>
      <w:proofErr w:type="spellStart"/>
      <w:r w:rsidRPr="00142DF7">
        <w:rPr>
          <w:rFonts w:eastAsia="Calibri" w:cs="Arial"/>
        </w:rPr>
        <w:t>GEM</w:t>
      </w:r>
      <w:proofErr w:type="spellEnd"/>
      <w:r w:rsidRPr="00142DF7">
        <w:rPr>
          <w:rFonts w:eastAsia="Calibri" w:cs="Arial"/>
        </w:rPr>
        <w:t>, de los remanentes e intereses generados del PAD del ejercicio 2020</w:t>
      </w:r>
      <w:r>
        <w:rPr>
          <w:rFonts w:eastAsia="Calibri" w:cs="Arial"/>
        </w:rPr>
        <w:t>.</w:t>
      </w:r>
    </w:p>
    <w:p w14:paraId="2EDCB4F5" w14:textId="3CD1DDCF" w:rsidR="00D85814" w:rsidRPr="003C2837" w:rsidRDefault="004314D0" w:rsidP="007C0E6F">
      <w:pPr>
        <w:spacing w:line="259" w:lineRule="auto"/>
        <w:rPr>
          <w:rFonts w:eastAsia="Times New Roman" w:cs="Arial"/>
          <w:b/>
          <w:lang w:eastAsia="es-MX"/>
        </w:rPr>
      </w:pPr>
      <w:r>
        <w:rPr>
          <w:rFonts w:eastAsia="Calibri" w:cs="Arial"/>
        </w:rPr>
        <w:br w:type="page"/>
      </w:r>
      <w:r w:rsidR="00D85814" w:rsidRPr="003C2837">
        <w:rPr>
          <w:rFonts w:eastAsia="Times New Roman" w:cs="Arial"/>
          <w:b/>
          <w:lang w:eastAsia="es-MX"/>
        </w:rPr>
        <w:lastRenderedPageBreak/>
        <w:t>NOTAS DE MEMORIA (CUENTAS DE ORDEN)</w:t>
      </w:r>
    </w:p>
    <w:p w14:paraId="6416DBAA" w14:textId="77777777" w:rsidR="00D85814" w:rsidRPr="003C2837" w:rsidRDefault="00D85814" w:rsidP="00D85814">
      <w:pPr>
        <w:tabs>
          <w:tab w:val="left" w:pos="3836"/>
        </w:tabs>
        <w:spacing w:after="0" w:line="276" w:lineRule="auto"/>
        <w:ind w:left="714" w:right="-1"/>
        <w:contextualSpacing/>
        <w:outlineLvl w:val="0"/>
        <w:rPr>
          <w:rFonts w:eastAsia="Times New Roman" w:cs="Arial"/>
          <w:b/>
          <w:lang w:eastAsia="es-MX"/>
        </w:rPr>
      </w:pPr>
    </w:p>
    <w:p w14:paraId="5BF5FF98" w14:textId="77777777" w:rsidR="00D85814" w:rsidRDefault="00D85814" w:rsidP="00D85814">
      <w:pPr>
        <w:tabs>
          <w:tab w:val="left" w:pos="8064"/>
        </w:tabs>
        <w:spacing w:line="276" w:lineRule="auto"/>
        <w:ind w:right="-1"/>
        <w:jc w:val="both"/>
        <w:outlineLvl w:val="0"/>
        <w:rPr>
          <w:rFonts w:cs="Arial"/>
        </w:rPr>
      </w:pPr>
      <w:r w:rsidRPr="00D62C1B">
        <w:rPr>
          <w:rFonts w:cs="Arial"/>
        </w:rPr>
        <w:t>Las Cuentas de Orden Contables y Presupuestarias se integran de la siguiente forma:</w:t>
      </w:r>
    </w:p>
    <w:p w14:paraId="075B4735" w14:textId="77777777" w:rsidR="00D85814" w:rsidRPr="00D62C1B" w:rsidRDefault="00D85814" w:rsidP="00D85814">
      <w:pPr>
        <w:tabs>
          <w:tab w:val="left" w:pos="8064"/>
        </w:tabs>
        <w:spacing w:line="276" w:lineRule="auto"/>
        <w:ind w:right="-1"/>
        <w:jc w:val="both"/>
        <w:outlineLvl w:val="0"/>
        <w:rPr>
          <w:rFonts w:cs="Arial"/>
        </w:rPr>
      </w:pPr>
      <w:r w:rsidRPr="003A5403">
        <w:rPr>
          <w:noProof/>
          <w:lang w:eastAsia="es-MX"/>
        </w:rPr>
        <w:drawing>
          <wp:inline distT="0" distB="0" distL="0" distR="0" wp14:anchorId="12851E31" wp14:editId="17E3F3C0">
            <wp:extent cx="6387389" cy="124206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3924" cy="1245275"/>
                    </a:xfrm>
                    <a:prstGeom prst="rect">
                      <a:avLst/>
                    </a:prstGeom>
                    <a:noFill/>
                    <a:ln>
                      <a:noFill/>
                    </a:ln>
                  </pic:spPr>
                </pic:pic>
              </a:graphicData>
            </a:graphic>
          </wp:inline>
        </w:drawing>
      </w:r>
    </w:p>
    <w:p w14:paraId="53C77FB0" w14:textId="77777777" w:rsidR="00D85814" w:rsidRPr="00D62C1B" w:rsidRDefault="00D85814" w:rsidP="00D85814">
      <w:pPr>
        <w:tabs>
          <w:tab w:val="left" w:pos="8064"/>
        </w:tabs>
        <w:spacing w:line="276" w:lineRule="auto"/>
        <w:ind w:right="-1"/>
        <w:jc w:val="both"/>
        <w:outlineLvl w:val="0"/>
        <w:rPr>
          <w:rFonts w:cs="Arial"/>
        </w:rPr>
      </w:pPr>
      <w:r w:rsidRPr="003A5403">
        <w:rPr>
          <w:noProof/>
          <w:lang w:eastAsia="es-MX"/>
        </w:rPr>
        <w:drawing>
          <wp:inline distT="0" distB="0" distL="0" distR="0" wp14:anchorId="1F0ADE33" wp14:editId="7EFB0F02">
            <wp:extent cx="6388100" cy="46101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710" cy="4613427"/>
                    </a:xfrm>
                    <a:prstGeom prst="rect">
                      <a:avLst/>
                    </a:prstGeom>
                    <a:noFill/>
                    <a:ln>
                      <a:noFill/>
                    </a:ln>
                  </pic:spPr>
                </pic:pic>
              </a:graphicData>
            </a:graphic>
          </wp:inline>
        </w:drawing>
      </w:r>
    </w:p>
    <w:p w14:paraId="277A6F10" w14:textId="77777777" w:rsidR="00D85814" w:rsidRPr="00D62C1B" w:rsidRDefault="00D85814" w:rsidP="00D85814">
      <w:pPr>
        <w:tabs>
          <w:tab w:val="left" w:pos="8064"/>
        </w:tabs>
        <w:spacing w:line="276" w:lineRule="auto"/>
        <w:ind w:right="-1"/>
        <w:jc w:val="both"/>
        <w:outlineLvl w:val="0"/>
        <w:rPr>
          <w:rFonts w:cs="Arial"/>
        </w:rPr>
      </w:pPr>
    </w:p>
    <w:p w14:paraId="1F037069" w14:textId="77777777" w:rsidR="00D85814" w:rsidRPr="00D62C1B" w:rsidRDefault="00D85814" w:rsidP="00D85814">
      <w:pPr>
        <w:tabs>
          <w:tab w:val="left" w:pos="8064"/>
        </w:tabs>
        <w:spacing w:line="276" w:lineRule="auto"/>
        <w:ind w:right="-1"/>
        <w:jc w:val="both"/>
        <w:outlineLvl w:val="0"/>
        <w:rPr>
          <w:rFonts w:cs="Arial"/>
        </w:rPr>
      </w:pPr>
      <w:r w:rsidRPr="00D62C1B">
        <w:rPr>
          <w:rFonts w:cs="Arial"/>
        </w:rPr>
        <w:br w:type="page"/>
      </w:r>
      <w:r w:rsidRPr="00D62C1B">
        <w:rPr>
          <w:rFonts w:cs="Arial"/>
        </w:rPr>
        <w:lastRenderedPageBreak/>
        <w:t xml:space="preserve">La comunicación de la asignación del Presupuesto Autorizado para el Ejercicio Fiscal 2021, se realizó mediante oficio No. 20704001L-0030/2021, de fecha 25 de enero de 2021, emitido por la Secretaría de Finanzas, con el cual se aprueba la asignación presupuestal autorizada por la LX Legislatura local al Instituto de la Función Registral del Estado de México, que asciende a la cantidad de </w:t>
      </w:r>
      <w:r w:rsidRPr="00D62C1B">
        <w:rPr>
          <w:rFonts w:cs="Arial"/>
          <w:b/>
        </w:rPr>
        <w:t>2,363,412,317.00</w:t>
      </w:r>
      <w:r w:rsidRPr="00D62C1B">
        <w:rPr>
          <w:rFonts w:cs="Arial"/>
        </w:rPr>
        <w:t>, adicionalmente</w:t>
      </w:r>
      <w:r w:rsidRPr="00D62C1B">
        <w:rPr>
          <w:rFonts w:cs="Arial"/>
          <w:b/>
        </w:rPr>
        <w:t xml:space="preserve"> s</w:t>
      </w:r>
      <w:r w:rsidRPr="00D62C1B">
        <w:rPr>
          <w:rFonts w:cs="Arial"/>
        </w:rPr>
        <w:t>e tuvo una asignación presupuestal de 37,093,782.66, autorizada con el oficio No. 20704000L-APAD-0002/21, del 25 de enero de 2021, signado por el Subsecretario de Planeación y Presupuesto, para el Programa de Acciones para el Desarrollo (PAD), dando un total de 2,400,506,099.66, distribuid0 de la siguiente manera:</w:t>
      </w:r>
    </w:p>
    <w:p w14:paraId="61FC3D71" w14:textId="77777777" w:rsidR="00D85814" w:rsidRPr="00D62C1B" w:rsidRDefault="00D85814" w:rsidP="00D85814">
      <w:pPr>
        <w:tabs>
          <w:tab w:val="left" w:pos="8652"/>
        </w:tabs>
        <w:spacing w:line="276" w:lineRule="auto"/>
        <w:ind w:right="-1"/>
        <w:jc w:val="center"/>
        <w:outlineLvl w:val="0"/>
        <w:rPr>
          <w:rFonts w:cs="Arial"/>
        </w:rPr>
      </w:pPr>
      <w:r w:rsidRPr="00D62C1B">
        <w:rPr>
          <w:noProof/>
          <w:lang w:eastAsia="es-MX"/>
        </w:rPr>
        <w:drawing>
          <wp:inline distT="0" distB="0" distL="0" distR="0" wp14:anchorId="007BC0AF" wp14:editId="269B9DEB">
            <wp:extent cx="5880100" cy="210185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0100" cy="2101850"/>
                    </a:xfrm>
                    <a:prstGeom prst="rect">
                      <a:avLst/>
                    </a:prstGeom>
                    <a:noFill/>
                    <a:ln>
                      <a:noFill/>
                    </a:ln>
                  </pic:spPr>
                </pic:pic>
              </a:graphicData>
            </a:graphic>
          </wp:inline>
        </w:drawing>
      </w:r>
    </w:p>
    <w:p w14:paraId="24CDF4F7" w14:textId="77777777" w:rsidR="00D85814" w:rsidRPr="00D62C1B" w:rsidRDefault="00D85814" w:rsidP="00D85814">
      <w:pPr>
        <w:spacing w:line="276" w:lineRule="auto"/>
        <w:ind w:right="-1"/>
        <w:jc w:val="both"/>
        <w:outlineLvl w:val="0"/>
      </w:pPr>
    </w:p>
    <w:p w14:paraId="0C3B6433" w14:textId="77777777" w:rsidR="00D85814" w:rsidRDefault="00D85814" w:rsidP="00D85814">
      <w:pPr>
        <w:spacing w:line="276" w:lineRule="auto"/>
        <w:ind w:right="-1"/>
        <w:jc w:val="both"/>
        <w:outlineLvl w:val="0"/>
      </w:pPr>
      <w:r w:rsidRPr="00D62C1B">
        <w:t xml:space="preserve">El presupuesto se ha modificado para el Ejercicio 2021, de acuerdo con las siguientes adecuaciones: </w:t>
      </w:r>
    </w:p>
    <w:p w14:paraId="5D7FC268" w14:textId="77777777" w:rsidR="00D85814" w:rsidRPr="00D62C1B" w:rsidRDefault="00D85814" w:rsidP="00D85814">
      <w:pPr>
        <w:spacing w:line="276" w:lineRule="auto"/>
        <w:ind w:right="-1"/>
        <w:jc w:val="both"/>
        <w:outlineLvl w:val="0"/>
      </w:pPr>
      <w:r w:rsidRPr="00D005BF">
        <w:rPr>
          <w:noProof/>
          <w:lang w:eastAsia="es-MX"/>
        </w:rPr>
        <w:drawing>
          <wp:inline distT="0" distB="0" distL="0" distR="0" wp14:anchorId="3B05F785" wp14:editId="6EF582AA">
            <wp:extent cx="6389370" cy="24767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9370" cy="2476778"/>
                    </a:xfrm>
                    <a:prstGeom prst="rect">
                      <a:avLst/>
                    </a:prstGeom>
                    <a:noFill/>
                    <a:ln>
                      <a:noFill/>
                    </a:ln>
                  </pic:spPr>
                </pic:pic>
              </a:graphicData>
            </a:graphic>
          </wp:inline>
        </w:drawing>
      </w:r>
    </w:p>
    <w:p w14:paraId="0951ED5F" w14:textId="77777777" w:rsidR="00D85814" w:rsidRPr="00D62C1B" w:rsidRDefault="00D85814" w:rsidP="00D85814">
      <w:pPr>
        <w:spacing w:line="276" w:lineRule="auto"/>
        <w:ind w:right="-1"/>
        <w:jc w:val="both"/>
        <w:outlineLvl w:val="0"/>
      </w:pPr>
    </w:p>
    <w:p w14:paraId="270C03F8" w14:textId="77777777" w:rsidR="00D85814" w:rsidRPr="00D62C1B" w:rsidRDefault="00D85814" w:rsidP="00D85814">
      <w:pPr>
        <w:spacing w:line="259" w:lineRule="auto"/>
        <w:rPr>
          <w:b/>
        </w:rPr>
      </w:pPr>
    </w:p>
    <w:p w14:paraId="40B8443C" w14:textId="77777777" w:rsidR="004314D0" w:rsidRDefault="004314D0" w:rsidP="00D85814">
      <w:pPr>
        <w:spacing w:line="259" w:lineRule="auto"/>
        <w:rPr>
          <w:b/>
        </w:rPr>
      </w:pPr>
    </w:p>
    <w:p w14:paraId="67FD12F4" w14:textId="77777777" w:rsidR="00D85814" w:rsidRPr="00D62C1B" w:rsidRDefault="00D85814" w:rsidP="00D85814">
      <w:pPr>
        <w:spacing w:line="259" w:lineRule="auto"/>
        <w:rPr>
          <w:b/>
        </w:rPr>
      </w:pPr>
      <w:r w:rsidRPr="00D62C1B">
        <w:rPr>
          <w:b/>
        </w:rPr>
        <w:t>Estado Comparativo del Ejercicio del Presupuesto de Egresos:</w:t>
      </w:r>
    </w:p>
    <w:p w14:paraId="72CD1286" w14:textId="77777777" w:rsidR="00D85814" w:rsidRDefault="00D85814" w:rsidP="00D85814">
      <w:pPr>
        <w:spacing w:line="259" w:lineRule="auto"/>
        <w:jc w:val="center"/>
        <w:rPr>
          <w:b/>
        </w:rPr>
      </w:pPr>
      <w:r w:rsidRPr="00877F6D">
        <w:rPr>
          <w:noProof/>
          <w:lang w:eastAsia="es-MX"/>
        </w:rPr>
        <w:drawing>
          <wp:inline distT="0" distB="0" distL="0" distR="0" wp14:anchorId="5BA2B814" wp14:editId="6FD486B8">
            <wp:extent cx="6381285" cy="1821976"/>
            <wp:effectExtent l="0" t="0" r="635" b="698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0850" cy="1853259"/>
                    </a:xfrm>
                    <a:prstGeom prst="rect">
                      <a:avLst/>
                    </a:prstGeom>
                    <a:noFill/>
                    <a:ln>
                      <a:noFill/>
                    </a:ln>
                  </pic:spPr>
                </pic:pic>
              </a:graphicData>
            </a:graphic>
          </wp:inline>
        </w:drawing>
      </w:r>
    </w:p>
    <w:p w14:paraId="404C907F" w14:textId="77777777" w:rsidR="00D85814" w:rsidRPr="00D62C1B" w:rsidRDefault="00D85814" w:rsidP="00D85814">
      <w:pPr>
        <w:tabs>
          <w:tab w:val="left" w:pos="488"/>
        </w:tabs>
        <w:spacing w:line="276" w:lineRule="auto"/>
        <w:ind w:right="-1"/>
        <w:jc w:val="both"/>
        <w:outlineLvl w:val="0"/>
        <w:rPr>
          <w:rFonts w:cs="Arial"/>
        </w:rPr>
      </w:pPr>
      <w:r w:rsidRPr="00D62C1B">
        <w:rPr>
          <w:rFonts w:cs="Arial"/>
        </w:rPr>
        <w:t>El presupuesto de egresos aprobado anual fue de 2,363,412,317.00, el presupuesto modificado al mes es de 1,</w:t>
      </w:r>
      <w:r>
        <w:rPr>
          <w:rFonts w:cs="Arial"/>
        </w:rPr>
        <w:t>576,542,305.44</w:t>
      </w:r>
      <w:r w:rsidRPr="00D62C1B">
        <w:rPr>
          <w:rFonts w:cs="Arial"/>
        </w:rPr>
        <w:t xml:space="preserve"> y se ha ejercido al mes que se analiza la cantidad de 1,</w:t>
      </w:r>
      <w:r>
        <w:rPr>
          <w:rFonts w:cs="Arial"/>
        </w:rPr>
        <w:t>408,785,934.19</w:t>
      </w:r>
      <w:r w:rsidRPr="00D62C1B">
        <w:rPr>
          <w:rFonts w:cs="Arial"/>
        </w:rPr>
        <w:t xml:space="preserve">, por lo tanto, se observa una variación absoluta de </w:t>
      </w:r>
      <w:r>
        <w:rPr>
          <w:rFonts w:cs="Arial"/>
        </w:rPr>
        <w:t>167,756,371.25</w:t>
      </w:r>
      <w:r w:rsidRPr="00D62C1B">
        <w:rPr>
          <w:rFonts w:cs="Arial"/>
        </w:rPr>
        <w:t>, contra el presupuesto modificado autorizado, principalmente por lo siguiente:</w:t>
      </w:r>
    </w:p>
    <w:p w14:paraId="54502EAE" w14:textId="77777777" w:rsidR="00D85814" w:rsidRPr="00D62C1B" w:rsidRDefault="00D85814" w:rsidP="00D85814">
      <w:pPr>
        <w:spacing w:line="276" w:lineRule="auto"/>
        <w:ind w:right="-1"/>
        <w:jc w:val="both"/>
        <w:rPr>
          <w:rFonts w:cs="Arial"/>
        </w:rPr>
      </w:pPr>
      <w:r w:rsidRPr="00D62C1B">
        <w:rPr>
          <w:rFonts w:cs="Arial"/>
          <w:b/>
        </w:rPr>
        <w:t>En el Capítulo 1000 “Servicios Personales</w:t>
      </w:r>
      <w:r w:rsidRPr="00D62C1B">
        <w:rPr>
          <w:rFonts w:cs="Arial"/>
        </w:rPr>
        <w:t>”.</w:t>
      </w:r>
      <w:r w:rsidRPr="00D62C1B">
        <w:rPr>
          <w:rFonts w:cs="Arial"/>
          <w:b/>
        </w:rPr>
        <w:t xml:space="preserve"> –</w:t>
      </w:r>
      <w:r w:rsidRPr="00D62C1B">
        <w:rPr>
          <w:rFonts w:cs="Arial"/>
        </w:rPr>
        <w:t xml:space="preserve"> La variación relativa es del </w:t>
      </w:r>
      <w:r>
        <w:rPr>
          <w:rFonts w:cs="Arial"/>
        </w:rPr>
        <w:t>2</w:t>
      </w:r>
      <w:r w:rsidRPr="00D62C1B">
        <w:rPr>
          <w:rFonts w:cs="Arial"/>
        </w:rPr>
        <w:t xml:space="preserve"> por ciento y obedece a los movimientos de personal por bajas de servidores públicos, ya sea por liquidaciones, finiquitos y juicios laborales, cuyas plazas se encontraban presupuestadas con el rango máximo, adicionalmente a que el presupuesto autorizado por la Secretaría de Finanzas es superior al Costo de la Plantilla de este Instituto.</w:t>
      </w:r>
    </w:p>
    <w:p w14:paraId="231B9B2F" w14:textId="77777777" w:rsidR="00D85814" w:rsidRPr="00D62C1B" w:rsidRDefault="00D85814" w:rsidP="00D85814">
      <w:pPr>
        <w:spacing w:line="276" w:lineRule="auto"/>
        <w:ind w:right="-1"/>
        <w:jc w:val="both"/>
        <w:rPr>
          <w:rFonts w:cs="Arial"/>
        </w:rPr>
      </w:pPr>
      <w:r w:rsidRPr="00D62C1B">
        <w:rPr>
          <w:rFonts w:cs="Arial"/>
          <w:b/>
        </w:rPr>
        <w:t>En el Capítulo 2000 “Materiales y Suministros</w:t>
      </w:r>
      <w:r w:rsidRPr="00D62C1B">
        <w:rPr>
          <w:rFonts w:cs="Arial"/>
        </w:rPr>
        <w:t>”.</w:t>
      </w:r>
      <w:r w:rsidRPr="00D62C1B">
        <w:rPr>
          <w:rFonts w:cs="Arial"/>
          <w:b/>
        </w:rPr>
        <w:t xml:space="preserve"> – </w:t>
      </w:r>
      <w:r w:rsidRPr="00D62C1B">
        <w:rPr>
          <w:rFonts w:cs="Arial"/>
        </w:rPr>
        <w:t xml:space="preserve">La variación relativa es del </w:t>
      </w:r>
      <w:r>
        <w:rPr>
          <w:rFonts w:cs="Arial"/>
        </w:rPr>
        <w:t>40</w:t>
      </w:r>
      <w:r w:rsidRPr="00D62C1B">
        <w:rPr>
          <w:rFonts w:cs="Arial"/>
        </w:rPr>
        <w:t xml:space="preserve"> por ciento obedece a que se encuentra </w:t>
      </w:r>
      <w:r>
        <w:rPr>
          <w:rFonts w:cs="Arial"/>
        </w:rPr>
        <w:t>pendientes de substanciación</w:t>
      </w:r>
      <w:r w:rsidRPr="00D62C1B">
        <w:rPr>
          <w:rFonts w:cs="Arial"/>
        </w:rPr>
        <w:t xml:space="preserve"> los procedimientos adquisitivos y por consiguiente impacta el subejercicio acumulado.</w:t>
      </w:r>
    </w:p>
    <w:p w14:paraId="751D28F9" w14:textId="77777777" w:rsidR="00D85814" w:rsidRPr="00D62C1B" w:rsidRDefault="00D85814" w:rsidP="00D85814">
      <w:pPr>
        <w:spacing w:line="276" w:lineRule="auto"/>
        <w:ind w:right="-1"/>
        <w:jc w:val="both"/>
        <w:rPr>
          <w:rFonts w:cs="Arial"/>
        </w:rPr>
      </w:pPr>
      <w:r w:rsidRPr="00D62C1B">
        <w:rPr>
          <w:rFonts w:cs="Arial"/>
          <w:b/>
        </w:rPr>
        <w:t>En el Capítulo 3000 “Servicios Generales”. -</w:t>
      </w:r>
      <w:r>
        <w:rPr>
          <w:rFonts w:cs="Arial"/>
        </w:rPr>
        <w:t xml:space="preserve"> La variación relativa es de 23</w:t>
      </w:r>
      <w:r w:rsidRPr="00D62C1B">
        <w:rPr>
          <w:rFonts w:cs="Arial"/>
        </w:rPr>
        <w:t xml:space="preserve"> por ciento, el subejercicio mensual y acumulado corresponde a procesos que aún no se substancian para la contratación de servicios que fortalecerán la infraestructura tecnológica de este Instituto.   </w:t>
      </w:r>
    </w:p>
    <w:p w14:paraId="7AB9BC8F" w14:textId="77777777" w:rsidR="00D85814" w:rsidRPr="00D62C1B" w:rsidRDefault="00D85814" w:rsidP="00D85814">
      <w:pPr>
        <w:spacing w:line="276" w:lineRule="auto"/>
        <w:ind w:right="-1"/>
        <w:jc w:val="both"/>
        <w:rPr>
          <w:rFonts w:cs="Arial"/>
        </w:rPr>
      </w:pPr>
      <w:r w:rsidRPr="00D62C1B">
        <w:rPr>
          <w:rFonts w:cs="Arial"/>
          <w:b/>
        </w:rPr>
        <w:t xml:space="preserve">En el Capítulo 4000 “Transferencias, Asignaciones, Subsidios y Otras Ayudas”.- </w:t>
      </w:r>
      <w:r w:rsidRPr="00D62C1B">
        <w:rPr>
          <w:rFonts w:cs="Arial"/>
        </w:rPr>
        <w:t xml:space="preserve">La variación relativa de </w:t>
      </w:r>
      <w:r>
        <w:rPr>
          <w:rFonts w:cs="Arial"/>
        </w:rPr>
        <w:t>4</w:t>
      </w:r>
      <w:r w:rsidRPr="00D62C1B">
        <w:rPr>
          <w:rFonts w:cs="Arial"/>
        </w:rPr>
        <w:t xml:space="preserve"> por ciento, corresponde al monto programado para la devolución de remanentes derivados del Fideicomiso 80615, que se ejecuta de manera anual en el mes de mayo, no obstante para el primer semestre del presente ejercicio fiscal la fiduciaria no conto con recursos suficientes para el pago del cupón de la Serie Bursátil Fiduciaria “C”, por lo que los recursos que son considerados remanentes del Fideicomiso, fueron garantía de pago para el cupón en comento.  </w:t>
      </w:r>
    </w:p>
    <w:p w14:paraId="4283AD90" w14:textId="77777777" w:rsidR="00D85814" w:rsidRPr="00D62C1B" w:rsidRDefault="00D85814" w:rsidP="00D85814">
      <w:pPr>
        <w:spacing w:line="276" w:lineRule="auto"/>
        <w:ind w:right="-1"/>
        <w:jc w:val="both"/>
        <w:rPr>
          <w:rFonts w:cs="Arial"/>
        </w:rPr>
      </w:pPr>
      <w:r w:rsidRPr="00D62C1B">
        <w:rPr>
          <w:rFonts w:cs="Arial"/>
          <w:b/>
        </w:rPr>
        <w:t xml:space="preserve">En el Capítulo 5000 “Bienes Muebles, Inmuebles e Intangibles”.- </w:t>
      </w:r>
      <w:r w:rsidRPr="00D62C1B">
        <w:rPr>
          <w:rFonts w:cs="Arial"/>
        </w:rPr>
        <w:t xml:space="preserve">La variación relativa de 100 por ciento, obedece a que se encuentran en proceso los proyectos que generarán la adquisición de infraestructura </w:t>
      </w:r>
      <w:proofErr w:type="gramStart"/>
      <w:r w:rsidRPr="00D62C1B">
        <w:rPr>
          <w:rFonts w:cs="Arial"/>
        </w:rPr>
        <w:t>tecnológica ,</w:t>
      </w:r>
      <w:proofErr w:type="gramEnd"/>
      <w:r w:rsidRPr="00D62C1B">
        <w:rPr>
          <w:rFonts w:cs="Arial"/>
        </w:rPr>
        <w:t xml:space="preserve"> </w:t>
      </w:r>
      <w:proofErr w:type="spellStart"/>
      <w:r w:rsidRPr="00D62C1B">
        <w:rPr>
          <w:rFonts w:cs="Arial"/>
        </w:rPr>
        <w:t>asi</w:t>
      </w:r>
      <w:proofErr w:type="spellEnd"/>
      <w:r w:rsidRPr="00D62C1B">
        <w:rPr>
          <w:rFonts w:cs="Arial"/>
        </w:rPr>
        <w:t xml:space="preserve"> como, bienes muebles para este Instituto.</w:t>
      </w:r>
    </w:p>
    <w:p w14:paraId="50A651A4" w14:textId="77777777" w:rsidR="00D85814" w:rsidRDefault="00D85814" w:rsidP="00D85814">
      <w:pPr>
        <w:spacing w:line="276" w:lineRule="auto"/>
        <w:ind w:right="-1"/>
        <w:jc w:val="both"/>
        <w:rPr>
          <w:rFonts w:cs="Arial"/>
        </w:rPr>
      </w:pPr>
      <w:r w:rsidRPr="00D62C1B">
        <w:rPr>
          <w:rFonts w:cs="Arial"/>
          <w:b/>
        </w:rPr>
        <w:lastRenderedPageBreak/>
        <w:t>En el Capítulo 9000 “Deuda Pública”.-</w:t>
      </w:r>
      <w:r w:rsidRPr="00D62C1B">
        <w:rPr>
          <w:rFonts w:cs="Arial"/>
        </w:rPr>
        <w:t xml:space="preserve"> La variación relativa de 3 porciento obtenida en este capítulo, deriva del remanente del registro de pago del cupón de los Certificados Bursátiles Fiduciarios Series “A”, “B” y “C” correspondiente al primer semestre, por lo que dicha economía, apalancará el pago que concierne al segundo semestre en los próximos meses de agosto y septiembre de acuerdo a las obligaciones Contractuales de los fideicomisos irrevocables números 80615 y F/1426.</w:t>
      </w:r>
    </w:p>
    <w:p w14:paraId="4294E154" w14:textId="77777777" w:rsidR="00CC15FF" w:rsidRDefault="00CC15FF" w:rsidP="00CC15FF">
      <w:pPr>
        <w:pStyle w:val="Prrafodelista"/>
        <w:numPr>
          <w:ilvl w:val="0"/>
          <w:numId w:val="36"/>
        </w:numPr>
        <w:tabs>
          <w:tab w:val="left" w:pos="3836"/>
        </w:tabs>
        <w:spacing w:line="276" w:lineRule="auto"/>
        <w:ind w:left="1068" w:right="-1"/>
        <w:outlineLvl w:val="0"/>
        <w:rPr>
          <w:rFonts w:ascii="HelveticaNeueLT Std" w:eastAsiaTheme="minorHAnsi" w:hAnsi="HelveticaNeueLT Std" w:cstheme="minorBidi"/>
          <w:b/>
          <w:sz w:val="20"/>
          <w:szCs w:val="20"/>
          <w:lang w:eastAsia="en-US"/>
        </w:rPr>
      </w:pPr>
      <w:r>
        <w:rPr>
          <w:rFonts w:ascii="HelveticaNeueLT Std" w:eastAsiaTheme="minorHAnsi" w:hAnsi="HelveticaNeueLT Std" w:cstheme="minorBidi"/>
          <w:b/>
          <w:sz w:val="20"/>
          <w:szCs w:val="20"/>
          <w:lang w:eastAsia="en-US"/>
        </w:rPr>
        <w:t>NOTAS DE GESTIÓN ADMINISTRATIVA</w:t>
      </w:r>
    </w:p>
    <w:p w14:paraId="64952CD4" w14:textId="77777777" w:rsidR="00CC15FF" w:rsidRPr="004314D0" w:rsidRDefault="00CC15FF" w:rsidP="00CC15FF">
      <w:pPr>
        <w:tabs>
          <w:tab w:val="left" w:pos="3836"/>
        </w:tabs>
        <w:spacing w:after="0" w:line="276" w:lineRule="auto"/>
        <w:ind w:right="-1"/>
        <w:contextualSpacing/>
        <w:outlineLvl w:val="0"/>
        <w:rPr>
          <w:b/>
          <w:sz w:val="8"/>
        </w:rPr>
      </w:pPr>
    </w:p>
    <w:p w14:paraId="49E5AEA3" w14:textId="77777777" w:rsidR="00CC15FF" w:rsidRDefault="00CC15FF" w:rsidP="00CC15FF">
      <w:pPr>
        <w:jc w:val="both"/>
      </w:pPr>
      <w:r>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0B697318" w14:textId="77777777" w:rsidR="00CC15FF" w:rsidRDefault="00CC15FF" w:rsidP="00CC15FF">
      <w:pPr>
        <w:spacing w:line="276" w:lineRule="auto"/>
        <w:ind w:right="-1"/>
        <w:jc w:val="both"/>
        <w:rPr>
          <w:sz w:val="2"/>
        </w:rPr>
      </w:pPr>
    </w:p>
    <w:p w14:paraId="677104F5" w14:textId="77777777" w:rsidR="00CC15FF" w:rsidRDefault="00CC15FF" w:rsidP="00CC15FF">
      <w:pPr>
        <w:spacing w:line="276" w:lineRule="auto"/>
        <w:ind w:right="-1"/>
        <w:jc w:val="both"/>
      </w:pPr>
      <w: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5D80F68" w14:textId="77777777" w:rsidR="00CC15FF" w:rsidRDefault="00CC15FF" w:rsidP="00CC15FF">
      <w:pPr>
        <w:numPr>
          <w:ilvl w:val="0"/>
          <w:numId w:val="25"/>
        </w:numPr>
        <w:spacing w:after="0" w:line="276" w:lineRule="auto"/>
        <w:ind w:left="851" w:right="-1"/>
        <w:contextualSpacing/>
        <w:rPr>
          <w:rFonts w:eastAsia="Times New Roman" w:cs="Arial"/>
          <w:b/>
          <w:lang w:eastAsia="es-MX"/>
        </w:rPr>
      </w:pPr>
      <w:r>
        <w:rPr>
          <w:rFonts w:eastAsia="Times New Roman" w:cs="Times New Roman"/>
          <w:b/>
          <w:lang w:eastAsia="es-MX"/>
        </w:rPr>
        <w:t>Introducción</w:t>
      </w:r>
    </w:p>
    <w:p w14:paraId="7CD3F1E7" w14:textId="77777777" w:rsidR="00CC15FF" w:rsidRDefault="00CC15FF" w:rsidP="00CC15FF">
      <w:pPr>
        <w:spacing w:before="240" w:line="276" w:lineRule="auto"/>
        <w:ind w:right="-1"/>
        <w:jc w:val="both"/>
      </w:pPr>
      <w: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69F42520" w14:textId="77777777" w:rsidR="00CC15FF" w:rsidRDefault="00CC15FF" w:rsidP="00CC15FF">
      <w:pPr>
        <w:spacing w:line="276" w:lineRule="auto"/>
        <w:ind w:right="-1"/>
        <w:jc w:val="both"/>
      </w:pPr>
      <w: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5641205B" w14:textId="77777777" w:rsidR="00CC15FF" w:rsidRDefault="00CC15FF" w:rsidP="00CC15FF">
      <w:pPr>
        <w:spacing w:line="276" w:lineRule="auto"/>
        <w:ind w:right="-1"/>
        <w:jc w:val="both"/>
      </w:pPr>
      <w:r>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1B8313D5" w14:textId="3726771A" w:rsidR="004314D0" w:rsidRDefault="00CC15FF" w:rsidP="00CC15FF">
      <w:pPr>
        <w:spacing w:line="276" w:lineRule="auto"/>
        <w:ind w:right="-1"/>
        <w:jc w:val="both"/>
      </w:pPr>
      <w:r>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59B4036D" w14:textId="77777777" w:rsidR="004314D0" w:rsidRDefault="004314D0">
      <w:pPr>
        <w:spacing w:line="259" w:lineRule="auto"/>
      </w:pPr>
      <w:r>
        <w:br w:type="page"/>
      </w:r>
    </w:p>
    <w:p w14:paraId="2A6DFEB1" w14:textId="77777777" w:rsidR="00CC15FF" w:rsidRDefault="00CC15FF" w:rsidP="00CC15FF">
      <w:pPr>
        <w:numPr>
          <w:ilvl w:val="0"/>
          <w:numId w:val="25"/>
        </w:numPr>
        <w:spacing w:after="0" w:line="276" w:lineRule="auto"/>
        <w:ind w:left="851" w:right="-1"/>
        <w:contextualSpacing/>
        <w:rPr>
          <w:rFonts w:eastAsia="Times New Roman" w:cs="Times New Roman"/>
          <w:b/>
          <w:lang w:eastAsia="es-MX"/>
        </w:rPr>
      </w:pPr>
      <w:r>
        <w:rPr>
          <w:rFonts w:eastAsia="Times New Roman" w:cs="Times New Roman"/>
          <w:b/>
          <w:lang w:eastAsia="es-MX"/>
        </w:rPr>
        <w:lastRenderedPageBreak/>
        <w:t>Panorama Económico y Financiero</w:t>
      </w:r>
    </w:p>
    <w:p w14:paraId="58D0938E" w14:textId="77777777" w:rsidR="00CC15FF" w:rsidRDefault="00CC15FF" w:rsidP="00CC15FF">
      <w:pPr>
        <w:spacing w:after="0" w:line="276" w:lineRule="auto"/>
        <w:ind w:left="851" w:right="-1"/>
        <w:contextualSpacing/>
        <w:rPr>
          <w:rFonts w:eastAsia="Times New Roman" w:cs="Times New Roman"/>
          <w:b/>
          <w:lang w:eastAsia="es-MX"/>
        </w:rPr>
      </w:pPr>
    </w:p>
    <w:p w14:paraId="54B9A4D2" w14:textId="77777777" w:rsidR="00CC15FF" w:rsidRDefault="00CC15FF" w:rsidP="00CC15FF">
      <w:pPr>
        <w:spacing w:after="101" w:line="276" w:lineRule="auto"/>
        <w:ind w:right="-1"/>
        <w:jc w:val="both"/>
        <w:rPr>
          <w:rFonts w:eastAsia="Times New Roman" w:cs="Arial"/>
          <w:lang w:val="es-ES" w:eastAsia="es-ES"/>
        </w:rPr>
      </w:pPr>
      <w:r>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6033CA93" w14:textId="77777777" w:rsidR="00CC15FF" w:rsidRDefault="00CC15FF" w:rsidP="00CC15FF">
      <w:pPr>
        <w:numPr>
          <w:ilvl w:val="0"/>
          <w:numId w:val="25"/>
        </w:numPr>
        <w:spacing w:after="0" w:line="276" w:lineRule="auto"/>
        <w:ind w:left="851" w:right="-1"/>
        <w:contextualSpacing/>
        <w:rPr>
          <w:rFonts w:eastAsia="Times New Roman" w:cs="Times New Roman"/>
          <w:b/>
          <w:lang w:eastAsia="es-MX"/>
        </w:rPr>
      </w:pPr>
      <w:r>
        <w:rPr>
          <w:rFonts w:eastAsia="Times New Roman" w:cs="Times New Roman"/>
          <w:b/>
          <w:lang w:eastAsia="es-MX"/>
        </w:rPr>
        <w:t>Autorización e Historia</w:t>
      </w:r>
    </w:p>
    <w:p w14:paraId="3DEF638A" w14:textId="77777777" w:rsidR="00CC15FF" w:rsidRDefault="00CC15FF" w:rsidP="00CC15FF">
      <w:pPr>
        <w:spacing w:after="0" w:line="276" w:lineRule="auto"/>
        <w:ind w:right="-1"/>
        <w:contextualSpacing/>
        <w:rPr>
          <w:rFonts w:eastAsia="Times New Roman" w:cs="Times New Roman"/>
          <w:b/>
          <w:sz w:val="10"/>
          <w:lang w:eastAsia="es-MX"/>
        </w:rPr>
      </w:pPr>
    </w:p>
    <w:p w14:paraId="23CA7276" w14:textId="77777777" w:rsidR="00CC15FF" w:rsidRDefault="00CC15FF" w:rsidP="00CC15FF">
      <w:pPr>
        <w:spacing w:line="276" w:lineRule="auto"/>
        <w:ind w:right="-1"/>
        <w:jc w:val="both"/>
      </w:pPr>
      <w:r>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2895DDBA" w14:textId="77777777" w:rsidR="00CC15FF" w:rsidRDefault="00CC15FF" w:rsidP="00CC15FF">
      <w:pPr>
        <w:spacing w:line="276" w:lineRule="auto"/>
        <w:ind w:right="-1"/>
        <w:jc w:val="both"/>
      </w:pPr>
      <w:r>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1867FFA4" w14:textId="77777777" w:rsidR="00CC15FF" w:rsidRDefault="00CC15FF" w:rsidP="00CC15FF">
      <w:pPr>
        <w:spacing w:line="276" w:lineRule="auto"/>
        <w:ind w:right="-1"/>
        <w:jc w:val="both"/>
      </w:pPr>
      <w:r>
        <w:t>Asimismo, se subrogaron al Instituto de la Función Registral del Estado de México, los derechos y obligaciones de la Dirección General del Registro Público de la Propiedad de la Secretaría General de Gobierno.</w:t>
      </w:r>
    </w:p>
    <w:p w14:paraId="68C6EC99" w14:textId="77777777" w:rsidR="00CC15FF" w:rsidRDefault="00CC15FF" w:rsidP="00CC15FF">
      <w:pPr>
        <w:spacing w:line="276" w:lineRule="auto"/>
        <w:ind w:right="-1"/>
        <w:jc w:val="both"/>
      </w:pPr>
      <w:r>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326FA85D" w14:textId="77777777" w:rsidR="00CC15FF" w:rsidRDefault="00CC15FF" w:rsidP="00CC15FF">
      <w:pPr>
        <w:spacing w:line="276" w:lineRule="auto"/>
        <w:ind w:right="-1"/>
        <w:jc w:val="both"/>
      </w:pPr>
      <w: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009AB827" w14:textId="77777777" w:rsidR="00CC15FF" w:rsidRDefault="00CC15FF" w:rsidP="00CC15FF">
      <w:pPr>
        <w:spacing w:line="276" w:lineRule="auto"/>
        <w:ind w:right="-1"/>
        <w:jc w:val="both"/>
      </w:pPr>
      <w:r>
        <w:t xml:space="preserve">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w:t>
      </w:r>
      <w:r>
        <w:lastRenderedPageBreak/>
        <w:t>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4A9764C4" w14:textId="77777777" w:rsidR="00CC15FF" w:rsidRDefault="00CC15FF" w:rsidP="00CC15FF">
      <w:pPr>
        <w:spacing w:line="276" w:lineRule="auto"/>
        <w:ind w:right="-1"/>
        <w:jc w:val="both"/>
      </w:pPr>
      <w: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2D01A0AD" w14:textId="77777777" w:rsidR="00CC15FF" w:rsidRDefault="00CC15FF" w:rsidP="00CC15FF">
      <w:pPr>
        <w:spacing w:line="276" w:lineRule="auto"/>
        <w:ind w:right="-1"/>
        <w:jc w:val="both"/>
      </w:pPr>
      <w: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327DDA40" w14:textId="77777777" w:rsidR="00CC15FF" w:rsidRDefault="00CC15FF" w:rsidP="00CC15FF">
      <w:pPr>
        <w:spacing w:line="276" w:lineRule="auto"/>
        <w:ind w:right="-1"/>
        <w:jc w:val="both"/>
      </w:pPr>
      <w:r>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212A9514" w14:textId="77777777" w:rsidR="00CC15FF" w:rsidRDefault="00CC15FF" w:rsidP="00CC15FF">
      <w:pPr>
        <w:numPr>
          <w:ilvl w:val="0"/>
          <w:numId w:val="25"/>
        </w:numPr>
        <w:spacing w:after="0" w:line="276" w:lineRule="auto"/>
        <w:ind w:left="851" w:right="-1"/>
        <w:contextualSpacing/>
        <w:rPr>
          <w:rFonts w:eastAsia="Times New Roman" w:cs="Times New Roman"/>
          <w:b/>
          <w:lang w:eastAsia="es-MX"/>
        </w:rPr>
      </w:pPr>
      <w:r>
        <w:rPr>
          <w:rFonts w:eastAsia="Times New Roman" w:cs="Times New Roman"/>
          <w:b/>
          <w:lang w:eastAsia="es-MX"/>
        </w:rPr>
        <w:t>Organización y Objeto Social</w:t>
      </w:r>
    </w:p>
    <w:p w14:paraId="79A5F335" w14:textId="77777777" w:rsidR="00CC15FF" w:rsidRDefault="00CC15FF" w:rsidP="00CC15FF">
      <w:pPr>
        <w:spacing w:after="0" w:line="276" w:lineRule="auto"/>
        <w:ind w:left="851" w:right="-1"/>
        <w:contextualSpacing/>
        <w:rPr>
          <w:rFonts w:eastAsia="Times New Roman" w:cs="Times New Roman"/>
          <w:b/>
          <w:lang w:eastAsia="es-MX"/>
        </w:rPr>
      </w:pPr>
    </w:p>
    <w:p w14:paraId="6E703B60" w14:textId="77777777" w:rsidR="00CC15FF" w:rsidRDefault="00CC15FF" w:rsidP="00CC15FF">
      <w:pPr>
        <w:spacing w:after="0" w:line="276" w:lineRule="auto"/>
        <w:ind w:right="-1"/>
        <w:jc w:val="both"/>
        <w:rPr>
          <w:rFonts w:eastAsia="Times New Roman" w:cs="Arial"/>
          <w:lang w:val="es-ES" w:eastAsia="es-ES"/>
        </w:rPr>
      </w:pPr>
      <w:r>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62A2CD48" w14:textId="77777777" w:rsidR="00CC15FF" w:rsidRDefault="00CC15FF" w:rsidP="00CC15FF">
      <w:pPr>
        <w:spacing w:line="276" w:lineRule="auto"/>
        <w:ind w:right="-1"/>
        <w:jc w:val="both"/>
      </w:pPr>
      <w: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18" w:history="1">
        <w:r>
          <w:rPr>
            <w:rStyle w:val="Hipervnculo"/>
          </w:rPr>
          <w:t>http://ifrem.edomex.gob.mx/organigrama</w:t>
        </w:r>
      </w:hyperlink>
      <w:r>
        <w:t>.</w:t>
      </w:r>
    </w:p>
    <w:p w14:paraId="1AAA234B" w14:textId="77777777" w:rsidR="00CC15FF" w:rsidRDefault="00CC15FF" w:rsidP="00CC15FF">
      <w:pPr>
        <w:spacing w:line="276" w:lineRule="auto"/>
        <w:ind w:right="-1"/>
        <w:jc w:val="both"/>
        <w:rPr>
          <w:rFonts w:eastAsia="Times New Roman" w:cs="Arial"/>
          <w:lang w:val="es-ES" w:eastAsia="es-ES"/>
        </w:rPr>
      </w:pPr>
      <w:r>
        <w:t xml:space="preserve"> </w:t>
      </w:r>
      <w:r>
        <w:rPr>
          <w:rFonts w:eastAsia="Times New Roman" w:cs="Arial"/>
          <w:lang w:val="es-ES" w:eastAsia="es-ES"/>
        </w:rPr>
        <w:t>El Instituto,</w:t>
      </w:r>
      <w:r>
        <w:rPr>
          <w:rFonts w:eastAsia="Times New Roman" w:cs="CenturyGothic"/>
          <w:lang w:val="es-ES" w:eastAsia="es-ES"/>
        </w:rPr>
        <w:t xml:space="preserve"> p</w:t>
      </w:r>
      <w:r>
        <w:rPr>
          <w:rFonts w:eastAsia="Times New Roman" w:cs="Arial"/>
          <w:lang w:val="es-ES" w:eastAsia="es-ES"/>
        </w:rPr>
        <w:t>ara el cumplimiento de su objeto, tendrá las atribuciones que se mencionan en su Decreto de creación publicado en el periódico oficial Gaceta del Gobierno.</w:t>
      </w:r>
    </w:p>
    <w:p w14:paraId="0C18A973" w14:textId="77777777" w:rsidR="00CC15FF" w:rsidRDefault="00CC15FF" w:rsidP="00CC15FF">
      <w:pPr>
        <w:jc w:val="both"/>
        <w:rPr>
          <w:rFonts w:eastAsia="Times New Roman" w:cs="Arial"/>
          <w:lang w:val="es-ES" w:eastAsia="es-ES"/>
        </w:rPr>
      </w:pPr>
      <w:r>
        <w:rPr>
          <w:rFonts w:eastAsia="Times New Roman" w:cs="Arial"/>
          <w:lang w:val="es-ES" w:eastAsia="es-ES"/>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w:t>
      </w:r>
      <w:r>
        <w:rPr>
          <w:rFonts w:eastAsia="Times New Roman" w:cs="Arial"/>
          <w:lang w:val="es-ES" w:eastAsia="es-ES"/>
        </w:rPr>
        <w:lastRenderedPageBreak/>
        <w:t xml:space="preserve">eventuales indemnizaciones y compensaciones que tenga que pagar a su personal incluso a favor de terceros, la administración del Instituto estima que de presentarse esta obligación al mes que se comenta, el pasivo ascendería aproximadamente a 118 millones de pesos según reporta el área jurídica. Por lo tanto, cuando se tenga la documentación soporte de cualquier resolución judicial o cualquier otra derivada de las relaciones laborales, se dará la </w:t>
      </w:r>
      <w:proofErr w:type="spellStart"/>
      <w:r>
        <w:rPr>
          <w:rFonts w:eastAsia="Times New Roman" w:cs="Arial"/>
          <w:lang w:val="es-ES" w:eastAsia="es-ES"/>
        </w:rPr>
        <w:t>sufciencia</w:t>
      </w:r>
      <w:proofErr w:type="spellEnd"/>
      <w:r>
        <w:rPr>
          <w:rFonts w:eastAsia="Times New Roman" w:cs="Arial"/>
          <w:lang w:val="es-ES" w:eastAsia="es-ES"/>
        </w:rPr>
        <w:t xml:space="preserve"> presupuestal y se creará el pasivo correspondiente, mismo que se deberá cancelar con el pago en el mismo ejercicio fiscal.</w:t>
      </w:r>
    </w:p>
    <w:p w14:paraId="292952E8" w14:textId="77777777" w:rsidR="00CC15FF" w:rsidRDefault="00CC15FF" w:rsidP="00CC15FF">
      <w:pPr>
        <w:numPr>
          <w:ilvl w:val="0"/>
          <w:numId w:val="25"/>
        </w:numPr>
        <w:spacing w:after="0" w:line="276" w:lineRule="auto"/>
        <w:ind w:left="851" w:right="-1"/>
        <w:contextualSpacing/>
        <w:rPr>
          <w:rFonts w:eastAsia="Times New Roman" w:cs="Arial"/>
          <w:lang w:val="es-ES" w:eastAsia="es-ES"/>
        </w:rPr>
      </w:pPr>
      <w:r>
        <w:rPr>
          <w:b/>
        </w:rPr>
        <w:t>Bases de preparación de los Estados Financieros</w:t>
      </w:r>
    </w:p>
    <w:p w14:paraId="315E559D" w14:textId="77777777" w:rsidR="00CC15FF" w:rsidRDefault="00CC15FF" w:rsidP="00CC15FF">
      <w:pPr>
        <w:spacing w:after="240" w:line="276" w:lineRule="auto"/>
        <w:ind w:left="284" w:right="-1"/>
        <w:contextualSpacing/>
        <w:jc w:val="both"/>
        <w:rPr>
          <w:rFonts w:eastAsia="Times New Roman" w:cs="Times New Roman"/>
          <w:sz w:val="6"/>
          <w:lang w:eastAsia="es-MX"/>
        </w:rPr>
      </w:pPr>
    </w:p>
    <w:p w14:paraId="0B073EE1" w14:textId="77777777" w:rsidR="00CC15FF" w:rsidRDefault="00CC15FF" w:rsidP="00CC15FF">
      <w:pPr>
        <w:spacing w:after="101" w:line="276" w:lineRule="auto"/>
        <w:ind w:right="-1"/>
        <w:jc w:val="both"/>
        <w:rPr>
          <w:rFonts w:eastAsia="Times New Roman" w:cs="Arial"/>
          <w:lang w:val="es-ES" w:eastAsia="es-ES"/>
        </w:rPr>
      </w:pPr>
      <w:r>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30040539" w14:textId="77777777" w:rsidR="00CC15FF" w:rsidRDefault="00CC15FF" w:rsidP="00CC15FF">
      <w:pPr>
        <w:spacing w:line="276" w:lineRule="auto"/>
        <w:ind w:right="-1"/>
        <w:jc w:val="both"/>
      </w:pPr>
      <w:r>
        <w:t xml:space="preserve">Con base en dicho manual en este ejercicio se han realizado las </w:t>
      </w:r>
      <w:r>
        <w:rPr>
          <w:rFonts w:eastAsia="Times New Roman" w:cs="Arial"/>
          <w:lang w:val="es-ES" w:eastAsia="es-ES"/>
        </w:rPr>
        <w:t>adecuaciones</w:t>
      </w:r>
      <w:r>
        <w:t xml:space="preserve"> de presentación necesarias para estas notas. Así mismo </w:t>
      </w:r>
      <w:r>
        <w:rPr>
          <w:rFonts w:cs="Arial"/>
          <w:lang w:eastAsia="es-MX"/>
        </w:rPr>
        <w:t>la información se elaboró conforme a las normas, criterios y principios técnicos y las disposiciones legales aplicables, obedeciendo a las mejores prácticas contables,</w:t>
      </w:r>
      <w:r>
        <w:t xml:space="preserve"> se incluye lo correspondiente a las normas y lineamientos </w:t>
      </w:r>
      <w:r>
        <w:rPr>
          <w:rFonts w:cs="Arial"/>
          <w:lang w:eastAsia="es-MX"/>
        </w:rPr>
        <w:t xml:space="preserve">emitidos por </w:t>
      </w:r>
      <w:r>
        <w:t>el Consejo Nacional de Armonización Contable (CONAC)</w:t>
      </w:r>
      <w:r>
        <w:rPr>
          <w:rFonts w:cs="Arial"/>
          <w:lang w:eastAsia="es-MX"/>
        </w:rPr>
        <w:t>;</w:t>
      </w:r>
      <w:r>
        <w:t xml:space="preserve"> publicados el 13 de octubre de 2014, en el periódico oficial del Gobierno del Estado de México, denominado “Gaceta del Gobierno”.</w:t>
      </w:r>
    </w:p>
    <w:p w14:paraId="25491A20" w14:textId="77777777" w:rsidR="00CC15FF" w:rsidRDefault="00CC15FF" w:rsidP="00CC15FF">
      <w:pPr>
        <w:autoSpaceDE w:val="0"/>
        <w:autoSpaceDN w:val="0"/>
        <w:adjustRightInd w:val="0"/>
        <w:spacing w:line="276" w:lineRule="auto"/>
        <w:ind w:right="-1"/>
        <w:jc w:val="both"/>
      </w:pPr>
      <w: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007BFCDE" w14:textId="77777777" w:rsidR="00CC15FF" w:rsidRDefault="00CC15FF" w:rsidP="00CC15FF">
      <w:pPr>
        <w:autoSpaceDE w:val="0"/>
        <w:autoSpaceDN w:val="0"/>
        <w:adjustRightInd w:val="0"/>
        <w:spacing w:line="276" w:lineRule="auto"/>
        <w:ind w:right="-1"/>
        <w:jc w:val="both"/>
        <w:rPr>
          <w:b/>
          <w:bCs/>
        </w:rPr>
      </w:pPr>
      <w:r>
        <w:t>El 26 de octubre de 2018, el Consejo Nacional de Armonización Contable con fundamento en los artículos 6, 7, 9 y 14 de la Ley General de Contabilidad Gubernamental, aprobó los siguientes: “</w:t>
      </w:r>
      <w:r>
        <w:rPr>
          <w:b/>
          <w:bCs/>
        </w:rPr>
        <w:t xml:space="preserve">Acuerdo por el que se reforman y adicionan las Normas y Metodología para la Determinación de los Momentos Contables de los Ingresos”, </w:t>
      </w:r>
      <w:r>
        <w:rPr>
          <w:bCs/>
        </w:rPr>
        <w:t>así como</w:t>
      </w:r>
      <w:r>
        <w:rPr>
          <w:b/>
          <w:bCs/>
        </w:rPr>
        <w:t xml:space="preserve">; el Acuerdo por el que se reforma y adiciona el Manual de Contabilidad Gubernamental. </w:t>
      </w:r>
      <w:r>
        <w:rPr>
          <w:b/>
          <w:bCs/>
          <w:i/>
          <w:sz w:val="22"/>
        </w:rPr>
        <w:t>“</w:t>
      </w:r>
      <w:r>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2FA08FD0" w14:textId="77777777" w:rsidR="00CC15FF" w:rsidRDefault="00CC15FF" w:rsidP="00CC15FF">
      <w:pPr>
        <w:autoSpaceDE w:val="0"/>
        <w:autoSpaceDN w:val="0"/>
        <w:adjustRightInd w:val="0"/>
        <w:spacing w:line="276" w:lineRule="auto"/>
        <w:ind w:right="-1"/>
        <w:jc w:val="both"/>
        <w:rPr>
          <w:i/>
          <w:sz w:val="18"/>
          <w:szCs w:val="16"/>
        </w:rPr>
      </w:pPr>
      <w:r>
        <w:rPr>
          <w:b/>
          <w:bCs/>
        </w:rPr>
        <w:lastRenderedPageBreak/>
        <w:t xml:space="preserve">Acuerdo por el que se reforman los Criterios para la elaboración y presentación homogénea de la información financiera y de los formatos a que hace referencia la Ley de Disciplina Financiera de las Entidades Federativas y los Municipios </w:t>
      </w:r>
      <w:r>
        <w:rPr>
          <w:rFonts w:eastAsia="Times New Roman" w:cs="Times New Roman"/>
          <w:b/>
          <w:lang w:eastAsia="es-MX"/>
        </w:rPr>
        <w:t>Políticas de Contabilidad Significativas”.</w:t>
      </w:r>
      <w:r>
        <w:rPr>
          <w:rFonts w:cs="Arial"/>
          <w:color w:val="000000"/>
          <w:sz w:val="16"/>
          <w:szCs w:val="16"/>
        </w:rPr>
        <w:t xml:space="preserve"> </w:t>
      </w:r>
      <w:r>
        <w:rPr>
          <w:i/>
          <w:sz w:val="18"/>
          <w:szCs w:val="16"/>
        </w:rPr>
        <w:t xml:space="preserve">Se reforman en los formatos 5 Estado Analítico de Ingresos Detallado – </w:t>
      </w:r>
      <w:proofErr w:type="spellStart"/>
      <w:r>
        <w:rPr>
          <w:i/>
          <w:sz w:val="18"/>
          <w:szCs w:val="16"/>
        </w:rPr>
        <w:t>LDF</w:t>
      </w:r>
      <w:proofErr w:type="spellEnd"/>
      <w:r>
        <w:rPr>
          <w:i/>
          <w:sz w:val="18"/>
          <w:szCs w:val="16"/>
        </w:rPr>
        <w:t xml:space="preserve">, 7 a) Proyecciones de Ingresos – </w:t>
      </w:r>
      <w:proofErr w:type="spellStart"/>
      <w:r>
        <w:rPr>
          <w:i/>
          <w:sz w:val="18"/>
          <w:szCs w:val="16"/>
        </w:rPr>
        <w:t>LDF</w:t>
      </w:r>
      <w:proofErr w:type="spellEnd"/>
      <w:r>
        <w:rPr>
          <w:i/>
          <w:sz w:val="18"/>
          <w:szCs w:val="16"/>
        </w:rPr>
        <w:t xml:space="preserve"> y 7 c) Resultados de Ingresos – </w:t>
      </w:r>
      <w:proofErr w:type="spellStart"/>
      <w:r>
        <w:rPr>
          <w:i/>
          <w:sz w:val="18"/>
          <w:szCs w:val="16"/>
        </w:rPr>
        <w:t>LDF</w:t>
      </w:r>
      <w:proofErr w:type="spellEnd"/>
      <w:r>
        <w:rPr>
          <w:i/>
          <w:sz w:val="18"/>
          <w:szCs w:val="16"/>
        </w:rPr>
        <w:t>, los incisos G y J de “Ingresos de Libre Disposición” y el inciso D de las “Transferencias Federales Etiquetadas”.</w:t>
      </w:r>
    </w:p>
    <w:p w14:paraId="3DB9FD20" w14:textId="77777777" w:rsidR="00CC15FF" w:rsidRDefault="00CC15FF" w:rsidP="00CC15FF">
      <w:pPr>
        <w:autoSpaceDE w:val="0"/>
        <w:autoSpaceDN w:val="0"/>
        <w:adjustRightInd w:val="0"/>
        <w:spacing w:after="240" w:line="276" w:lineRule="auto"/>
        <w:ind w:right="-1"/>
        <w:contextualSpacing/>
        <w:jc w:val="both"/>
        <w:rPr>
          <w:i/>
          <w:sz w:val="18"/>
          <w:szCs w:val="16"/>
        </w:rPr>
      </w:pPr>
      <w:r>
        <w:rPr>
          <w:rFonts w:cs="Arial"/>
          <w:b/>
          <w:bCs/>
        </w:rPr>
        <w:t xml:space="preserve">“Acuerdo por el que se reforma y adiciona el Formato de Conciliación entre los Ingresos Presupuestarios y Contables, así como entre los Egresos Presupuestarios y los Gastos Contables”. </w:t>
      </w:r>
      <w:r>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23307C72" w14:textId="77777777" w:rsidR="00CC15FF" w:rsidRDefault="00CC15FF" w:rsidP="00CC15FF">
      <w:pPr>
        <w:autoSpaceDE w:val="0"/>
        <w:autoSpaceDN w:val="0"/>
        <w:adjustRightInd w:val="0"/>
        <w:spacing w:after="240" w:line="276" w:lineRule="auto"/>
        <w:ind w:left="284" w:right="-1"/>
        <w:contextualSpacing/>
        <w:jc w:val="both"/>
        <w:rPr>
          <w:i/>
          <w:sz w:val="18"/>
          <w:szCs w:val="16"/>
        </w:rPr>
      </w:pPr>
    </w:p>
    <w:p w14:paraId="1622EC0C" w14:textId="77777777" w:rsidR="00CC15FF" w:rsidRDefault="00CC15FF" w:rsidP="00CC15FF">
      <w:pPr>
        <w:jc w:val="both"/>
        <w:rPr>
          <w:i/>
          <w:sz w:val="18"/>
          <w:szCs w:val="16"/>
        </w:rPr>
      </w:pPr>
      <w:r>
        <w:rPr>
          <w:rFonts w:cs="Arial"/>
          <w:b/>
          <w:bCs/>
        </w:rPr>
        <w:t>“Acuerdo por el que se reforma el Clasificador por Rubros de Ingresos”. “</w:t>
      </w:r>
      <w:r>
        <w:rPr>
          <w:i/>
          <w:sz w:val="18"/>
          <w:szCs w:val="16"/>
        </w:rPr>
        <w:t>Se reforman el párrafo sexto de antecedentes y el párrafo catorce del punto A. ASPECTOS GENERALES”.</w:t>
      </w:r>
    </w:p>
    <w:p w14:paraId="54C6388A" w14:textId="77777777" w:rsidR="00CC15FF" w:rsidRDefault="00CC15FF" w:rsidP="00CC15FF">
      <w:pPr>
        <w:spacing w:after="0" w:line="276" w:lineRule="auto"/>
        <w:ind w:right="-1"/>
        <w:jc w:val="both"/>
        <w:rPr>
          <w:rFonts w:cs="Arial"/>
        </w:rPr>
      </w:pPr>
      <w:r>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5373D81A" w14:textId="77777777" w:rsidR="00CC15FF" w:rsidRDefault="00CC15FF" w:rsidP="00CC15FF">
      <w:pPr>
        <w:spacing w:after="0" w:line="276" w:lineRule="auto"/>
        <w:ind w:right="-1"/>
        <w:jc w:val="both"/>
        <w:rPr>
          <w:rFonts w:cs="Arial"/>
        </w:rPr>
      </w:pPr>
    </w:p>
    <w:p w14:paraId="1E3652B6" w14:textId="77777777" w:rsidR="00CC15FF" w:rsidRDefault="00CC15FF" w:rsidP="00CC15FF">
      <w:pPr>
        <w:numPr>
          <w:ilvl w:val="0"/>
          <w:numId w:val="25"/>
        </w:numPr>
        <w:spacing w:after="0" w:line="276" w:lineRule="auto"/>
        <w:ind w:left="851" w:right="-1"/>
        <w:contextualSpacing/>
        <w:rPr>
          <w:rFonts w:eastAsia="Times New Roman" w:cs="Times New Roman"/>
          <w:lang w:eastAsia="es-MX"/>
        </w:rPr>
      </w:pPr>
      <w:r>
        <w:rPr>
          <w:rFonts w:eastAsia="Times New Roman" w:cs="Times New Roman"/>
          <w:b/>
          <w:lang w:eastAsia="es-MX"/>
        </w:rPr>
        <w:t>Políticas de Contabilidad Significativas</w:t>
      </w:r>
    </w:p>
    <w:p w14:paraId="250FCDDC" w14:textId="77777777" w:rsidR="00CC15FF" w:rsidRDefault="00CC15FF" w:rsidP="00CC15FF">
      <w:pPr>
        <w:autoSpaceDE w:val="0"/>
        <w:autoSpaceDN w:val="0"/>
        <w:adjustRightInd w:val="0"/>
        <w:spacing w:after="240" w:line="276" w:lineRule="auto"/>
        <w:ind w:left="284" w:right="-1"/>
        <w:contextualSpacing/>
        <w:jc w:val="both"/>
        <w:rPr>
          <w:rFonts w:eastAsia="Times New Roman" w:cs="Times New Roman"/>
          <w:lang w:eastAsia="es-MX"/>
        </w:rPr>
      </w:pPr>
    </w:p>
    <w:p w14:paraId="6A593E2C" w14:textId="77777777" w:rsidR="00CC15FF" w:rsidRDefault="00CC15FF" w:rsidP="00CC15FF">
      <w:pPr>
        <w:numPr>
          <w:ilvl w:val="0"/>
          <w:numId w:val="11"/>
        </w:numPr>
        <w:spacing w:before="240" w:line="276" w:lineRule="auto"/>
        <w:jc w:val="both"/>
        <w:rPr>
          <w:rFonts w:cs="Arial"/>
        </w:rPr>
      </w:pPr>
      <w:r>
        <w:rPr>
          <w:rFonts w:cs="Arial"/>
        </w:rPr>
        <w:t>Los Estados Financieros se preparan tomando como base los Postulados Básicos de Contabilidad Gubernamental.</w:t>
      </w:r>
    </w:p>
    <w:p w14:paraId="7CB3023C" w14:textId="77777777" w:rsidR="00CC15FF" w:rsidRDefault="00CC15FF" w:rsidP="00CC15FF">
      <w:pPr>
        <w:numPr>
          <w:ilvl w:val="0"/>
          <w:numId w:val="11"/>
        </w:numPr>
        <w:spacing w:line="254" w:lineRule="auto"/>
        <w:ind w:right="-1"/>
        <w:jc w:val="both"/>
        <w:rPr>
          <w:rFonts w:cs="Arial"/>
        </w:rPr>
      </w:pPr>
      <w:r>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7A69B958" w14:textId="77777777" w:rsidR="00CC15FF" w:rsidRDefault="00CC15FF" w:rsidP="00CC15FF">
      <w:pPr>
        <w:numPr>
          <w:ilvl w:val="0"/>
          <w:numId w:val="11"/>
        </w:numPr>
        <w:spacing w:line="276" w:lineRule="auto"/>
        <w:ind w:right="-1"/>
        <w:jc w:val="both"/>
        <w:rPr>
          <w:rFonts w:cs="Arial"/>
        </w:rPr>
      </w:pPr>
      <w:r>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44F8676B" w14:textId="77777777" w:rsidR="00CC15FF" w:rsidRDefault="00CC15FF" w:rsidP="00CC15FF">
      <w:pPr>
        <w:numPr>
          <w:ilvl w:val="0"/>
          <w:numId w:val="11"/>
        </w:numPr>
        <w:spacing w:line="276" w:lineRule="auto"/>
        <w:ind w:right="-1"/>
        <w:jc w:val="both"/>
        <w:rPr>
          <w:rFonts w:cs="Arial"/>
        </w:rPr>
      </w:pPr>
      <w:r>
        <w:rPr>
          <w:rFonts w:cs="Arial"/>
        </w:rPr>
        <w:lastRenderedPageBreak/>
        <w:t>La información de obra pública se clasifica en Obras en Proceso y Gasto Ejercido; y Obras Concluidas y su Costo. Así como la información de la nómina: Plantilla de personal.</w:t>
      </w:r>
    </w:p>
    <w:p w14:paraId="08A456DB" w14:textId="77777777" w:rsidR="00CC15FF" w:rsidRDefault="00CC15FF" w:rsidP="00CC15FF">
      <w:pPr>
        <w:numPr>
          <w:ilvl w:val="0"/>
          <w:numId w:val="11"/>
        </w:numPr>
        <w:spacing w:line="276" w:lineRule="auto"/>
        <w:ind w:right="-1"/>
        <w:jc w:val="both"/>
        <w:rPr>
          <w:rFonts w:cs="Arial"/>
        </w:rPr>
      </w:pPr>
      <w:r>
        <w:rPr>
          <w:rFonts w:cs="Arial"/>
        </w:rPr>
        <w:t>Respecto a la clasificación del pasivo, se considerará a corto plazo el que vence dentro del ejercicio fiscal correspondiente y, a largo plazo el que venza en ejercicios fiscales posteriores al que corresponda la información.</w:t>
      </w:r>
    </w:p>
    <w:p w14:paraId="23A4C103" w14:textId="77777777" w:rsidR="00CC15FF" w:rsidRDefault="00CC15FF" w:rsidP="00CC15FF">
      <w:pPr>
        <w:numPr>
          <w:ilvl w:val="0"/>
          <w:numId w:val="11"/>
        </w:numPr>
        <w:spacing w:line="276" w:lineRule="auto"/>
        <w:ind w:right="-1"/>
        <w:jc w:val="both"/>
        <w:rPr>
          <w:rFonts w:cs="Arial"/>
        </w:rPr>
      </w:pPr>
      <w:r>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028D6570" w14:textId="77777777" w:rsidR="00CC15FF" w:rsidRDefault="00CC15FF" w:rsidP="00CC15FF">
      <w:pPr>
        <w:numPr>
          <w:ilvl w:val="0"/>
          <w:numId w:val="11"/>
        </w:numPr>
        <w:spacing w:line="276" w:lineRule="auto"/>
        <w:ind w:right="-1"/>
        <w:jc w:val="both"/>
        <w:rPr>
          <w:rFonts w:cs="Arial"/>
        </w:rPr>
      </w:pPr>
      <w:r>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057928E5" w14:textId="77777777" w:rsidR="00CC15FF" w:rsidRDefault="00CC15FF" w:rsidP="00CC15FF">
      <w:pPr>
        <w:numPr>
          <w:ilvl w:val="0"/>
          <w:numId w:val="11"/>
        </w:numPr>
        <w:spacing w:line="276" w:lineRule="auto"/>
        <w:ind w:right="-1"/>
        <w:jc w:val="both"/>
        <w:rPr>
          <w:rFonts w:cs="Arial"/>
        </w:rPr>
      </w:pPr>
      <w:r>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14229D4E" w14:textId="77777777" w:rsidR="00CC15FF" w:rsidRDefault="00CC15FF" w:rsidP="00CC15FF">
      <w:pPr>
        <w:numPr>
          <w:ilvl w:val="0"/>
          <w:numId w:val="11"/>
        </w:numPr>
        <w:spacing w:line="276" w:lineRule="auto"/>
        <w:ind w:right="-1"/>
        <w:jc w:val="both"/>
        <w:rPr>
          <w:rFonts w:cs="Arial"/>
        </w:rPr>
      </w:pPr>
      <w:r>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0EF98814" w14:textId="77777777" w:rsidR="00CC15FF" w:rsidRDefault="00CC15FF" w:rsidP="00CC15FF">
      <w:pPr>
        <w:numPr>
          <w:ilvl w:val="0"/>
          <w:numId w:val="11"/>
        </w:numPr>
        <w:spacing w:line="276" w:lineRule="auto"/>
        <w:ind w:right="-1"/>
        <w:jc w:val="both"/>
        <w:rPr>
          <w:rFonts w:cs="Arial"/>
        </w:rPr>
      </w:pPr>
      <w:r>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15E62E30" w14:textId="77777777" w:rsidR="00CC15FF" w:rsidRDefault="00CC15FF" w:rsidP="00CC15FF">
      <w:pPr>
        <w:numPr>
          <w:ilvl w:val="0"/>
          <w:numId w:val="25"/>
        </w:numPr>
        <w:spacing w:after="0" w:line="276" w:lineRule="auto"/>
        <w:ind w:left="851" w:right="-1"/>
        <w:contextualSpacing/>
        <w:rPr>
          <w:b/>
        </w:rPr>
      </w:pPr>
      <w:r>
        <w:rPr>
          <w:b/>
        </w:rPr>
        <w:t>Posición en Moneda Extranjera y Protección por Riesgo Cambiario</w:t>
      </w:r>
    </w:p>
    <w:p w14:paraId="3A86AB23" w14:textId="77777777" w:rsidR="00CC15FF" w:rsidRDefault="00CC15FF" w:rsidP="00CC15FF">
      <w:pPr>
        <w:spacing w:after="0" w:line="276" w:lineRule="auto"/>
        <w:ind w:left="851" w:right="-1"/>
        <w:contextualSpacing/>
        <w:rPr>
          <w:b/>
        </w:rPr>
      </w:pPr>
    </w:p>
    <w:p w14:paraId="5B6028AE" w14:textId="1BBBB360" w:rsidR="00CC15FF" w:rsidRDefault="00CC15FF" w:rsidP="00CC15FF">
      <w:pPr>
        <w:spacing w:after="101" w:line="276" w:lineRule="auto"/>
        <w:ind w:right="-1"/>
        <w:jc w:val="both"/>
        <w:rPr>
          <w:rFonts w:eastAsia="Times New Roman" w:cs="Arial"/>
          <w:lang w:val="es-ES" w:eastAsia="es-ES"/>
        </w:rPr>
      </w:pPr>
      <w:r>
        <w:rPr>
          <w:rFonts w:eastAsia="Times New Roman" w:cs="Arial"/>
          <w:lang w:val="es-ES" w:eastAsia="es-ES"/>
        </w:rPr>
        <w:t>Los estados financieros antes mencionados se presentan en moneda de informe peso mexicano, que es igual a la moneda de registro y a su moneda funcional, por lo tanto, este punto no es aplicable para la entidad.</w:t>
      </w:r>
    </w:p>
    <w:p w14:paraId="13057DF8" w14:textId="77777777" w:rsidR="00CC15FF" w:rsidRDefault="00CC15FF" w:rsidP="00CC15FF">
      <w:pPr>
        <w:numPr>
          <w:ilvl w:val="0"/>
          <w:numId w:val="25"/>
        </w:numPr>
        <w:spacing w:after="0" w:line="276" w:lineRule="auto"/>
        <w:ind w:left="851" w:right="-1"/>
        <w:contextualSpacing/>
        <w:rPr>
          <w:b/>
        </w:rPr>
      </w:pPr>
      <w:r>
        <w:rPr>
          <w:b/>
        </w:rPr>
        <w:t>Reporte Analítico del Activo</w:t>
      </w:r>
    </w:p>
    <w:p w14:paraId="54BE5601" w14:textId="77777777" w:rsidR="00CC15FF" w:rsidRDefault="00CC15FF" w:rsidP="00CC15FF">
      <w:pPr>
        <w:spacing w:after="0" w:line="276" w:lineRule="auto"/>
        <w:ind w:left="851" w:right="-1"/>
        <w:contextualSpacing/>
        <w:rPr>
          <w:b/>
          <w:sz w:val="10"/>
        </w:rPr>
      </w:pPr>
    </w:p>
    <w:p w14:paraId="24F64612" w14:textId="6CAEDBE7" w:rsidR="00CC15FF" w:rsidRDefault="00CC15FF" w:rsidP="00CC15FF">
      <w:pPr>
        <w:spacing w:after="0" w:line="240" w:lineRule="exact"/>
        <w:ind w:left="284"/>
        <w:jc w:val="both"/>
        <w:rPr>
          <w:rFonts w:eastAsia="Times New Roman" w:cs="Arial"/>
          <w:lang w:eastAsia="es-ES"/>
        </w:rPr>
      </w:pPr>
      <w:r>
        <w:rPr>
          <w:noProof/>
          <w:lang w:eastAsia="es-MX"/>
        </w:rPr>
        <mc:AlternateContent>
          <mc:Choice Requires="wpg">
            <w:drawing>
              <wp:anchor distT="0" distB="0" distL="114300" distR="114300" simplePos="0" relativeHeight="251659264" behindDoc="0" locked="0" layoutInCell="1" allowOverlap="1" wp14:anchorId="71E06319" wp14:editId="21664D44">
                <wp:simplePos x="0" y="0"/>
                <wp:positionH relativeFrom="column">
                  <wp:posOffset>-692150</wp:posOffset>
                </wp:positionH>
                <wp:positionV relativeFrom="paragraph">
                  <wp:posOffset>-7432040</wp:posOffset>
                </wp:positionV>
                <wp:extent cx="6467475" cy="1924685"/>
                <wp:effectExtent l="0" t="0" r="0" b="37465"/>
                <wp:wrapNone/>
                <wp:docPr id="24" name="Grupo 24"/>
                <wp:cNvGraphicFramePr/>
                <a:graphic xmlns:a="http://schemas.openxmlformats.org/drawingml/2006/main">
                  <a:graphicData uri="http://schemas.microsoft.com/office/word/2010/wordprocessingGroup">
                    <wpg:wgp>
                      <wpg:cNvGrpSpPr/>
                      <wpg:grpSpPr>
                        <a:xfrm>
                          <a:off x="0" y="0"/>
                          <a:ext cx="6467475" cy="1924685"/>
                          <a:chOff x="0" y="0"/>
                          <a:chExt cx="6467475" cy="2193290"/>
                        </a:xfrm>
                      </wpg:grpSpPr>
                      <wps:wsp>
                        <wps:cNvPr id="62" name="Rectángulo 62"/>
                        <wps:cNvSpPr/>
                        <wps:spPr>
                          <a:xfrm>
                            <a:off x="0" y="0"/>
                            <a:ext cx="6467475" cy="1924685"/>
                          </a:xfrm>
                          <a:prstGeom prst="rect">
                            <a:avLst/>
                          </a:prstGeom>
                          <a:noFill/>
                          <a:ln>
                            <a:noFill/>
                          </a:ln>
                        </wps:spPr>
                        <wps:bodyPr/>
                      </wps:wsp>
                      <wps:wsp>
                        <wps:cNvPr id="63"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3"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5"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7"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9"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1"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1D96867" id="Grupo 24"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">
                <v:rect id="Rectángulo 62" o:spid="_x0000_s1027" style="position:absolute;width:64674;height:1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439" o:spid="_x0000_s1028" style="position:absolute;left:62445;top:464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MTwwAAANsAAAAPAAAAZHJzL2Rvd25yZXYueG1sRI9Ra8Iw&#10;FIXfBf9DuMJeZKZuWL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eVzE8MAAADbAAAADwAA&#10;AAAAAAAAAAAAAAAHAgAAZHJzL2Rvd25yZXYueG1sUEsFBgAAAAADAAMAtwAAAPcCAAAAAA==&#10;" fillcolor="#d4d4d4" stroked="f"/>
                <v:line id="Line 440" o:spid="_x0000_s1029" style="position:absolute;visibility:visible;mso-wrap-style:square" from="62445,6153" to="6245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H/xgAAANsAAAAPAAAAZHJzL2Rvd25yZXYueG1sRI9BawIx&#10;FITvBf9DeEIvpWYVEd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4nVR/8YAAADbAAAA&#10;DwAAAAAAAAAAAAAAAAAHAgAAZHJzL2Rvd25yZXYueG1sUEsFBgAAAAADAAMAtwAAAPoCAAAAAA==&#10;" strokecolor="#d4d4d4" strokeweight="0"/>
                <v:rect id="Rectangle 441" o:spid="_x0000_s1030" style="position:absolute;left:62445;top:615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" fillcolor="#d4d4d4" stroked="f"/>
                <v:line id="Line 442" o:spid="_x0000_s1031" style="position:absolute;visibility:visible;mso-wrap-style:square" from="62445,7721" to="62452,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" strokecolor="#d4d4d4" strokeweight="0"/>
                <v:rect id="Rectangle 443" o:spid="_x0000_s1032" style="position:absolute;left:62445;top:7721;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" fillcolor="#d4d4d4" stroked="f"/>
                <v:line id="Line 444" o:spid="_x0000_s1033" style="position:absolute;visibility:visible;mso-wrap-style:square" from="62445,8966" to="62452,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" strokecolor="#d4d4d4" strokeweight="0"/>
                <v:rect id="Rectangle 445" o:spid="_x0000_s1034" style="position:absolute;left:62445;top:896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" fillcolor="#d4d4d4" stroked="f"/>
                <v:line id="Line 446" o:spid="_x0000_s1035" style="position:absolute;visibility:visible;mso-wrap-style:square" from="62445,10083" to="6245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" strokecolor="#d4d4d4" strokeweight="0"/>
                <v:rect id="Rectangle 447" o:spid="_x0000_s1036" style="position:absolute;left:62445;top:1008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" fillcolor="#d4d4d4" stroked="f"/>
                <v:line id="Line 448" o:spid="_x0000_s1037" style="position:absolute;visibility:visible;mso-wrap-style:square" from="62445,11195" to="6245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" strokecolor="#d4d4d4" strokeweight="0"/>
                <v:rect id="Rectangle 449" o:spid="_x0000_s1038" style="position:absolute;left:62445;top:11195;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" fillcolor="#d4d4d4" stroked="f"/>
                <v:line id="Line 450" o:spid="_x0000_s1039" style="position:absolute;visibility:visible;mso-wrap-style:square" from="62445,12306" to="62452,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ci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GesxyLHAAAA2wAA&#10;AA8AAAAAAAAAAAAAAAAABwIAAGRycy9kb3ducmV2LnhtbFBLBQYAAAAAAwADALcAAAD7AgAAAAA=&#10;" strokecolor="#d4d4d4" strokeweight="0"/>
                <v:rect id="Rectangle 451" o:spid="_x0000_s1040" style="position:absolute;left:62445;top:12306;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" fillcolor="#d4d4d4" stroked="f"/>
                <v:line id="Line 452" o:spid="_x0000_s1041" style="position:absolute;visibility:visible;mso-wrap-style:square" from="62445,13423" to="62452,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" strokecolor="#d4d4d4" strokeweight="0"/>
                <v:rect id="Rectangle 453" o:spid="_x0000_s1042" style="position:absolute;left:62445;top:1342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line id="Line 454" o:spid="_x0000_s1043" style="position:absolute;visibility:visible;mso-wrap-style:square" from="62445,15125" to="62452,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" strokecolor="#d4d4d4" strokeweight="0"/>
                <v:rect id="Rectangle 455" o:spid="_x0000_s1044" style="position:absolute;left:62445;top:1512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" fillcolor="#d4d4d4" stroked="f"/>
                <v:line id="Line 456" o:spid="_x0000_s1045" style="position:absolute;visibility:visible;mso-wrap-style:square" from="62445,16236" to="6245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" strokecolor="#d4d4d4" strokeweight="0"/>
                <v:rect id="Rectangle 457" o:spid="_x0000_s1046" style="position:absolute;left:62445;top:16236;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" fillcolor="#d4d4d4" stroked="f"/>
                <v:line id="Line 458" o:spid="_x0000_s1047" style="position:absolute;visibility:visible;mso-wrap-style:square" from="62445,17348" to="62452,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" strokecolor="#d4d4d4" strokeweight="0"/>
                <v:rect id="Rectangle 459" o:spid="_x0000_s1048" style="position:absolute;left:62445;top:17348;width:6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line id="Line 460" o:spid="_x0000_s1049" style="position:absolute;visibility:visible;mso-wrap-style:square" from="62445,18465" to="62452,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cFxgAAANsAAAAPAAAAZHJzL2Rvd25yZXYueG1sRI/dagIx&#10;FITvC32HcARvimYtUm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Unm3BcYAAADbAAAA&#10;DwAAAAAAAAAAAAAAAAAHAgAAZHJzL2Rvd25yZXYueG1sUEsFBgAAAAADAAMAtwAAAPoCAAAAAA==&#10;" strokecolor="#d4d4d4" strokeweight="0"/>
                <v:rect id="Rectangle 461" o:spid="_x0000_s1050" style="position:absolute;left:62445;top:1846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line id="Line 462" o:spid="_x0000_s1051" style="position:absolute;visibility:visible;mso-wrap-style:square" from="62445,19577" to="62452,1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" strokecolor="#d4d4d4" strokeweight="0"/>
                <v:rect id="Rectangle 463" o:spid="_x0000_s1052" style="position:absolute;left:62445;top:19577;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464" o:spid="_x0000_s1053" style="position:absolute;visibility:visible;mso-wrap-style:square" from="62445,20688" to="6245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" strokecolor="#d4d4d4" strokeweight="0"/>
                <v:rect id="Rectangle 465" o:spid="_x0000_s1054" style="position:absolute;left:62445;top:2068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" fillcolor="#d4d4d4" stroked="f"/>
                <v:line id="Line 466" o:spid="_x0000_s1055" style="position:absolute;visibility:visible;mso-wrap-style:square" from="62445,21869" to="62452,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467" o:spid="_x0000_s1056" style="position:absolute;left:62445;top:21869;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group>
            </w:pict>
          </mc:Fallback>
        </mc:AlternateContent>
      </w:r>
      <w:r>
        <w:rPr>
          <w:rFonts w:eastAsia="Times New Roman" w:cs="Arial"/>
          <w:lang w:eastAsia="es-ES"/>
        </w:rPr>
        <w:t>En el “</w:t>
      </w:r>
      <w:r>
        <w:rPr>
          <w:rFonts w:eastAsia="Times New Roman" w:cs="Arial"/>
          <w:b/>
          <w:lang w:eastAsia="es-ES"/>
        </w:rPr>
        <w:t xml:space="preserve">Estado Analítico del Activo”, </w:t>
      </w:r>
      <w:r>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Pr>
          <w:rFonts w:eastAsia="Times New Roman" w:cs="Arial"/>
          <w:b/>
          <w:lang w:eastAsia="es-ES"/>
        </w:rPr>
        <w:t xml:space="preserve"> bienes muebles e inmuebles, </w:t>
      </w:r>
      <w:r>
        <w:rPr>
          <w:rFonts w:eastAsia="Times New Roman" w:cs="Arial"/>
          <w:lang w:eastAsia="es-ES"/>
        </w:rPr>
        <w:t>como</w:t>
      </w:r>
      <w:r>
        <w:rPr>
          <w:rFonts w:eastAsia="Times New Roman" w:cs="Arial"/>
          <w:b/>
          <w:lang w:eastAsia="es-ES"/>
        </w:rPr>
        <w:t xml:space="preserve"> </w:t>
      </w:r>
      <w:r>
        <w:rPr>
          <w:rFonts w:eastAsia="Times New Roman" w:cs="Arial"/>
          <w:lang w:eastAsia="es-ES"/>
        </w:rPr>
        <w:t>se detallan a continuación:</w:t>
      </w:r>
    </w:p>
    <w:p w14:paraId="16EAF4FC" w14:textId="26026034" w:rsidR="00CC15FF" w:rsidRDefault="00CC15FF" w:rsidP="00CC15FF">
      <w:pPr>
        <w:spacing w:after="101" w:line="276" w:lineRule="auto"/>
        <w:ind w:right="-1"/>
        <w:jc w:val="center"/>
        <w:rPr>
          <w:rFonts w:eastAsia="Times New Roman" w:cs="Arial"/>
          <w:b/>
          <w:lang w:eastAsia="es-ES"/>
        </w:rPr>
      </w:pPr>
      <w:r>
        <w:rPr>
          <w:noProof/>
          <w:lang w:eastAsia="es-MX"/>
        </w:rPr>
        <w:lastRenderedPageBreak/>
        <w:drawing>
          <wp:inline distT="0" distB="0" distL="0" distR="0" wp14:anchorId="48469D7C" wp14:editId="1422713E">
            <wp:extent cx="4742815" cy="1580489"/>
            <wp:effectExtent l="0" t="0" r="63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6177" cy="1588274"/>
                    </a:xfrm>
                    <a:prstGeom prst="rect">
                      <a:avLst/>
                    </a:prstGeom>
                    <a:noFill/>
                    <a:ln>
                      <a:noFill/>
                    </a:ln>
                  </pic:spPr>
                </pic:pic>
              </a:graphicData>
            </a:graphic>
          </wp:inline>
        </w:drawing>
      </w:r>
    </w:p>
    <w:p w14:paraId="4EC53639" w14:textId="77777777" w:rsidR="00CC15FF" w:rsidRDefault="00CC15FF" w:rsidP="00CC15FF">
      <w:pPr>
        <w:spacing w:after="101" w:line="276" w:lineRule="auto"/>
        <w:ind w:right="-1"/>
        <w:jc w:val="both"/>
        <w:rPr>
          <w:rFonts w:eastAsia="Times New Roman" w:cs="Arial"/>
          <w:lang w:eastAsia="es-ES"/>
        </w:rPr>
      </w:pPr>
      <w:r>
        <w:rPr>
          <w:rFonts w:eastAsia="Times New Roman" w:cs="Arial"/>
          <w:b/>
          <w:lang w:eastAsia="es-ES"/>
        </w:rPr>
        <w:t xml:space="preserve">Depreciación. - </w:t>
      </w:r>
      <w:r>
        <w:rPr>
          <w:rFonts w:eastAsia="Times New Roman" w:cs="Arial"/>
          <w:lang w:eastAsia="es-ES"/>
        </w:rPr>
        <w:t>Se calcula por el método de línea recta a partir del mes siguiente al de su adquisición, aplicando los porcentajes siguientes:</w:t>
      </w:r>
    </w:p>
    <w:tbl>
      <w:tblPr>
        <w:tblStyle w:val="Tablaconcuadrcula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415"/>
      </w:tblGrid>
      <w:tr w:rsidR="00CC15FF" w14:paraId="2AA0AE15" w14:textId="77777777" w:rsidTr="00CC15FF">
        <w:trPr>
          <w:trHeight w:val="659"/>
        </w:trPr>
        <w:tc>
          <w:tcPr>
            <w:tcW w:w="4220" w:type="dxa"/>
            <w:hideMark/>
          </w:tcPr>
          <w:p w14:paraId="7EBDF7E7" w14:textId="77777777" w:rsidR="00CC15FF" w:rsidRDefault="00CC15FF">
            <w:pPr>
              <w:spacing w:line="276" w:lineRule="auto"/>
              <w:ind w:right="-1"/>
              <w:jc w:val="both"/>
              <w:rPr>
                <w:rFonts w:ascii="HelveticaNeueLT Std" w:eastAsia="Times New Roman" w:hAnsi="HelveticaNeueLT Std"/>
                <w:b/>
                <w:color w:val="000000"/>
                <w:u w:val="single"/>
              </w:rPr>
            </w:pPr>
            <w:r>
              <w:rPr>
                <w:rFonts w:ascii="HelveticaNeueLT Std" w:eastAsia="Times New Roman" w:hAnsi="HelveticaNeueLT Std"/>
                <w:b/>
                <w:color w:val="000000"/>
                <w:u w:val="single"/>
              </w:rPr>
              <w:t>Concepto</w:t>
            </w:r>
          </w:p>
          <w:p w14:paraId="58DC58E5" w14:textId="77777777" w:rsidR="00CC15FF" w:rsidRDefault="00CC15FF">
            <w:pPr>
              <w:spacing w:line="276" w:lineRule="auto"/>
              <w:ind w:right="-1"/>
              <w:jc w:val="both"/>
              <w:rPr>
                <w:rFonts w:ascii="HelveticaNeueLT Std" w:eastAsia="Times New Roman" w:hAnsi="HelveticaNeueLT Std"/>
                <w:color w:val="000000"/>
              </w:rPr>
            </w:pPr>
            <w:r>
              <w:rPr>
                <w:rFonts w:ascii="HelveticaNeueLT Std" w:eastAsia="Times New Roman" w:hAnsi="HelveticaNeueLT Std"/>
                <w:color w:val="000000"/>
              </w:rPr>
              <w:t xml:space="preserve">Edificios </w:t>
            </w:r>
          </w:p>
          <w:p w14:paraId="184B2C53" w14:textId="77777777" w:rsidR="00CC15FF" w:rsidRDefault="00CC15FF">
            <w:pPr>
              <w:spacing w:line="276" w:lineRule="auto"/>
              <w:ind w:right="-1"/>
              <w:jc w:val="both"/>
              <w:rPr>
                <w:rFonts w:ascii="HelveticaNeueLT Std" w:eastAsia="Times New Roman" w:hAnsi="HelveticaNeueLT Std"/>
                <w:color w:val="000000"/>
              </w:rPr>
            </w:pPr>
            <w:r>
              <w:rPr>
                <w:rFonts w:ascii="HelveticaNeueLT Std" w:eastAsia="Times New Roman" w:hAnsi="HelveticaNeueLT Std"/>
                <w:color w:val="000000"/>
              </w:rPr>
              <w:t>Equipo de cómputo</w:t>
            </w:r>
            <w:r>
              <w:rPr>
                <w:rFonts w:ascii="HelveticaNeueLT Std" w:eastAsia="Times New Roman" w:hAnsi="HelveticaNeueLT Std"/>
                <w:color w:val="000000"/>
              </w:rPr>
              <w:tab/>
            </w:r>
          </w:p>
          <w:p w14:paraId="16F02B8B" w14:textId="77777777" w:rsidR="00CC15FF" w:rsidRDefault="00CC15FF">
            <w:pPr>
              <w:spacing w:line="276" w:lineRule="auto"/>
              <w:ind w:right="-1"/>
              <w:jc w:val="both"/>
              <w:rPr>
                <w:rFonts w:ascii="HelveticaNeueLT Std" w:eastAsia="Times New Roman" w:hAnsi="HelveticaNeueLT Std"/>
                <w:color w:val="000000"/>
              </w:rPr>
            </w:pPr>
            <w:r>
              <w:rPr>
                <w:rFonts w:ascii="HelveticaNeueLT Std" w:eastAsia="Times New Roman" w:hAnsi="HelveticaNeueLT Std"/>
                <w:color w:val="000000"/>
              </w:rPr>
              <w:t>Mobiliario y equipo de oficina</w:t>
            </w:r>
          </w:p>
          <w:p w14:paraId="16C3409A" w14:textId="77777777" w:rsidR="00CC15FF" w:rsidRDefault="00CC15FF">
            <w:pPr>
              <w:spacing w:line="276" w:lineRule="auto"/>
              <w:ind w:right="-1"/>
              <w:rPr>
                <w:rFonts w:ascii="HelveticaNeueLT Std" w:eastAsia="Times New Roman" w:hAnsi="HelveticaNeueLT Std"/>
                <w:color w:val="000000"/>
              </w:rPr>
            </w:pPr>
            <w:r>
              <w:rPr>
                <w:rFonts w:ascii="HelveticaNeueLT Std" w:eastAsia="Times New Roman" w:hAnsi="HelveticaNeueLT Std"/>
                <w:color w:val="000000"/>
              </w:rPr>
              <w:t>Maquinaria</w:t>
            </w:r>
            <w:r>
              <w:rPr>
                <w:rFonts w:ascii="HelveticaNeueLT Std" w:eastAsia="Times New Roman" w:hAnsi="HelveticaNeueLT Std"/>
                <w:color w:val="000000"/>
              </w:rPr>
              <w:tab/>
            </w:r>
          </w:p>
          <w:p w14:paraId="5B9203E6" w14:textId="77777777" w:rsidR="00CC15FF" w:rsidRDefault="00CC15FF">
            <w:pPr>
              <w:spacing w:line="276" w:lineRule="auto"/>
              <w:ind w:right="-1"/>
              <w:rPr>
                <w:rFonts w:ascii="HelveticaNeueLT Std" w:eastAsia="Times New Roman" w:hAnsi="HelveticaNeueLT Std"/>
              </w:rPr>
            </w:pPr>
            <w:r>
              <w:rPr>
                <w:rFonts w:ascii="HelveticaNeueLT Std" w:eastAsia="Times New Roman" w:hAnsi="HelveticaNeueLT Std"/>
                <w:color w:val="000000"/>
              </w:rPr>
              <w:t>Vehículos</w:t>
            </w:r>
          </w:p>
        </w:tc>
        <w:tc>
          <w:tcPr>
            <w:tcW w:w="2415" w:type="dxa"/>
            <w:hideMark/>
          </w:tcPr>
          <w:p w14:paraId="0BAC71FD"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Tasa</w:t>
            </w:r>
          </w:p>
          <w:p w14:paraId="719DABCF"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2%</w:t>
            </w:r>
          </w:p>
          <w:p w14:paraId="48D5072E"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20%</w:t>
            </w:r>
          </w:p>
          <w:p w14:paraId="2F81479A"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3%</w:t>
            </w:r>
          </w:p>
          <w:p w14:paraId="0DA4BB43"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10%</w:t>
            </w:r>
          </w:p>
          <w:p w14:paraId="03B0A46D" w14:textId="77777777" w:rsidR="00CC15FF" w:rsidRDefault="00CC15FF">
            <w:pPr>
              <w:spacing w:line="276" w:lineRule="auto"/>
              <w:ind w:right="-1"/>
              <w:jc w:val="center"/>
              <w:rPr>
                <w:rFonts w:ascii="HelveticaNeueLT Std" w:eastAsia="Times New Roman" w:hAnsi="HelveticaNeueLT Std"/>
                <w:color w:val="000000"/>
              </w:rPr>
            </w:pPr>
            <w:r>
              <w:rPr>
                <w:rFonts w:ascii="HelveticaNeueLT Std" w:eastAsia="Times New Roman" w:hAnsi="HelveticaNeueLT Std"/>
                <w:color w:val="000000"/>
              </w:rPr>
              <w:t>10%</w:t>
            </w:r>
          </w:p>
        </w:tc>
      </w:tr>
    </w:tbl>
    <w:p w14:paraId="71433637" w14:textId="77777777" w:rsidR="00CC15FF" w:rsidRDefault="00CC15FF" w:rsidP="00CC15FF">
      <w:pPr>
        <w:tabs>
          <w:tab w:val="left" w:pos="1803"/>
        </w:tabs>
        <w:spacing w:after="101" w:line="276" w:lineRule="auto"/>
        <w:ind w:right="-1"/>
        <w:jc w:val="both"/>
        <w:rPr>
          <w:rFonts w:eastAsia="Times New Roman" w:cs="Arial"/>
          <w:b/>
          <w:sz w:val="4"/>
          <w:lang w:eastAsia="es-ES"/>
        </w:rPr>
      </w:pPr>
    </w:p>
    <w:p w14:paraId="3A83CCF9" w14:textId="77777777" w:rsidR="00CC15FF" w:rsidRDefault="00CC15FF" w:rsidP="00CC15FF">
      <w:pPr>
        <w:tabs>
          <w:tab w:val="left" w:pos="1803"/>
        </w:tabs>
        <w:spacing w:after="101" w:line="276" w:lineRule="auto"/>
        <w:ind w:right="-1"/>
        <w:jc w:val="both"/>
        <w:rPr>
          <w:rFonts w:eastAsia="Times New Roman" w:cs="Arial"/>
          <w:color w:val="000000"/>
          <w:lang w:eastAsia="es-ES"/>
        </w:rPr>
      </w:pPr>
      <w:r>
        <w:rPr>
          <w:rFonts w:eastAsia="Times New Roman" w:cs="Arial"/>
          <w:b/>
          <w:lang w:eastAsia="es-ES"/>
        </w:rPr>
        <w:t>Depreciación, Deterioro y Amortización Acumulada de Bienes</w:t>
      </w:r>
      <w:r>
        <w:rPr>
          <w:rFonts w:eastAsia="Times New Roman" w:cs="Arial"/>
          <w:lang w:eastAsia="es-ES"/>
        </w:rPr>
        <w:t>. - El saldo de 135</w:t>
      </w:r>
      <w:proofErr w:type="gramStart"/>
      <w:r>
        <w:rPr>
          <w:rFonts w:eastAsia="Times New Roman" w:cs="Arial"/>
          <w:lang w:eastAsia="es-ES"/>
        </w:rPr>
        <w:t>,517,362.64</w:t>
      </w:r>
      <w:proofErr w:type="gramEnd"/>
      <w:r>
        <w:rPr>
          <w:rFonts w:eastAsia="Times New Roman" w:cs="Arial"/>
          <w:lang w:eastAsia="es-ES"/>
        </w:rPr>
        <w:t xml:space="preserve">, se integra con las siguientes cuentas, dando un total neto en el rubro de activo fijo </w:t>
      </w:r>
      <w:r>
        <w:rPr>
          <w:rFonts w:eastAsia="Times New Roman" w:cs="Arial"/>
          <w:color w:val="000000"/>
          <w:lang w:eastAsia="es-ES"/>
        </w:rPr>
        <w:t>de 172,093,600.93.</w:t>
      </w:r>
    </w:p>
    <w:p w14:paraId="6D5B42FF" w14:textId="77777777" w:rsidR="00CC15FF" w:rsidRDefault="00CC15FF" w:rsidP="00CC15FF">
      <w:pPr>
        <w:spacing w:after="101" w:line="276" w:lineRule="auto"/>
        <w:ind w:right="-1"/>
        <w:jc w:val="both"/>
        <w:rPr>
          <w:rFonts w:eastAsia="Times New Roman" w:cs="Arial"/>
          <w:lang w:eastAsia="es-ES"/>
        </w:rPr>
      </w:pPr>
      <w:r>
        <w:rPr>
          <w:rFonts w:eastAsia="Times New Roman" w:cs="Arial"/>
          <w:b/>
          <w:lang w:eastAsia="es-ES"/>
        </w:rPr>
        <w:t>Depreciación Acumulada de Bienes Inmuebles. -</w:t>
      </w:r>
      <w:r>
        <w:rPr>
          <w:rFonts w:eastAsia="Times New Roman" w:cs="Arial"/>
          <w:lang w:eastAsia="es-ES"/>
        </w:rPr>
        <w:t xml:space="preserve"> El saldo de 9,736,644.54</w:t>
      </w:r>
      <w:proofErr w:type="gramStart"/>
      <w:r>
        <w:rPr>
          <w:rFonts w:eastAsia="Times New Roman" w:cs="Arial"/>
          <w:lang w:eastAsia="es-ES"/>
        </w:rPr>
        <w:t>,,</w:t>
      </w:r>
      <w:proofErr w:type="gramEnd"/>
      <w:r>
        <w:rPr>
          <w:rFonts w:eastAsia="Times New Roman" w:cs="Arial"/>
          <w:lang w:eastAsia="es-ES"/>
        </w:rPr>
        <w:t xml:space="preserve"> es el importe de la disminución a valores históricos de los bienes inmuebles del Instituto, el total neto en la cuenta de Edificios No Habitacionales es por 76,589,090.65.</w:t>
      </w:r>
    </w:p>
    <w:p w14:paraId="612628F8" w14:textId="77777777" w:rsidR="00CC15FF" w:rsidRDefault="00CC15FF" w:rsidP="00CC15FF">
      <w:pPr>
        <w:spacing w:after="101" w:line="276" w:lineRule="auto"/>
        <w:ind w:right="-1"/>
        <w:jc w:val="both"/>
        <w:rPr>
          <w:rFonts w:eastAsia="Times New Roman" w:cs="Arial"/>
          <w:lang w:eastAsia="es-ES"/>
        </w:rPr>
      </w:pPr>
      <w:r>
        <w:rPr>
          <w:rFonts w:eastAsia="Times New Roman" w:cs="Arial"/>
          <w:b/>
          <w:lang w:eastAsia="es-ES"/>
        </w:rPr>
        <w:t>Depreciación Acumulada de Bienes Muebles. -</w:t>
      </w:r>
      <w:r>
        <w:rPr>
          <w:rFonts w:eastAsia="Times New Roman" w:cs="Arial"/>
          <w:lang w:eastAsia="es-ES"/>
        </w:rPr>
        <w:t xml:space="preserve"> El saldo de 125</w:t>
      </w:r>
      <w:proofErr w:type="gramStart"/>
      <w:r>
        <w:rPr>
          <w:rFonts w:eastAsia="Times New Roman" w:cs="Arial"/>
          <w:lang w:eastAsia="es-ES"/>
        </w:rPr>
        <w:t>,780,818.10</w:t>
      </w:r>
      <w:proofErr w:type="gramEnd"/>
      <w:r>
        <w:rPr>
          <w:rFonts w:eastAsia="Times New Roman" w:cs="Arial"/>
          <w:lang w:eastAsia="es-ES"/>
        </w:rPr>
        <w:t>, es el importe de la disminución a valores históricos de los bienes muebles del Instituto, dando un total neto en este rubro por 95,504,510.28.</w:t>
      </w:r>
    </w:p>
    <w:p w14:paraId="0FFEA782" w14:textId="77777777" w:rsidR="00CC15FF" w:rsidRDefault="00CC15FF" w:rsidP="00CC15FF">
      <w:pPr>
        <w:numPr>
          <w:ilvl w:val="0"/>
          <w:numId w:val="25"/>
        </w:numPr>
        <w:spacing w:after="0" w:line="276" w:lineRule="auto"/>
        <w:ind w:left="851" w:right="-1"/>
        <w:contextualSpacing/>
        <w:rPr>
          <w:b/>
        </w:rPr>
      </w:pPr>
      <w:r>
        <w:rPr>
          <w:b/>
        </w:rPr>
        <w:t>Fideicomisos, Mandatos y Análogos</w:t>
      </w:r>
    </w:p>
    <w:p w14:paraId="376CF1E8" w14:textId="77777777" w:rsidR="00CC15FF" w:rsidRDefault="00CC15FF" w:rsidP="00CC15FF">
      <w:pPr>
        <w:spacing w:after="0"/>
        <w:ind w:left="720"/>
        <w:contextualSpacing/>
        <w:rPr>
          <w:rFonts w:eastAsia="Times New Roman" w:cs="Arial"/>
          <w:lang w:eastAsia="es-ES"/>
        </w:rPr>
      </w:pPr>
    </w:p>
    <w:p w14:paraId="6989164A" w14:textId="77777777" w:rsidR="00CC15FF" w:rsidRDefault="00CC15FF" w:rsidP="00CC15FF">
      <w:pPr>
        <w:numPr>
          <w:ilvl w:val="0"/>
          <w:numId w:val="37"/>
        </w:numPr>
        <w:spacing w:after="240" w:line="276" w:lineRule="auto"/>
        <w:ind w:right="-1"/>
        <w:jc w:val="both"/>
        <w:rPr>
          <w:rFonts w:cs="Arial"/>
        </w:rPr>
      </w:pPr>
      <w:r>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w:t>
      </w:r>
      <w:proofErr w:type="spellStart"/>
      <w:r>
        <w:rPr>
          <w:rFonts w:cs="Arial"/>
        </w:rPr>
        <w:t>RPP</w:t>
      </w:r>
      <w:proofErr w:type="spellEnd"/>
      <w:r>
        <w:rPr>
          <w:rFonts w:cs="Arial"/>
        </w:rPr>
        <w:t>) al fideicomiso; otorgar una garantía en relación a las obligaciones que el fideicomiso asuma; y que el fiduciario del fideicomiso contrate garantías financieras, con objeto de asegurar el pago de los financiamientos.</w:t>
      </w:r>
    </w:p>
    <w:p w14:paraId="4B28F9E3" w14:textId="77777777" w:rsidR="00CC15FF" w:rsidRDefault="00CC15FF" w:rsidP="00CC15FF">
      <w:pPr>
        <w:numPr>
          <w:ilvl w:val="0"/>
          <w:numId w:val="37"/>
        </w:numPr>
        <w:spacing w:after="240" w:line="276" w:lineRule="auto"/>
        <w:ind w:right="-1"/>
        <w:jc w:val="both"/>
        <w:rPr>
          <w:rFonts w:cs="Arial"/>
        </w:rPr>
      </w:pPr>
      <w:r>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7E074D9B" w14:textId="77777777" w:rsidR="00CC15FF" w:rsidRDefault="00CC15FF" w:rsidP="00CC15FF">
      <w:pPr>
        <w:numPr>
          <w:ilvl w:val="0"/>
          <w:numId w:val="37"/>
        </w:numPr>
        <w:spacing w:after="240" w:line="276" w:lineRule="auto"/>
        <w:ind w:right="-1"/>
        <w:jc w:val="both"/>
        <w:rPr>
          <w:rFonts w:cs="Arial"/>
        </w:rPr>
      </w:pPr>
      <w:r>
        <w:rPr>
          <w:rFonts w:cs="Arial"/>
        </w:rPr>
        <w:lastRenderedPageBreak/>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793932D5" w14:textId="77777777" w:rsidR="00CC15FF" w:rsidRDefault="00CC15FF" w:rsidP="00CC15FF">
      <w:pPr>
        <w:numPr>
          <w:ilvl w:val="0"/>
          <w:numId w:val="37"/>
        </w:numPr>
        <w:spacing w:after="240" w:line="276" w:lineRule="auto"/>
        <w:ind w:right="-1"/>
        <w:jc w:val="both"/>
        <w:rPr>
          <w:rFonts w:cs="Arial"/>
        </w:rPr>
      </w:pPr>
      <w:r>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w:t>
      </w:r>
      <w:proofErr w:type="spellStart"/>
      <w:r>
        <w:rPr>
          <w:rFonts w:cs="Arial"/>
        </w:rPr>
        <w:t>S.N.C</w:t>
      </w:r>
      <w:proofErr w:type="spellEnd"/>
      <w:r>
        <w:rPr>
          <w:rFonts w:cs="Arial"/>
        </w:rPr>
        <w:t xml:space="preserve">., Institución de Banca de Desarrollo, Dirección Fiduciaria) como Fiduciario de Cobranza al cual transfiere irrevocablemente los ingresos del </w:t>
      </w:r>
      <w:proofErr w:type="spellStart"/>
      <w:r>
        <w:rPr>
          <w:rFonts w:cs="Arial"/>
        </w:rPr>
        <w:t>RPP</w:t>
      </w:r>
      <w:proofErr w:type="spellEnd"/>
      <w:r>
        <w:rPr>
          <w:rFonts w:cs="Arial"/>
        </w:rPr>
        <w:t xml:space="preserve">, como “Fideicomisario en primer lugar y Emisora” Promotora de Infraestructura Registral, S.A. de C.V. </w:t>
      </w:r>
      <w:proofErr w:type="spellStart"/>
      <w:r>
        <w:rPr>
          <w:rFonts w:cs="Arial"/>
        </w:rPr>
        <w:t>SOFOM</w:t>
      </w:r>
      <w:proofErr w:type="spellEnd"/>
      <w:r>
        <w:rPr>
          <w:rFonts w:cs="Arial"/>
        </w:rPr>
        <w:t xml:space="preserve">, E. N. R., Banco </w:t>
      </w:r>
      <w:proofErr w:type="spellStart"/>
      <w:r>
        <w:rPr>
          <w:rFonts w:cs="Arial"/>
        </w:rPr>
        <w:t>Invex</w:t>
      </w:r>
      <w:proofErr w:type="spellEnd"/>
      <w:r>
        <w:rPr>
          <w:rFonts w:cs="Arial"/>
        </w:rPr>
        <w:t xml:space="preserve">, S.A., Institución de Banca Múltiple </w:t>
      </w:r>
      <w:proofErr w:type="spellStart"/>
      <w:r>
        <w:rPr>
          <w:rFonts w:cs="Arial"/>
        </w:rPr>
        <w:t>Invex</w:t>
      </w:r>
      <w:proofErr w:type="spellEnd"/>
      <w:r>
        <w:rPr>
          <w:rFonts w:cs="Arial"/>
        </w:rPr>
        <w:t xml:space="preserve"> Grupo Financiero y </w:t>
      </w:r>
      <w:proofErr w:type="spellStart"/>
      <w:r>
        <w:rPr>
          <w:rFonts w:cs="Arial"/>
        </w:rPr>
        <w:t>Monex</w:t>
      </w:r>
      <w:proofErr w:type="spellEnd"/>
      <w:r>
        <w:rPr>
          <w:rFonts w:cs="Arial"/>
        </w:rPr>
        <w:t xml:space="preserve"> Casa de Bolsa, S.A. de C.V., como “Fiduciarios” representantes comunes de los tenedores de los Certificados Bursátiles Fiduciarios Series “A” y “B”.</w:t>
      </w:r>
    </w:p>
    <w:p w14:paraId="22601B94" w14:textId="77777777" w:rsidR="00CC15FF" w:rsidRDefault="00CC15FF" w:rsidP="00CC15FF">
      <w:pPr>
        <w:numPr>
          <w:ilvl w:val="0"/>
          <w:numId w:val="37"/>
        </w:numPr>
        <w:spacing w:line="276" w:lineRule="auto"/>
        <w:ind w:right="-1"/>
        <w:jc w:val="both"/>
        <w:rPr>
          <w:rFonts w:cs="Arial"/>
        </w:rPr>
      </w:pPr>
      <w:r>
        <w:rPr>
          <w:rFonts w:cs="Arial"/>
        </w:rPr>
        <w:t xml:space="preserve">Adicionalmente el 9 de agosto de 2010, la </w:t>
      </w:r>
      <w:proofErr w:type="spellStart"/>
      <w:r>
        <w:rPr>
          <w:rFonts w:cs="Arial"/>
        </w:rPr>
        <w:t>SOFOM</w:t>
      </w:r>
      <w:proofErr w:type="spellEnd"/>
      <w:r>
        <w:rPr>
          <w:rFonts w:cs="Arial"/>
        </w:rPr>
        <w:t xml:space="preserve">,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w:t>
      </w:r>
      <w:proofErr w:type="spellStart"/>
      <w:r>
        <w:rPr>
          <w:rFonts w:cs="Arial"/>
        </w:rPr>
        <w:t>S.N.C</w:t>
      </w:r>
      <w:proofErr w:type="spellEnd"/>
      <w:r>
        <w:rPr>
          <w:rFonts w:cs="Arial"/>
        </w:rPr>
        <w:t xml:space="preserve">., Institución de Banca de Desarrollo, Dirección Fiduciaria, como Fideicomisario en segundo lugar, </w:t>
      </w:r>
      <w:proofErr w:type="spellStart"/>
      <w:r>
        <w:rPr>
          <w:rFonts w:cs="Arial"/>
        </w:rPr>
        <w:t>Monex</w:t>
      </w:r>
      <w:proofErr w:type="spellEnd"/>
      <w:r>
        <w:rPr>
          <w:rFonts w:cs="Arial"/>
        </w:rPr>
        <w:t xml:space="preserve"> Casa de Bolsa, S.A. de C.V., </w:t>
      </w:r>
      <w:proofErr w:type="spellStart"/>
      <w:r>
        <w:rPr>
          <w:rFonts w:cs="Arial"/>
        </w:rPr>
        <w:t>Monex</w:t>
      </w:r>
      <w:proofErr w:type="spellEnd"/>
      <w:r>
        <w:rPr>
          <w:rFonts w:cs="Arial"/>
        </w:rPr>
        <w:t xml:space="preserve"> Grupo Financiero, como representante común de los tenedores de los Certificados Bursátiles y </w:t>
      </w:r>
    </w:p>
    <w:p w14:paraId="5C0EBC87" w14:textId="77777777" w:rsidR="00CC15FF" w:rsidRDefault="00CC15FF" w:rsidP="00CC15FF">
      <w:pPr>
        <w:spacing w:line="276" w:lineRule="auto"/>
        <w:ind w:left="786" w:right="-1"/>
        <w:jc w:val="both"/>
        <w:rPr>
          <w:rFonts w:cs="Arial"/>
        </w:rPr>
      </w:pPr>
      <w:proofErr w:type="spellStart"/>
      <w:r>
        <w:rPr>
          <w:rFonts w:cs="Arial"/>
        </w:rPr>
        <w:t>The</w:t>
      </w:r>
      <w:proofErr w:type="spellEnd"/>
      <w:r>
        <w:rPr>
          <w:rFonts w:cs="Arial"/>
        </w:rPr>
        <w:t xml:space="preserve"> Bank of New York </w:t>
      </w:r>
      <w:proofErr w:type="spellStart"/>
      <w:r>
        <w:rPr>
          <w:rFonts w:cs="Arial"/>
        </w:rPr>
        <w:t>Mellon</w:t>
      </w:r>
      <w:proofErr w:type="spellEnd"/>
      <w:r>
        <w:rPr>
          <w:rFonts w:cs="Arial"/>
        </w:rPr>
        <w:t>, S.A., Institución de Banca Múltiple como mandatario del Garante “A” y del Garante “B”.</w:t>
      </w:r>
    </w:p>
    <w:p w14:paraId="3C6376FD" w14:textId="77777777" w:rsidR="00CC15FF" w:rsidRDefault="00CC15FF" w:rsidP="00CC15FF">
      <w:pPr>
        <w:numPr>
          <w:ilvl w:val="0"/>
          <w:numId w:val="37"/>
        </w:numPr>
        <w:spacing w:after="0" w:line="254" w:lineRule="auto"/>
        <w:contextualSpacing/>
        <w:rPr>
          <w:rFonts w:eastAsia="Times New Roman" w:cs="Arial"/>
          <w:lang w:eastAsia="es-MX"/>
        </w:rPr>
      </w:pPr>
      <w:r>
        <w:rPr>
          <w:rFonts w:eastAsia="Times New Roman" w:cs="Arial"/>
          <w:lang w:eastAsia="es-MX"/>
        </w:rPr>
        <w:t xml:space="preserve">El 23 de agosto de 2010 el Estado de México, el Instituto y Promotora de Infraestructura Registral, S.A. de C.V. </w:t>
      </w:r>
      <w:proofErr w:type="spellStart"/>
      <w:r>
        <w:rPr>
          <w:rFonts w:eastAsia="Times New Roman" w:cs="Arial"/>
          <w:lang w:eastAsia="es-MX"/>
        </w:rPr>
        <w:t>SOFOM</w:t>
      </w:r>
      <w:proofErr w:type="spellEnd"/>
      <w:r>
        <w:rPr>
          <w:rFonts w:eastAsia="Times New Roman" w:cs="Arial"/>
          <w:lang w:eastAsia="es-MX"/>
        </w:rPr>
        <w:t xml:space="preserve">, </w:t>
      </w:r>
      <w:proofErr w:type="spellStart"/>
      <w:r>
        <w:rPr>
          <w:rFonts w:eastAsia="Times New Roman" w:cs="Arial"/>
          <w:lang w:eastAsia="es-MX"/>
        </w:rPr>
        <w:t>E.N.R</w:t>
      </w:r>
      <w:proofErr w:type="spellEnd"/>
      <w:r>
        <w:rPr>
          <w:rFonts w:eastAsia="Times New Roman" w:cs="Arial"/>
          <w:lang w:eastAsia="es-MX"/>
        </w:rPr>
        <w:t>., celebran un Convenio Global Estabilizador, en virtud del cual el Estado y el Instituto asumen una serie de obligaciones de hacer y no hacer frente a la Emisora, así como compromisos de indemnización por el incumplimiento de dichas obligaciones.</w:t>
      </w:r>
    </w:p>
    <w:p w14:paraId="4ED8899F" w14:textId="77777777" w:rsidR="00CC15FF" w:rsidRDefault="00CC15FF" w:rsidP="00CC15FF">
      <w:pPr>
        <w:spacing w:after="0"/>
        <w:ind w:left="786"/>
        <w:contextualSpacing/>
        <w:rPr>
          <w:rFonts w:eastAsia="Times New Roman" w:cs="Arial"/>
          <w:lang w:eastAsia="es-MX"/>
        </w:rPr>
      </w:pPr>
    </w:p>
    <w:p w14:paraId="64247E10" w14:textId="77777777" w:rsidR="00CC15FF" w:rsidRDefault="00CC15FF" w:rsidP="00CC15FF">
      <w:pPr>
        <w:numPr>
          <w:ilvl w:val="0"/>
          <w:numId w:val="37"/>
        </w:numPr>
        <w:spacing w:line="276" w:lineRule="auto"/>
        <w:ind w:right="-1"/>
        <w:jc w:val="both"/>
        <w:rPr>
          <w:rFonts w:cs="Arial"/>
        </w:rPr>
      </w:pPr>
      <w:r>
        <w:rPr>
          <w:rFonts w:cs="Arial"/>
        </w:rPr>
        <w:t xml:space="preserve">Con esta misma fecha de conformidad con los artículos 61 a 64 de la Ley del Mercado de Valores, la Emisora Promotora de Infraestructura Registral, S.A. de C.V. </w:t>
      </w:r>
      <w:proofErr w:type="spellStart"/>
      <w:r>
        <w:rPr>
          <w:rFonts w:cs="Arial"/>
        </w:rPr>
        <w:t>SOFOM</w:t>
      </w:r>
      <w:proofErr w:type="spellEnd"/>
      <w:r>
        <w:rPr>
          <w:rFonts w:cs="Arial"/>
        </w:rPr>
        <w:t xml:space="preserve">., </w:t>
      </w:r>
      <w:proofErr w:type="spellStart"/>
      <w:r>
        <w:rPr>
          <w:rFonts w:cs="Arial"/>
        </w:rPr>
        <w:t>E.N.R</w:t>
      </w:r>
      <w:proofErr w:type="spellEnd"/>
      <w:r>
        <w:rPr>
          <w:rFonts w:cs="Arial"/>
        </w:rPr>
        <w:t xml:space="preserve">., emitió, ofreció y colocó, de forma privada, certificados bursátiles fiduciarios serie (i) “A” por un monto de 2 mil 765 millones de pesos, con una tasa de interés anual igual a la suma del </w:t>
      </w:r>
      <w:proofErr w:type="spellStart"/>
      <w:r>
        <w:rPr>
          <w:rFonts w:cs="Arial"/>
        </w:rPr>
        <w:t>U.S</w:t>
      </w:r>
      <w:proofErr w:type="spellEnd"/>
      <w:r>
        <w:rPr>
          <w:rFonts w:cs="Arial"/>
        </w:rPr>
        <w:t xml:space="preserve">. </w:t>
      </w:r>
      <w:proofErr w:type="spellStart"/>
      <w:r>
        <w:rPr>
          <w:rFonts w:cs="Arial"/>
        </w:rPr>
        <w:t>Treasury</w:t>
      </w:r>
      <w:proofErr w:type="spellEnd"/>
      <w:r>
        <w:rPr>
          <w:rFonts w:cs="Arial"/>
        </w:rPr>
        <w:t xml:space="preserve"> </w:t>
      </w:r>
      <w:proofErr w:type="spellStart"/>
      <w:r>
        <w:rPr>
          <w:rFonts w:cs="Arial"/>
        </w:rPr>
        <w:t>Cost</w:t>
      </w:r>
      <w:proofErr w:type="spellEnd"/>
      <w:r>
        <w:rPr>
          <w:rFonts w:cs="Arial"/>
        </w:rPr>
        <w:t xml:space="preserve">, más 3.5 por ciento, y (ii) “B” por un monto de 1 mil 300 millones de pesos, con una tasa de interés anual igual al resultado de multiplicar 1.10 por la tasa moratoria que se establece en el </w:t>
      </w:r>
      <w:proofErr w:type="spellStart"/>
      <w:r>
        <w:rPr>
          <w:rFonts w:cs="Arial"/>
        </w:rPr>
        <w:t>Macrotítulo</w:t>
      </w:r>
      <w:proofErr w:type="spellEnd"/>
      <w:r>
        <w:rPr>
          <w:rFonts w:cs="Arial"/>
        </w:rPr>
        <w:t xml:space="preserve"> de los Certificados Bursátiles Fiduciarios Serie “B”, y se encuentran respaldados por los remanentes del Fideicomiso de Cobranza.</w:t>
      </w:r>
    </w:p>
    <w:p w14:paraId="67051BD4" w14:textId="77777777" w:rsidR="00CC15FF" w:rsidRDefault="00CC15FF" w:rsidP="00CC15FF">
      <w:pPr>
        <w:numPr>
          <w:ilvl w:val="0"/>
          <w:numId w:val="37"/>
        </w:numPr>
        <w:spacing w:line="276" w:lineRule="auto"/>
        <w:ind w:right="-1"/>
        <w:jc w:val="both"/>
        <w:rPr>
          <w:rFonts w:cs="Arial"/>
        </w:rPr>
      </w:pPr>
      <w:r>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w:t>
      </w:r>
      <w:proofErr w:type="spellStart"/>
      <w:r>
        <w:rPr>
          <w:rFonts w:cs="Arial"/>
        </w:rPr>
        <w:t>CBFS</w:t>
      </w:r>
      <w:proofErr w:type="spellEnd"/>
      <w:r>
        <w:rPr>
          <w:rFonts w:cs="Arial"/>
        </w:rPr>
        <w:t xml:space="preserve">)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w:t>
      </w:r>
      <w:proofErr w:type="spellStart"/>
      <w:r>
        <w:rPr>
          <w:rFonts w:cs="Arial"/>
        </w:rPr>
        <w:t>RPP</w:t>
      </w:r>
      <w:proofErr w:type="spellEnd"/>
      <w:r>
        <w:rPr>
          <w:rFonts w:cs="Arial"/>
        </w:rPr>
        <w:t>).</w:t>
      </w:r>
    </w:p>
    <w:p w14:paraId="4A09830F" w14:textId="77777777" w:rsidR="00CC15FF" w:rsidRDefault="00CC15FF" w:rsidP="00CC15FF">
      <w:pPr>
        <w:numPr>
          <w:ilvl w:val="0"/>
          <w:numId w:val="37"/>
        </w:numPr>
        <w:spacing w:after="240" w:line="276" w:lineRule="auto"/>
        <w:ind w:right="-1"/>
        <w:jc w:val="both"/>
        <w:rPr>
          <w:rFonts w:cs="Arial"/>
        </w:rPr>
      </w:pPr>
      <w:r>
        <w:rPr>
          <w:rFonts w:cs="Arial"/>
        </w:rPr>
        <w:lastRenderedPageBreak/>
        <w:t xml:space="preserve">Adicionalmente los </w:t>
      </w:r>
      <w:proofErr w:type="spellStart"/>
      <w:r>
        <w:rPr>
          <w:rFonts w:cs="Arial"/>
        </w:rPr>
        <w:t>CBFS</w:t>
      </w:r>
      <w:proofErr w:type="spellEnd"/>
      <w:r>
        <w:rPr>
          <w:rFonts w:cs="Arial"/>
        </w:rPr>
        <w:t xml:space="preserve"> Serie A contarán con una garantía financiera de </w:t>
      </w:r>
      <w:proofErr w:type="spellStart"/>
      <w:r>
        <w:rPr>
          <w:rFonts w:cs="Arial"/>
        </w:rPr>
        <w:t>Overseas</w:t>
      </w:r>
      <w:proofErr w:type="spellEnd"/>
      <w:r>
        <w:rPr>
          <w:rFonts w:cs="Arial"/>
        </w:rPr>
        <w:t xml:space="preserve"> Private </w:t>
      </w:r>
      <w:proofErr w:type="spellStart"/>
      <w:r>
        <w:rPr>
          <w:rFonts w:cs="Arial"/>
        </w:rPr>
        <w:t>Investment</w:t>
      </w:r>
      <w:proofErr w:type="spellEnd"/>
      <w:r>
        <w:rPr>
          <w:rFonts w:cs="Arial"/>
        </w:rPr>
        <w:t xml:space="preserve"> </w:t>
      </w:r>
      <w:proofErr w:type="spellStart"/>
      <w:r>
        <w:rPr>
          <w:rFonts w:cs="Arial"/>
        </w:rPr>
        <w:t>Corporation</w:t>
      </w:r>
      <w:proofErr w:type="spellEnd"/>
      <w:r>
        <w:rPr>
          <w:rFonts w:cs="Arial"/>
        </w:rPr>
        <w:t xml:space="preserve"> (</w:t>
      </w:r>
      <w:proofErr w:type="spellStart"/>
      <w:r>
        <w:rPr>
          <w:rFonts w:cs="Arial"/>
        </w:rPr>
        <w:t>OPIC</w:t>
      </w:r>
      <w:proofErr w:type="spellEnd"/>
      <w:r>
        <w:rPr>
          <w:rFonts w:cs="Arial"/>
        </w:rPr>
        <w:t xml:space="preserve">) por </w:t>
      </w:r>
      <w:proofErr w:type="spellStart"/>
      <w:r>
        <w:rPr>
          <w:rFonts w:cs="Arial"/>
        </w:rPr>
        <w:t>US</w:t>
      </w:r>
      <w:proofErr w:type="spellEnd"/>
      <w:r>
        <w:rPr>
          <w:rFonts w:cs="Arial"/>
        </w:rPr>
        <w:t xml:space="preserve"> $250 millones de dólares (</w:t>
      </w:r>
      <w:proofErr w:type="spellStart"/>
      <w:r>
        <w:rPr>
          <w:rFonts w:cs="Arial"/>
        </w:rPr>
        <w:t>MDD</w:t>
      </w:r>
      <w:proofErr w:type="spellEnd"/>
      <w:r>
        <w:rPr>
          <w:rFonts w:cs="Arial"/>
        </w:rPr>
        <w:t xml:space="preserve">) de principal más los intereses asociados; mientras que los </w:t>
      </w:r>
      <w:proofErr w:type="spellStart"/>
      <w:r>
        <w:rPr>
          <w:rFonts w:cs="Arial"/>
        </w:rPr>
        <w:t>CBFS</w:t>
      </w:r>
      <w:proofErr w:type="spellEnd"/>
      <w:r>
        <w:rPr>
          <w:rFonts w:cs="Arial"/>
        </w:rPr>
        <w:t xml:space="preserve"> Serie B tendrán una garantía financiera de Corporación Andina de Fomento (CAF) por el 30 por ciento del saldo insoluto.</w:t>
      </w:r>
    </w:p>
    <w:p w14:paraId="69F5B7A1" w14:textId="77777777" w:rsidR="00CC15FF" w:rsidRDefault="00CC15FF" w:rsidP="00CC15FF">
      <w:pPr>
        <w:numPr>
          <w:ilvl w:val="0"/>
          <w:numId w:val="37"/>
        </w:numPr>
        <w:spacing w:line="276" w:lineRule="auto"/>
        <w:ind w:right="-1"/>
        <w:jc w:val="both"/>
        <w:rPr>
          <w:rFonts w:cs="Arial"/>
        </w:rPr>
      </w:pPr>
      <w:r>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12928BE2" w14:textId="77777777" w:rsidR="00CC15FF" w:rsidRDefault="00CC15FF" w:rsidP="00CC15FF">
      <w:pPr>
        <w:numPr>
          <w:ilvl w:val="0"/>
          <w:numId w:val="37"/>
        </w:numPr>
        <w:spacing w:line="276" w:lineRule="auto"/>
        <w:ind w:right="-1"/>
        <w:jc w:val="both"/>
        <w:rPr>
          <w:rFonts w:cs="Arial"/>
        </w:rPr>
      </w:pPr>
      <w:r>
        <w:rPr>
          <w:rFonts w:cs="Arial"/>
        </w:rPr>
        <w:t xml:space="preserve">En el caso específico del Fideicomiso de Cobranza No. 80615 el Fideicomitente es el Instituto y el Fideicomisario la </w:t>
      </w:r>
      <w:proofErr w:type="spellStart"/>
      <w:r>
        <w:rPr>
          <w:rFonts w:cs="Arial"/>
        </w:rPr>
        <w:t>SOFOM</w:t>
      </w:r>
      <w:proofErr w:type="spellEnd"/>
      <w:r>
        <w:rPr>
          <w:rFonts w:cs="Arial"/>
        </w:rPr>
        <w:t>,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1B0D2243" w14:textId="77777777" w:rsidR="00CC15FF" w:rsidRDefault="00CC15FF" w:rsidP="00CC15FF">
      <w:pPr>
        <w:numPr>
          <w:ilvl w:val="0"/>
          <w:numId w:val="37"/>
        </w:numPr>
        <w:spacing w:line="276" w:lineRule="auto"/>
        <w:ind w:right="-1"/>
        <w:jc w:val="both"/>
        <w:rPr>
          <w:rFonts w:cs="Arial"/>
        </w:rPr>
      </w:pPr>
      <w:r>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61E830EA" w14:textId="7AC35FC3" w:rsidR="004314D0" w:rsidRDefault="00CC15FF" w:rsidP="00CC15FF">
      <w:pPr>
        <w:numPr>
          <w:ilvl w:val="0"/>
          <w:numId w:val="37"/>
        </w:numPr>
        <w:spacing w:line="276" w:lineRule="auto"/>
        <w:ind w:right="-1"/>
        <w:jc w:val="both"/>
        <w:rPr>
          <w:rFonts w:cs="Arial"/>
        </w:rPr>
      </w:pPr>
      <w:r>
        <w:rPr>
          <w:rFonts w:cs="Arial"/>
        </w:rPr>
        <w:t xml:space="preserve">El día 30 de noviembre de 2015 Promotora de Infraestructura Registral II, S.A. de C.V., </w:t>
      </w:r>
      <w:proofErr w:type="spellStart"/>
      <w:r>
        <w:rPr>
          <w:rFonts w:cs="Arial"/>
        </w:rPr>
        <w:t>SOFOM</w:t>
      </w:r>
      <w:proofErr w:type="spellEnd"/>
      <w:r>
        <w:rPr>
          <w:rFonts w:cs="Arial"/>
        </w:rPr>
        <w:t xml:space="preserve"> </w:t>
      </w:r>
      <w:proofErr w:type="spellStart"/>
      <w:r>
        <w:rPr>
          <w:rFonts w:cs="Arial"/>
        </w:rPr>
        <w:t>E.R</w:t>
      </w:r>
      <w:proofErr w:type="spellEnd"/>
      <w:r>
        <w:rPr>
          <w:rFonts w:cs="Arial"/>
        </w:rPr>
        <w:t>. (antes Promotora de Infraestructura Registral, S.A. de C.V.), fue inscrita en el registro de prestadores de servicios financieros (</w:t>
      </w:r>
      <w:proofErr w:type="spellStart"/>
      <w:r>
        <w:rPr>
          <w:rFonts w:cs="Arial"/>
        </w:rPr>
        <w:t>SIPRES</w:t>
      </w:r>
      <w:proofErr w:type="spellEnd"/>
      <w:r>
        <w:rPr>
          <w:rFonts w:cs="Arial"/>
        </w:rPr>
        <w:t>) que mantiene la Comisión Nacional para la Protección y Defensa de los Usuarios de Servicios Financieros (</w:t>
      </w:r>
      <w:proofErr w:type="spellStart"/>
      <w:r>
        <w:rPr>
          <w:rFonts w:cs="Arial"/>
        </w:rPr>
        <w:t>CONDUSEF</w:t>
      </w:r>
      <w:proofErr w:type="spellEnd"/>
      <w:r>
        <w:rPr>
          <w:rFonts w:cs="Arial"/>
        </w:rPr>
        <w:t>) como Sociedad Financiera de Objeto Múltiple Regulada, en términos del segundo párrafo del artículo 87-b de la Ley General de Organizaciones y Actividades Auxiliares del Crédito.</w:t>
      </w:r>
    </w:p>
    <w:p w14:paraId="343DA650" w14:textId="77777777" w:rsidR="004314D0" w:rsidRDefault="004314D0">
      <w:pPr>
        <w:spacing w:line="259" w:lineRule="auto"/>
        <w:rPr>
          <w:rFonts w:cs="Arial"/>
        </w:rPr>
      </w:pPr>
      <w:r>
        <w:rPr>
          <w:rFonts w:cs="Arial"/>
        </w:rPr>
        <w:br w:type="page"/>
      </w:r>
    </w:p>
    <w:p w14:paraId="5070EE9C" w14:textId="77777777" w:rsidR="00CC15FF" w:rsidRDefault="00CC15FF" w:rsidP="00CC15FF">
      <w:pPr>
        <w:numPr>
          <w:ilvl w:val="0"/>
          <w:numId w:val="25"/>
        </w:numPr>
        <w:spacing w:after="0" w:line="276" w:lineRule="auto"/>
        <w:ind w:left="851" w:right="-1"/>
        <w:contextualSpacing/>
        <w:rPr>
          <w:b/>
        </w:rPr>
      </w:pPr>
      <w:r>
        <w:rPr>
          <w:b/>
        </w:rPr>
        <w:lastRenderedPageBreak/>
        <w:t>Reporte de la Recaudación</w:t>
      </w:r>
    </w:p>
    <w:p w14:paraId="177EABF1" w14:textId="77777777" w:rsidR="00CC15FF" w:rsidRDefault="00CC15FF" w:rsidP="00CC15FF">
      <w:pPr>
        <w:pStyle w:val="Prrafodelista"/>
        <w:spacing w:after="240" w:line="276" w:lineRule="auto"/>
        <w:ind w:left="644" w:right="-1"/>
        <w:jc w:val="center"/>
        <w:rPr>
          <w:rFonts w:ascii="HelveticaNeueLT Std" w:hAnsi="HelveticaNeueLT Std"/>
          <w:b/>
          <w:sz w:val="8"/>
          <w:szCs w:val="20"/>
        </w:rPr>
      </w:pPr>
    </w:p>
    <w:p w14:paraId="71970B26" w14:textId="0F7929EF" w:rsidR="00CC15FF" w:rsidRDefault="00CC15FF" w:rsidP="00CC15FF">
      <w:pPr>
        <w:pStyle w:val="Prrafodelista"/>
        <w:spacing w:after="240" w:line="276" w:lineRule="auto"/>
        <w:ind w:left="644" w:right="-1"/>
        <w:jc w:val="center"/>
        <w:rPr>
          <w:rFonts w:ascii="HelveticaNeueLT Std" w:hAnsi="HelveticaNeueLT Std"/>
          <w:b/>
          <w:sz w:val="20"/>
          <w:szCs w:val="20"/>
        </w:rPr>
      </w:pPr>
      <w:r w:rsidRPr="00CC15FF">
        <w:rPr>
          <w:noProof/>
        </w:rPr>
        <w:drawing>
          <wp:inline distT="0" distB="0" distL="0" distR="0" wp14:anchorId="3618D49A" wp14:editId="09B4F62F">
            <wp:extent cx="5773003" cy="356489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5275" cy="3578643"/>
                    </a:xfrm>
                    <a:prstGeom prst="rect">
                      <a:avLst/>
                    </a:prstGeom>
                    <a:noFill/>
                    <a:ln>
                      <a:noFill/>
                    </a:ln>
                  </pic:spPr>
                </pic:pic>
              </a:graphicData>
            </a:graphic>
          </wp:inline>
        </w:drawing>
      </w:r>
    </w:p>
    <w:p w14:paraId="4A939F66"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p>
    <w:p w14:paraId="1C56E9CB"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r>
        <w:rPr>
          <w:rFonts w:ascii="HelveticaNeueLT Std" w:hAnsi="HelveticaNeueLT Std"/>
          <w:b/>
          <w:sz w:val="20"/>
          <w:szCs w:val="20"/>
        </w:rPr>
        <w:t>INGRESOS</w:t>
      </w:r>
    </w:p>
    <w:p w14:paraId="4D53CD23"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22F1A0FE"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Inicialmente se previó recaudar en la Ley de Ingresos Estimada la cantidad de 2</w:t>
      </w:r>
      <w:proofErr w:type="gramStart"/>
      <w:r>
        <w:rPr>
          <w:rFonts w:ascii="HelveticaNeueLT Std" w:hAnsi="HelveticaNeueLT Std"/>
          <w:sz w:val="20"/>
          <w:szCs w:val="20"/>
        </w:rPr>
        <w:t>,363,412,317.00</w:t>
      </w:r>
      <w:proofErr w:type="gramEnd"/>
      <w:r>
        <w:rPr>
          <w:rFonts w:ascii="HelveticaNeueLT Std" w:hAnsi="HelveticaNeueLT Std"/>
          <w:sz w:val="20"/>
          <w:szCs w:val="20"/>
        </w:rPr>
        <w:t xml:space="preserve">. </w:t>
      </w:r>
      <w:proofErr w:type="gramStart"/>
      <w:r>
        <w:rPr>
          <w:rFonts w:ascii="HelveticaNeueLT Std" w:hAnsi="HelveticaNeueLT Std"/>
          <w:sz w:val="20"/>
          <w:szCs w:val="20"/>
        </w:rPr>
        <w:t>se</w:t>
      </w:r>
      <w:proofErr w:type="gramEnd"/>
      <w:r>
        <w:rPr>
          <w:rFonts w:ascii="HelveticaNeueLT Std" w:hAnsi="HelveticaNeueLT Std"/>
          <w:sz w:val="20"/>
          <w:szCs w:val="20"/>
        </w:rPr>
        <w:t xml:space="preserve"> dio una asignación en el Capítulo de Inversión Pública por 37,093,782.66 que corresponden al Programa Acciones para el Desarrollo (PAD), denominado “Regularización de Tenencia de la Tierra, provenientes del Gobierno del Estado de México (</w:t>
      </w:r>
      <w:proofErr w:type="spellStart"/>
      <w:r>
        <w:rPr>
          <w:rFonts w:ascii="HelveticaNeueLT Std" w:hAnsi="HelveticaNeueLT Std"/>
          <w:sz w:val="20"/>
          <w:szCs w:val="20"/>
        </w:rPr>
        <w:t>GEM</w:t>
      </w:r>
      <w:proofErr w:type="spellEnd"/>
      <w:r>
        <w:rPr>
          <w:rFonts w:ascii="HelveticaNeueLT Std" w:hAnsi="HelveticaNeueLT Std"/>
          <w:sz w:val="20"/>
          <w:szCs w:val="20"/>
        </w:rPr>
        <w:t>), cuya fuente de financiamiento son recursos estatales, dando un total autorizado de 2,400,506,099.66. Se han realizado ampliaciones al presupuesto, por un total de 185</w:t>
      </w:r>
      <w:proofErr w:type="gramStart"/>
      <w:r>
        <w:rPr>
          <w:rFonts w:ascii="HelveticaNeueLT Std" w:hAnsi="HelveticaNeueLT Std"/>
          <w:sz w:val="20"/>
          <w:szCs w:val="20"/>
        </w:rPr>
        <w:t>,872,372.78</w:t>
      </w:r>
      <w:proofErr w:type="gramEnd"/>
      <w:r>
        <w:rPr>
          <w:rFonts w:ascii="HelveticaNeueLT Std" w:hAnsi="HelveticaNeueLT Std"/>
          <w:sz w:val="20"/>
          <w:szCs w:val="20"/>
        </w:rPr>
        <w:t>. El importe total recaudado al mes de junio fue de 1</w:t>
      </w:r>
      <w:proofErr w:type="gramStart"/>
      <w:r>
        <w:rPr>
          <w:rFonts w:ascii="HelveticaNeueLT Std" w:hAnsi="HelveticaNeueLT Std"/>
          <w:sz w:val="20"/>
          <w:szCs w:val="20"/>
        </w:rPr>
        <w:t>,482,600,464.54</w:t>
      </w:r>
      <w:proofErr w:type="gramEnd"/>
      <w:r>
        <w:rPr>
          <w:rFonts w:ascii="HelveticaNeueLT Std" w:hAnsi="HelveticaNeueLT Std"/>
          <w:sz w:val="20"/>
          <w:szCs w:val="20"/>
        </w:rPr>
        <w:t xml:space="preserve">, por lo que existe una variación del 42.7 por ciento con respecto al total autorizado anual. </w:t>
      </w:r>
    </w:p>
    <w:p w14:paraId="2AB9EB9E"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3990E0D8"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r>
        <w:rPr>
          <w:rFonts w:ascii="HelveticaNeueLT Std" w:hAnsi="HelveticaNeueLT Std"/>
          <w:b/>
          <w:sz w:val="20"/>
          <w:szCs w:val="20"/>
        </w:rPr>
        <w:t>INGRESOS DE GESTIÓN</w:t>
      </w:r>
    </w:p>
    <w:p w14:paraId="060E8D26"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774993A3"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Inicialmente se previó recaudar ingresos por concepto de derechos del Registro Público de la Propiedad y Comercio por 1</w:t>
      </w:r>
      <w:proofErr w:type="gramStart"/>
      <w:r>
        <w:rPr>
          <w:rFonts w:ascii="HelveticaNeueLT Std" w:hAnsi="HelveticaNeueLT Std"/>
          <w:sz w:val="20"/>
          <w:szCs w:val="20"/>
        </w:rPr>
        <w:t>,251,672,939.00</w:t>
      </w:r>
      <w:proofErr w:type="gramEnd"/>
      <w:r>
        <w:rPr>
          <w:rFonts w:ascii="HelveticaNeueLT Std" w:hAnsi="HelveticaNeueLT Std"/>
          <w:sz w:val="20"/>
          <w:szCs w:val="20"/>
        </w:rPr>
        <w:t>. No se han realizado ampliaciones al presupuesto.</w:t>
      </w:r>
    </w:p>
    <w:p w14:paraId="5CB1D431"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2D263EEF"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Se han recaudado por los derechos de los servicios que presta el Instituto 753</w:t>
      </w:r>
      <w:proofErr w:type="gramStart"/>
      <w:r>
        <w:rPr>
          <w:rFonts w:ascii="HelveticaNeueLT Std" w:hAnsi="HelveticaNeueLT Std"/>
          <w:sz w:val="20"/>
          <w:szCs w:val="20"/>
        </w:rPr>
        <w:t>,947,663.00</w:t>
      </w:r>
      <w:proofErr w:type="gramEnd"/>
      <w:r>
        <w:rPr>
          <w:rFonts w:ascii="HelveticaNeueLT Std" w:hAnsi="HelveticaNeueLT Std"/>
          <w:sz w:val="20"/>
          <w:szCs w:val="20"/>
        </w:rPr>
        <w:t xml:space="preserve">, lo que representa el 39.8 por ciento menos respecto del autorizado anual. </w:t>
      </w:r>
    </w:p>
    <w:p w14:paraId="2F491637" w14:textId="77777777" w:rsidR="00CC15FF" w:rsidRDefault="00CC15FF" w:rsidP="00CC15FF">
      <w:pPr>
        <w:pStyle w:val="Sinespaciado"/>
        <w:jc w:val="both"/>
        <w:rPr>
          <w:rFonts w:cs="Arial"/>
        </w:rPr>
      </w:pPr>
    </w:p>
    <w:p w14:paraId="21E60915"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10F740F3"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r>
        <w:rPr>
          <w:rFonts w:ascii="HelveticaNeueLT Std" w:hAnsi="HelveticaNeueLT Std"/>
          <w:b/>
          <w:sz w:val="20"/>
          <w:szCs w:val="20"/>
        </w:rPr>
        <w:t>PARTICIPACIONES, APORTACIONES, TRANSFERENCIAS, ASIGNACIONES, SUBSIDIOS Y OTRAS AYUDAS</w:t>
      </w:r>
    </w:p>
    <w:p w14:paraId="78836757"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6420763B"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Se autorizó la asignación presupuestal de los proyectos denominados “Regularización de Tenencia de la Tierra” por 37</w:t>
      </w:r>
      <w:proofErr w:type="gramStart"/>
      <w:r>
        <w:rPr>
          <w:rFonts w:ascii="HelveticaNeueLT Std" w:hAnsi="HelveticaNeueLT Std"/>
          <w:sz w:val="20"/>
          <w:szCs w:val="20"/>
        </w:rPr>
        <w:t>,093,782.66</w:t>
      </w:r>
      <w:proofErr w:type="gramEnd"/>
      <w:r>
        <w:rPr>
          <w:rFonts w:ascii="HelveticaNeueLT Std" w:hAnsi="HelveticaNeueLT Std"/>
          <w:sz w:val="20"/>
          <w:szCs w:val="20"/>
        </w:rPr>
        <w:t xml:space="preserve">, este importe se refleja en el rubro del Programa de Acciones para el Desarrollo (PAD) y se va recaudando con los depósitos que realiza mensualmente el </w:t>
      </w:r>
      <w:proofErr w:type="spellStart"/>
      <w:r>
        <w:rPr>
          <w:rFonts w:ascii="HelveticaNeueLT Std" w:hAnsi="HelveticaNeueLT Std"/>
          <w:sz w:val="20"/>
          <w:szCs w:val="20"/>
        </w:rPr>
        <w:t>GEM</w:t>
      </w:r>
      <w:proofErr w:type="spellEnd"/>
      <w:r>
        <w:rPr>
          <w:rFonts w:ascii="HelveticaNeueLT Std" w:hAnsi="HelveticaNeueLT Std"/>
          <w:sz w:val="20"/>
          <w:szCs w:val="20"/>
        </w:rPr>
        <w:t xml:space="preserve">, que al mes de junio son 18,546,891.32. </w:t>
      </w:r>
    </w:p>
    <w:p w14:paraId="4C649890"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Asimismo, se autorizó una ampliación presupuestal por 87</w:t>
      </w:r>
      <w:proofErr w:type="gramStart"/>
      <w:r>
        <w:rPr>
          <w:rFonts w:ascii="HelveticaNeueLT Std" w:hAnsi="HelveticaNeueLT Std"/>
          <w:sz w:val="20"/>
          <w:szCs w:val="20"/>
        </w:rPr>
        <w:t>,093,383.00</w:t>
      </w:r>
      <w:proofErr w:type="gramEnd"/>
      <w:r>
        <w:rPr>
          <w:rFonts w:ascii="HelveticaNeueLT Std" w:hAnsi="HelveticaNeueLT Std"/>
          <w:sz w:val="20"/>
          <w:szCs w:val="20"/>
        </w:rPr>
        <w:t xml:space="preserve"> para poder cumplir con las obligaciones de pago de los certificados bursátiles fiduciarios de acuerdo al contrato del fideicomiso F/1426, registrada como “subsidio estatal para gasto corriente”, la cual está recaudada al 100%.</w:t>
      </w:r>
    </w:p>
    <w:p w14:paraId="4A3DB211"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p>
    <w:p w14:paraId="3BE50347" w14:textId="77777777" w:rsidR="00CC15FF" w:rsidRDefault="00CC15FF" w:rsidP="00CC15FF">
      <w:pPr>
        <w:pStyle w:val="Prrafodelista"/>
        <w:spacing w:after="240" w:line="276" w:lineRule="auto"/>
        <w:ind w:left="644" w:right="-1"/>
        <w:jc w:val="both"/>
        <w:rPr>
          <w:rFonts w:ascii="HelveticaNeueLT Std" w:hAnsi="HelveticaNeueLT Std"/>
          <w:b/>
          <w:sz w:val="20"/>
          <w:szCs w:val="20"/>
        </w:rPr>
      </w:pPr>
      <w:r>
        <w:rPr>
          <w:rFonts w:ascii="HelveticaNeueLT Std" w:hAnsi="HelveticaNeueLT Std"/>
          <w:b/>
          <w:sz w:val="20"/>
          <w:szCs w:val="20"/>
        </w:rPr>
        <w:t>OTROS INGRESOS Y BENEFICIOS</w:t>
      </w:r>
    </w:p>
    <w:p w14:paraId="5BBB911C" w14:textId="77777777" w:rsidR="00CC15FF" w:rsidRDefault="00CC15FF" w:rsidP="00CC15FF">
      <w:pPr>
        <w:pStyle w:val="Prrafodelista"/>
        <w:spacing w:after="240" w:line="276" w:lineRule="auto"/>
        <w:ind w:left="644" w:right="-1"/>
        <w:jc w:val="both"/>
        <w:rPr>
          <w:rFonts w:ascii="HelveticaNeueLT Std" w:hAnsi="HelveticaNeueLT Std"/>
          <w:sz w:val="12"/>
          <w:szCs w:val="20"/>
        </w:rPr>
      </w:pPr>
    </w:p>
    <w:p w14:paraId="45BAC29A"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 xml:space="preserve">Se previeron recaudar ingresos por 1,111,739,378.00, integrados de la siguiente forma: 498,910,027.00 de “Ingresos Financieros”, de los cuales 479,941,289.00 para pago a la fiduciaria (bonos) por intereses del Fideicomiso de Cobranza, más 18,968,738.00 de “Productos Financieros de Tipo Corriente”. De “Otros Ingresos y Beneficios Varios 612,829,351.00, de los cuales para los pagos de “amortización de capital” son 359,841,028.00, así como 228,287,171.00 de “Remanentes e intereses del fideicomiso de cobranza”, 23,630,000.00 para “Mantenimiento mayor”, 63.933.00 para rendimientos de la remesa de ingresos por </w:t>
      </w:r>
      <w:proofErr w:type="spellStart"/>
      <w:r>
        <w:rPr>
          <w:rFonts w:ascii="HelveticaNeueLT Std" w:hAnsi="HelveticaNeueLT Std"/>
          <w:sz w:val="20"/>
          <w:szCs w:val="20"/>
        </w:rPr>
        <w:t>RPC</w:t>
      </w:r>
      <w:proofErr w:type="spellEnd"/>
      <w:r>
        <w:rPr>
          <w:rFonts w:ascii="HelveticaNeueLT Std" w:hAnsi="HelveticaNeueLT Std"/>
          <w:sz w:val="20"/>
          <w:szCs w:val="20"/>
        </w:rPr>
        <w:t xml:space="preserve"> y 1,007,219.00 en “Otros Ingresos Varios”.</w:t>
      </w:r>
    </w:p>
    <w:p w14:paraId="28C86936"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2B78F93C"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sz w:val="20"/>
          <w:szCs w:val="20"/>
        </w:rPr>
        <w:t>Se realizaron traspasos internos para dar suficiencia presupuestal a los otros ingresos por intereses generados en las cuentas bancarias, y para depósitos no referenciados, principalmente. Así mismo, se realizaron ampliaciones presupuestales por 88</w:t>
      </w:r>
      <w:proofErr w:type="gramStart"/>
      <w:r>
        <w:rPr>
          <w:rFonts w:ascii="HelveticaNeueLT Std" w:hAnsi="HelveticaNeueLT Std"/>
          <w:sz w:val="20"/>
          <w:szCs w:val="20"/>
        </w:rPr>
        <w:t>,233,018.07</w:t>
      </w:r>
      <w:proofErr w:type="gramEnd"/>
      <w:r>
        <w:rPr>
          <w:rFonts w:ascii="HelveticaNeueLT Std" w:hAnsi="HelveticaNeueLT Std"/>
          <w:sz w:val="20"/>
          <w:szCs w:val="20"/>
        </w:rPr>
        <w:t xml:space="preserve"> por concepto de ingresos por disponibilidades presupuestarias de entidades públicas y 10,545,971.71 por Otros Ingresos de ADEFAS 2020.</w:t>
      </w:r>
    </w:p>
    <w:p w14:paraId="5AFE4A9D" w14:textId="77777777" w:rsidR="00CC15FF" w:rsidRDefault="00CC15FF" w:rsidP="00CC15FF">
      <w:pPr>
        <w:pStyle w:val="Prrafodelista"/>
        <w:spacing w:after="240" w:line="276" w:lineRule="auto"/>
        <w:ind w:left="644" w:right="-1"/>
        <w:jc w:val="both"/>
        <w:rPr>
          <w:rFonts w:ascii="HelveticaNeueLT Std" w:hAnsi="HelveticaNeueLT Std"/>
          <w:sz w:val="20"/>
          <w:szCs w:val="20"/>
        </w:rPr>
      </w:pPr>
    </w:p>
    <w:p w14:paraId="68813E60"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b/>
          <w:sz w:val="20"/>
          <w:szCs w:val="20"/>
        </w:rPr>
        <w:t>Otros Ingresos Financieros.</w:t>
      </w:r>
      <w:r>
        <w:rPr>
          <w:rFonts w:ascii="HelveticaNeueLT Std" w:hAnsi="HelveticaNeueLT Std"/>
          <w:sz w:val="20"/>
          <w:szCs w:val="20"/>
        </w:rPr>
        <w:t xml:space="preserve"> Se tiene recaudado la cantidad de 231,761,362.36, de los cuales 225,421,258.37 corresponden a los ingresos del Fideicomiso de Cobranza para los pagos de intereses de los bonos correspondientes al ejercicio y 6,340,103.99 se derivan de rendimientos por intereses financieros generados por las inversiones de las Instituciones Bancarias de este Instituto.</w:t>
      </w:r>
    </w:p>
    <w:p w14:paraId="5A372052" w14:textId="77777777" w:rsidR="007C0E6F" w:rsidRDefault="007C0E6F" w:rsidP="00CC15FF">
      <w:pPr>
        <w:pStyle w:val="Prrafodelista"/>
        <w:spacing w:after="240" w:line="276" w:lineRule="auto"/>
        <w:ind w:left="644" w:right="-1"/>
        <w:jc w:val="both"/>
        <w:rPr>
          <w:rFonts w:ascii="HelveticaNeueLT Std" w:hAnsi="HelveticaNeueLT Std"/>
          <w:sz w:val="20"/>
          <w:szCs w:val="20"/>
        </w:rPr>
      </w:pPr>
    </w:p>
    <w:p w14:paraId="4142E4CE" w14:textId="77777777" w:rsidR="00CC15FF" w:rsidRDefault="00CC15FF" w:rsidP="00CC15FF">
      <w:pPr>
        <w:pStyle w:val="Prrafodelista"/>
        <w:spacing w:after="240" w:line="276" w:lineRule="auto"/>
        <w:ind w:left="644" w:right="-1"/>
        <w:jc w:val="both"/>
        <w:rPr>
          <w:rFonts w:ascii="HelveticaNeueLT Std" w:hAnsi="HelveticaNeueLT Std"/>
          <w:sz w:val="20"/>
          <w:szCs w:val="20"/>
        </w:rPr>
      </w:pPr>
      <w:r>
        <w:rPr>
          <w:rFonts w:ascii="HelveticaNeueLT Std" w:hAnsi="HelveticaNeueLT Std"/>
          <w:b/>
          <w:sz w:val="20"/>
          <w:szCs w:val="20"/>
        </w:rPr>
        <w:t xml:space="preserve">Otros Ingresos Diversos. - </w:t>
      </w:r>
      <w:r>
        <w:rPr>
          <w:rFonts w:ascii="HelveticaNeueLT Std" w:hAnsi="HelveticaNeueLT Std"/>
          <w:sz w:val="20"/>
          <w:szCs w:val="20"/>
        </w:rPr>
        <w:t xml:space="preserve">Se registran ingresos diversos recaudados por 391,251,164.86, los cuales se componen principalmente de la siguiente forma: 193,736,210.82 para pagos de amortización de capital de las series “A” y “B” y subordinada “C” por la emisión de los Certificados Bursátiles Fiduciarios; 88,233,018.07 por concepto de ingresos por disponibilidades presupuestarias de entidades públicas; 26,922.95 de los intereses generados por las transferencias de los depósitos del Registro Público de Comercio (rendimientos de la remesa de ingresos por </w:t>
      </w:r>
      <w:proofErr w:type="spellStart"/>
      <w:r>
        <w:rPr>
          <w:rFonts w:ascii="HelveticaNeueLT Std" w:hAnsi="HelveticaNeueLT Std"/>
          <w:sz w:val="20"/>
          <w:szCs w:val="20"/>
        </w:rPr>
        <w:t>RPC</w:t>
      </w:r>
      <w:proofErr w:type="spellEnd"/>
      <w:r>
        <w:rPr>
          <w:rFonts w:ascii="HelveticaNeueLT Std" w:hAnsi="HelveticaNeueLT Std"/>
          <w:sz w:val="20"/>
          <w:szCs w:val="20"/>
        </w:rPr>
        <w:t>), 109,045,079.69 por traspaso interno por fondeo para pago de la Serie C. Asimismo, se han recaudado 209,933.33 de</w:t>
      </w:r>
      <w:r>
        <w:rPr>
          <w:rFonts w:ascii="HelveticaNeueLT Std" w:hAnsi="HelveticaNeueLT Std"/>
          <w:b/>
          <w:sz w:val="20"/>
          <w:szCs w:val="20"/>
        </w:rPr>
        <w:t xml:space="preserve"> </w:t>
      </w:r>
      <w:r>
        <w:rPr>
          <w:rFonts w:ascii="HelveticaNeueLT Std" w:hAnsi="HelveticaNeueLT Std"/>
          <w:sz w:val="20"/>
          <w:szCs w:val="20"/>
        </w:rPr>
        <w:t xml:space="preserve">ingresos varios (depósitos no referenciados, venta de bases, llamadas no oficiales, venta de desechos, reposición de credenciales, entre otros). </w:t>
      </w:r>
    </w:p>
    <w:p w14:paraId="3E509D4F" w14:textId="77777777" w:rsidR="00CC15FF" w:rsidRDefault="00CC15FF" w:rsidP="00CC15FF">
      <w:pPr>
        <w:pStyle w:val="Prrafodelista"/>
        <w:spacing w:after="240" w:line="276" w:lineRule="auto"/>
        <w:ind w:left="644" w:right="-1"/>
        <w:jc w:val="both"/>
      </w:pPr>
    </w:p>
    <w:p w14:paraId="35AFBDCF" w14:textId="77777777" w:rsidR="00CC15FF" w:rsidRDefault="00CC15FF" w:rsidP="00CC15FF">
      <w:pPr>
        <w:pStyle w:val="Prrafodelista"/>
        <w:spacing w:after="240" w:line="276" w:lineRule="auto"/>
        <w:ind w:left="644" w:right="-1"/>
        <w:jc w:val="both"/>
      </w:pPr>
    </w:p>
    <w:p w14:paraId="4C4B86DA" w14:textId="77777777" w:rsidR="00CC15FF" w:rsidRDefault="00CC15FF" w:rsidP="00CC15FF">
      <w:pPr>
        <w:numPr>
          <w:ilvl w:val="0"/>
          <w:numId w:val="25"/>
        </w:numPr>
        <w:spacing w:after="0" w:line="276" w:lineRule="auto"/>
        <w:ind w:left="851" w:right="-1"/>
        <w:contextualSpacing/>
        <w:rPr>
          <w:b/>
        </w:rPr>
      </w:pPr>
      <w:r>
        <w:rPr>
          <w:b/>
        </w:rPr>
        <w:t>Información sobre la Deuda y el Reporte Analítico de la Deuda</w:t>
      </w:r>
    </w:p>
    <w:p w14:paraId="08814266" w14:textId="77777777" w:rsidR="00CC15FF" w:rsidRDefault="00CC15FF" w:rsidP="00CC15FF">
      <w:pPr>
        <w:spacing w:line="276" w:lineRule="auto"/>
        <w:ind w:right="-1"/>
        <w:jc w:val="both"/>
        <w:rPr>
          <w:rFonts w:cs="Arial"/>
        </w:rPr>
      </w:pPr>
    </w:p>
    <w:p w14:paraId="61DCF76E" w14:textId="77777777" w:rsidR="00CC15FF" w:rsidRDefault="00CC15FF" w:rsidP="00CC15FF">
      <w:pPr>
        <w:spacing w:line="276" w:lineRule="auto"/>
        <w:ind w:right="-1"/>
        <w:jc w:val="both"/>
        <w:rPr>
          <w:rFonts w:cs="Arial"/>
        </w:rPr>
      </w:pPr>
      <w:r>
        <w:rPr>
          <w:rFonts w:cs="Arial"/>
        </w:rPr>
        <w:t>Al mes actual el análisis de la deuda se integra de la siguiente manera:</w:t>
      </w:r>
    </w:p>
    <w:p w14:paraId="750D0F86" w14:textId="0C1A7C7E" w:rsidR="00CC15FF" w:rsidRDefault="00CC15FF" w:rsidP="00CC15FF">
      <w:pPr>
        <w:spacing w:after="0" w:line="276" w:lineRule="auto"/>
        <w:ind w:right="-1"/>
        <w:rPr>
          <w:rFonts w:cs="Arial"/>
        </w:rPr>
      </w:pPr>
      <w:r>
        <w:rPr>
          <w:rFonts w:cs="Arial"/>
        </w:rPr>
        <w:t xml:space="preserve">Mensual: </w:t>
      </w:r>
      <w:r>
        <w:rPr>
          <w:noProof/>
          <w:lang w:eastAsia="es-MX"/>
        </w:rPr>
        <w:drawing>
          <wp:inline distT="0" distB="0" distL="0" distR="0" wp14:anchorId="2259A762" wp14:editId="34ADD6E9">
            <wp:extent cx="6391275" cy="2057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2057400"/>
                    </a:xfrm>
                    <a:prstGeom prst="rect">
                      <a:avLst/>
                    </a:prstGeom>
                    <a:noFill/>
                    <a:ln>
                      <a:noFill/>
                    </a:ln>
                  </pic:spPr>
                </pic:pic>
              </a:graphicData>
            </a:graphic>
          </wp:inline>
        </w:drawing>
      </w:r>
    </w:p>
    <w:p w14:paraId="11197C59" w14:textId="77777777" w:rsidR="00CC15FF" w:rsidRDefault="00CC15FF" w:rsidP="00CC15FF">
      <w:pPr>
        <w:spacing w:after="0" w:line="276" w:lineRule="auto"/>
        <w:ind w:right="-1"/>
        <w:rPr>
          <w:noProof/>
          <w:lang w:eastAsia="es-MX"/>
        </w:rPr>
      </w:pPr>
    </w:p>
    <w:p w14:paraId="19C40EC4" w14:textId="77777777" w:rsidR="00CC15FF" w:rsidRDefault="00CC15FF" w:rsidP="00CC15FF">
      <w:pPr>
        <w:spacing w:line="276" w:lineRule="auto"/>
        <w:ind w:right="-1"/>
        <w:jc w:val="center"/>
        <w:rPr>
          <w:rFonts w:cs="Arial"/>
          <w:b/>
        </w:rPr>
      </w:pPr>
    </w:p>
    <w:p w14:paraId="27799DAE" w14:textId="77777777" w:rsidR="00CC15FF" w:rsidRDefault="00CC15FF" w:rsidP="00CC15FF">
      <w:pPr>
        <w:spacing w:line="276" w:lineRule="auto"/>
        <w:ind w:right="-1"/>
        <w:rPr>
          <w:rFonts w:cs="Arial"/>
        </w:rPr>
      </w:pPr>
      <w:r>
        <w:rPr>
          <w:rFonts w:cs="Arial"/>
        </w:rPr>
        <w:t xml:space="preserve">Acumulada: </w:t>
      </w:r>
    </w:p>
    <w:p w14:paraId="28815103" w14:textId="77777777" w:rsidR="00CC15FF" w:rsidRDefault="00CC15FF" w:rsidP="00CC15FF">
      <w:pPr>
        <w:tabs>
          <w:tab w:val="left" w:pos="7770"/>
        </w:tabs>
        <w:rPr>
          <w:rFonts w:cs="Arial"/>
          <w:lang w:eastAsia="es-ES"/>
        </w:rPr>
      </w:pPr>
    </w:p>
    <w:p w14:paraId="040D9884" w14:textId="7E5514C1" w:rsidR="00CC15FF" w:rsidRDefault="00CC15FF" w:rsidP="00CC15FF">
      <w:pPr>
        <w:tabs>
          <w:tab w:val="left" w:pos="7770"/>
        </w:tabs>
        <w:rPr>
          <w:rFonts w:cs="Arial"/>
          <w:lang w:eastAsia="es-ES"/>
        </w:rPr>
      </w:pPr>
      <w:r>
        <w:rPr>
          <w:noProof/>
          <w:lang w:eastAsia="es-MX"/>
        </w:rPr>
        <w:drawing>
          <wp:inline distT="0" distB="0" distL="0" distR="0" wp14:anchorId="64771FE9" wp14:editId="615BBB56">
            <wp:extent cx="6391275" cy="19526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275" cy="1952625"/>
                    </a:xfrm>
                    <a:prstGeom prst="rect">
                      <a:avLst/>
                    </a:prstGeom>
                    <a:noFill/>
                    <a:ln>
                      <a:noFill/>
                    </a:ln>
                  </pic:spPr>
                </pic:pic>
              </a:graphicData>
            </a:graphic>
          </wp:inline>
        </w:drawing>
      </w:r>
    </w:p>
    <w:p w14:paraId="18A0AAD1" w14:textId="77777777" w:rsidR="00CC15FF" w:rsidRDefault="00CC15FF" w:rsidP="00CC15FF">
      <w:pPr>
        <w:tabs>
          <w:tab w:val="left" w:pos="7770"/>
        </w:tabs>
        <w:rPr>
          <w:rFonts w:cs="Arial"/>
          <w:lang w:eastAsia="es-ES"/>
        </w:rPr>
      </w:pPr>
    </w:p>
    <w:p w14:paraId="66C5C381" w14:textId="77777777" w:rsidR="00CC15FF" w:rsidRDefault="00CC15FF" w:rsidP="00CC15FF">
      <w:pPr>
        <w:tabs>
          <w:tab w:val="left" w:pos="7770"/>
        </w:tabs>
        <w:rPr>
          <w:rFonts w:cs="Arial"/>
          <w:lang w:eastAsia="es-ES"/>
        </w:rPr>
      </w:pPr>
    </w:p>
    <w:p w14:paraId="4BEA12D0" w14:textId="77777777" w:rsidR="00CC15FF" w:rsidRDefault="00CC15FF" w:rsidP="00CC15FF">
      <w:pPr>
        <w:rPr>
          <w:rFonts w:cs="Arial"/>
          <w:lang w:eastAsia="es-ES"/>
        </w:rPr>
      </w:pPr>
    </w:p>
    <w:p w14:paraId="6DE0A56E" w14:textId="77777777" w:rsidR="00CC15FF" w:rsidRDefault="00CC15FF" w:rsidP="00CC15FF">
      <w:pPr>
        <w:rPr>
          <w:rFonts w:cs="Arial"/>
          <w:lang w:eastAsia="es-ES"/>
        </w:rPr>
      </w:pPr>
      <w:r>
        <w:rPr>
          <w:rFonts w:cs="Arial"/>
          <w:lang w:eastAsia="es-ES"/>
        </w:rPr>
        <w:lastRenderedPageBreak/>
        <w:t>La operación del Fideicomiso de Cobranza se ha comportado de la siguiente forma:</w:t>
      </w:r>
      <w:r>
        <w:rPr>
          <w:noProof/>
          <w:lang w:eastAsia="es-MX"/>
        </w:rPr>
        <w:t xml:space="preserve"> </w:t>
      </w:r>
    </w:p>
    <w:p w14:paraId="5E374E11" w14:textId="113F4846" w:rsidR="00CC15FF" w:rsidRDefault="00CC15FF" w:rsidP="00CC15FF">
      <w:pPr>
        <w:spacing w:line="276" w:lineRule="auto"/>
        <w:ind w:right="-1"/>
        <w:rPr>
          <w:rFonts w:cs="Arial"/>
          <w:lang w:eastAsia="es-ES"/>
        </w:rPr>
      </w:pPr>
      <w:r>
        <w:rPr>
          <w:noProof/>
          <w:lang w:eastAsia="es-MX"/>
        </w:rPr>
        <w:drawing>
          <wp:inline distT="0" distB="0" distL="0" distR="0" wp14:anchorId="49100828" wp14:editId="2C92A7E2">
            <wp:extent cx="639127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1275" cy="2790825"/>
                    </a:xfrm>
                    <a:prstGeom prst="rect">
                      <a:avLst/>
                    </a:prstGeom>
                    <a:noFill/>
                    <a:ln>
                      <a:noFill/>
                    </a:ln>
                  </pic:spPr>
                </pic:pic>
              </a:graphicData>
            </a:graphic>
          </wp:inline>
        </w:drawing>
      </w:r>
    </w:p>
    <w:p w14:paraId="0ABACB9A" w14:textId="77777777" w:rsidR="00CC15FF" w:rsidRDefault="00CC15FF" w:rsidP="00CC15FF">
      <w:pPr>
        <w:jc w:val="both"/>
        <w:rPr>
          <w:rFonts w:cs="Arial"/>
        </w:rPr>
      </w:pPr>
      <w:r>
        <w:rPr>
          <w:rFonts w:cs="Arial"/>
        </w:rPr>
        <w:t xml:space="preserve">El saldo de la cuenta 2221 “Documentos Comerciales Por Pagar a Largo Plazo después de la proyección y con la reclasificación de la porción de largo a corto plazo es de: 5,635,539,983.63, que se componen de; los </w:t>
      </w:r>
      <w:proofErr w:type="spellStart"/>
      <w:r>
        <w:rPr>
          <w:rFonts w:cs="Arial"/>
        </w:rPr>
        <w:t>CBFS</w:t>
      </w:r>
      <w:proofErr w:type="spellEnd"/>
      <w:r>
        <w:rPr>
          <w:rFonts w:cs="Arial"/>
        </w:rPr>
        <w:t xml:space="preserve"> de la Serie “A” por 1,842,221,171.13, para los </w:t>
      </w:r>
      <w:proofErr w:type="spellStart"/>
      <w:r>
        <w:rPr>
          <w:rFonts w:cs="Arial"/>
        </w:rPr>
        <w:t>CBFS</w:t>
      </w:r>
      <w:proofErr w:type="spellEnd"/>
      <w:r>
        <w:rPr>
          <w:rFonts w:cs="Arial"/>
        </w:rPr>
        <w:t xml:space="preserve"> de la Serie “B”, 866,143,769.43 y para los </w:t>
      </w:r>
      <w:proofErr w:type="spellStart"/>
      <w:r>
        <w:rPr>
          <w:rFonts w:cs="Arial"/>
        </w:rPr>
        <w:t>CBFS</w:t>
      </w:r>
      <w:proofErr w:type="spellEnd"/>
      <w:r>
        <w:rPr>
          <w:rFonts w:cs="Arial"/>
        </w:rPr>
        <w:t xml:space="preserve"> Subordinados de la Serie “C”, 2,927,175,043.07, cabe mencionar que esta última se contrató en Unidades de Inversión (</w:t>
      </w:r>
      <w:proofErr w:type="spellStart"/>
      <w:r>
        <w:rPr>
          <w:rFonts w:cs="Arial"/>
        </w:rPr>
        <w:t>UDI</w:t>
      </w:r>
      <w:proofErr w:type="spellEnd"/>
      <w:r>
        <w:rPr>
          <w:rFonts w:cs="Arial"/>
        </w:rPr>
        <w:t xml:space="preserve">), por lo tanto, el Saldo Capital es de: 460,201,079.20 </w:t>
      </w:r>
      <w:proofErr w:type="spellStart"/>
      <w:r>
        <w:rPr>
          <w:rFonts w:cs="Arial"/>
        </w:rPr>
        <w:t>UDI</w:t>
      </w:r>
      <w:proofErr w:type="spellEnd"/>
      <w:r>
        <w:rPr>
          <w:rFonts w:cs="Arial"/>
        </w:rPr>
        <w:t xml:space="preserve">; para la Amortización de capital es de 15,447,869.10 </w:t>
      </w:r>
      <w:proofErr w:type="spellStart"/>
      <w:r>
        <w:rPr>
          <w:rFonts w:cs="Arial"/>
        </w:rPr>
        <w:t>UDI</w:t>
      </w:r>
      <w:proofErr w:type="spellEnd"/>
      <w:r>
        <w:rPr>
          <w:rFonts w:cs="Arial"/>
        </w:rPr>
        <w:t xml:space="preserve"> y para los intereses es de 13,965,952.26 </w:t>
      </w:r>
      <w:proofErr w:type="spellStart"/>
      <w:r>
        <w:rPr>
          <w:rFonts w:cs="Arial"/>
        </w:rPr>
        <w:t>UDI</w:t>
      </w:r>
      <w:proofErr w:type="spellEnd"/>
      <w:r>
        <w:rPr>
          <w:rFonts w:cs="Arial"/>
        </w:rPr>
        <w:t xml:space="preserve">, de acuerdo con la Tabla de Amortización, Crédito 9439 del Fideicomiso F/1426. </w:t>
      </w:r>
    </w:p>
    <w:p w14:paraId="3B219C3A" w14:textId="77777777" w:rsidR="00CC15FF" w:rsidRDefault="00CC15FF" w:rsidP="00CC15FF">
      <w:pPr>
        <w:jc w:val="both"/>
        <w:rPr>
          <w:rFonts w:cs="Arial"/>
        </w:rPr>
      </w:pPr>
      <w:r>
        <w:rPr>
          <w:rFonts w:eastAsia="Times New Roman" w:cs="Arial"/>
          <w:lang w:eastAsia="es-ES"/>
        </w:rPr>
        <w:t>A</w:t>
      </w:r>
      <w:r>
        <w:rPr>
          <w:shd w:val="clear" w:color="auto" w:fill="FFFFFF"/>
        </w:rPr>
        <w:t xml:space="preserve">l inicio del ejercicio se realiza la reclasificación </w:t>
      </w:r>
      <w:r>
        <w:rPr>
          <w:rFonts w:cs="Arial"/>
        </w:rPr>
        <w:t xml:space="preserve">de la porción a Corto Plazo de la Deuda a Largo Plazo para el pago de la amortización correspondiente al primer periodo del presente ejercicio de las emisiones de los </w:t>
      </w:r>
      <w:proofErr w:type="spellStart"/>
      <w:r>
        <w:rPr>
          <w:rFonts w:cs="Arial"/>
        </w:rPr>
        <w:t>CEBUR’S</w:t>
      </w:r>
      <w:proofErr w:type="spellEnd"/>
      <w:r>
        <w:rPr>
          <w:rFonts w:cs="Arial"/>
        </w:rPr>
        <w:t>,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Las fechas de vencimiento para este ejercicio son las siguientes:</w:t>
      </w:r>
    </w:p>
    <w:tbl>
      <w:tblPr>
        <w:tblStyle w:val="Tablaconcuadrcula2"/>
        <w:tblW w:w="0" w:type="auto"/>
        <w:jc w:val="center"/>
        <w:tblLook w:val="04A0" w:firstRow="1" w:lastRow="0" w:firstColumn="1" w:lastColumn="0" w:noHBand="0" w:noVBand="1"/>
      </w:tblPr>
      <w:tblGrid>
        <w:gridCol w:w="7372"/>
        <w:gridCol w:w="2126"/>
      </w:tblGrid>
      <w:tr w:rsidR="00CC15FF" w14:paraId="499C66B7" w14:textId="77777777" w:rsidTr="00CC15FF">
        <w:trPr>
          <w:jc w:val="center"/>
        </w:trPr>
        <w:tc>
          <w:tcPr>
            <w:tcW w:w="7372" w:type="dxa"/>
            <w:tcBorders>
              <w:top w:val="single" w:sz="4" w:space="0" w:color="000000"/>
              <w:left w:val="single" w:sz="4" w:space="0" w:color="000000"/>
              <w:bottom w:val="single" w:sz="4" w:space="0" w:color="000000"/>
              <w:right w:val="single" w:sz="4" w:space="0" w:color="000000"/>
            </w:tcBorders>
            <w:hideMark/>
          </w:tcPr>
          <w:p w14:paraId="13732947" w14:textId="77777777" w:rsidR="00CC15FF" w:rsidRDefault="00CC15FF">
            <w:pPr>
              <w:jc w:val="center"/>
              <w:rPr>
                <w:rFonts w:eastAsia="Times New Roman" w:cs="Arial"/>
                <w:lang w:eastAsia="es-ES"/>
              </w:rPr>
            </w:pPr>
            <w:proofErr w:type="spellStart"/>
            <w:r>
              <w:rPr>
                <w:rFonts w:ascii="Arial" w:eastAsia="Arial" w:hAnsi="Arial" w:cs="Arial"/>
                <w:b/>
                <w:color w:val="383D42"/>
                <w:sz w:val="19"/>
                <w:szCs w:val="22"/>
                <w:lang w:val="en-US"/>
              </w:rPr>
              <w:t>Emisión</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440331DB" w14:textId="77777777" w:rsidR="00CC15FF" w:rsidRDefault="00CC15FF">
            <w:pPr>
              <w:jc w:val="center"/>
              <w:rPr>
                <w:rFonts w:eastAsia="Times New Roman" w:cs="Arial"/>
                <w:lang w:eastAsia="es-ES"/>
              </w:rPr>
            </w:pPr>
            <w:proofErr w:type="spellStart"/>
            <w:r>
              <w:rPr>
                <w:rFonts w:ascii="Arial" w:eastAsia="Arial" w:hAnsi="Arial" w:cs="Arial"/>
                <w:b/>
                <w:color w:val="383D42"/>
                <w:sz w:val="19"/>
                <w:szCs w:val="22"/>
                <w:lang w:val="en-US"/>
              </w:rPr>
              <w:t>Fecha</w:t>
            </w:r>
            <w:proofErr w:type="spellEnd"/>
            <w:r>
              <w:rPr>
                <w:rFonts w:ascii="Arial" w:eastAsia="Arial" w:hAnsi="Arial" w:cs="Arial"/>
                <w:b/>
                <w:color w:val="383D42"/>
                <w:sz w:val="19"/>
                <w:szCs w:val="22"/>
                <w:lang w:val="en-US"/>
              </w:rPr>
              <w:t xml:space="preserve"> </w:t>
            </w:r>
            <w:proofErr w:type="spellStart"/>
            <w:r>
              <w:rPr>
                <w:rFonts w:ascii="Arial" w:eastAsia="Arial" w:hAnsi="Arial" w:cs="Arial"/>
                <w:b/>
                <w:color w:val="383D42"/>
                <w:w w:val="95"/>
                <w:sz w:val="19"/>
                <w:szCs w:val="22"/>
                <w:lang w:val="en-US"/>
              </w:rPr>
              <w:t>vencimiento</w:t>
            </w:r>
            <w:proofErr w:type="spellEnd"/>
          </w:p>
        </w:tc>
      </w:tr>
      <w:tr w:rsidR="00CC15FF" w14:paraId="7E0355BC" w14:textId="77777777" w:rsidTr="00CC15FF">
        <w:trPr>
          <w:jc w:val="center"/>
        </w:trPr>
        <w:tc>
          <w:tcPr>
            <w:tcW w:w="7372" w:type="dxa"/>
            <w:tcBorders>
              <w:top w:val="single" w:sz="4" w:space="0" w:color="000000"/>
              <w:left w:val="single" w:sz="4" w:space="0" w:color="000000"/>
              <w:bottom w:val="single" w:sz="4" w:space="0" w:color="000000"/>
              <w:right w:val="single" w:sz="4" w:space="0" w:color="000000"/>
            </w:tcBorders>
            <w:vAlign w:val="center"/>
            <w:hideMark/>
          </w:tcPr>
          <w:p w14:paraId="101D5140" w14:textId="77777777" w:rsidR="00CC15FF" w:rsidRDefault="00CC15FF">
            <w:pPr>
              <w:jc w:val="both"/>
              <w:rPr>
                <w:rFonts w:ascii="HelveticaNeueLT Std" w:eastAsiaTheme="minorHAnsi" w:hAnsi="HelveticaNeueLT Std" w:cs="Arial"/>
                <w:lang w:eastAsia="en-US"/>
              </w:rPr>
            </w:pPr>
            <w:r>
              <w:rPr>
                <w:rFonts w:ascii="HelveticaNeueLT Std" w:hAnsi="HelveticaNeueLT Std" w:cs="Arial"/>
                <w:sz w:val="18"/>
              </w:rPr>
              <w:t xml:space="preserve">Certificados Bursátiles </w:t>
            </w:r>
            <w:proofErr w:type="spellStart"/>
            <w:r>
              <w:rPr>
                <w:rFonts w:ascii="HelveticaNeueLT Std" w:hAnsi="HelveticaNeueLT Std" w:cs="Arial"/>
                <w:sz w:val="18"/>
              </w:rPr>
              <w:t>FiduciariosPreferentes</w:t>
            </w:r>
            <w:proofErr w:type="spellEnd"/>
            <w:r>
              <w:rPr>
                <w:rFonts w:ascii="HelveticaNeueLT Std" w:hAnsi="HelveticaNeueLT Std" w:cs="Arial"/>
                <w:sz w:val="18"/>
              </w:rPr>
              <w:t xml:space="preserve"> Serie A y B</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FC2C4C3" w14:textId="77777777" w:rsidR="00CC15FF" w:rsidRDefault="00CC15FF">
            <w:pPr>
              <w:jc w:val="both"/>
              <w:rPr>
                <w:rFonts w:ascii="HelveticaNeueLT Std" w:eastAsia="Times New Roman" w:hAnsi="HelveticaNeueLT Std" w:cs="Arial"/>
                <w:lang w:eastAsia="es-ES"/>
              </w:rPr>
            </w:pPr>
            <w:r>
              <w:rPr>
                <w:rFonts w:ascii="HelveticaNeueLT Std" w:eastAsia="Arial" w:hAnsi="HelveticaNeueLT Std" w:cs="Arial"/>
                <w:color w:val="383D42"/>
                <w:sz w:val="16"/>
                <w:szCs w:val="22"/>
                <w:lang w:val="en-US"/>
              </w:rPr>
              <w:t xml:space="preserve">28-feb-21 y </w:t>
            </w:r>
            <w:r>
              <w:rPr>
                <w:rFonts w:ascii="HelveticaNeueLT Std" w:eastAsia="Arial" w:hAnsi="HelveticaNeueLT Std" w:cs="Arial"/>
                <w:color w:val="383D42"/>
                <w:w w:val="105"/>
                <w:sz w:val="16"/>
                <w:szCs w:val="22"/>
                <w:lang w:val="en-US"/>
              </w:rPr>
              <w:t>28-ago-21</w:t>
            </w:r>
          </w:p>
        </w:tc>
      </w:tr>
      <w:tr w:rsidR="00CC15FF" w14:paraId="5BCD65A0" w14:textId="77777777" w:rsidTr="00CC15FF">
        <w:trPr>
          <w:trHeight w:val="394"/>
          <w:jc w:val="center"/>
        </w:trPr>
        <w:tc>
          <w:tcPr>
            <w:tcW w:w="7372" w:type="dxa"/>
            <w:tcBorders>
              <w:top w:val="single" w:sz="4" w:space="0" w:color="000000"/>
              <w:left w:val="single" w:sz="4" w:space="0" w:color="000000"/>
              <w:bottom w:val="single" w:sz="4" w:space="0" w:color="000000"/>
              <w:right w:val="single" w:sz="4" w:space="0" w:color="000000"/>
            </w:tcBorders>
            <w:vAlign w:val="center"/>
            <w:hideMark/>
          </w:tcPr>
          <w:p w14:paraId="60FD18E3" w14:textId="77777777" w:rsidR="00CC15FF" w:rsidRDefault="00CC15FF">
            <w:pPr>
              <w:jc w:val="both"/>
              <w:rPr>
                <w:rFonts w:eastAsiaTheme="minorHAnsi" w:cs="Arial"/>
                <w:lang w:eastAsia="en-US"/>
              </w:rPr>
            </w:pPr>
            <w:r>
              <w:rPr>
                <w:rFonts w:ascii="HelveticaNeueLT Std" w:hAnsi="HelveticaNeueLT Std" w:cs="Arial"/>
                <w:sz w:val="18"/>
              </w:rPr>
              <w:t>Certificados Bursátiles Fiduciarios Subordinados denominados en Unidades de Inversión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8B0A596" w14:textId="77777777" w:rsidR="00CC15FF" w:rsidRDefault="00CC15FF">
            <w:pPr>
              <w:jc w:val="both"/>
              <w:rPr>
                <w:rFonts w:eastAsia="Times New Roman" w:cs="Arial"/>
                <w:lang w:eastAsia="es-ES"/>
              </w:rPr>
            </w:pPr>
            <w:r>
              <w:rPr>
                <w:rFonts w:ascii="HelveticaNeueLT Std" w:eastAsia="Arial" w:hAnsi="HelveticaNeueLT Std" w:cs="Arial"/>
                <w:color w:val="383D42"/>
                <w:sz w:val="16"/>
                <w:szCs w:val="22"/>
                <w:lang w:val="en-US"/>
              </w:rPr>
              <w:t>29-mar-21 y 28-sep-21</w:t>
            </w:r>
          </w:p>
        </w:tc>
      </w:tr>
    </w:tbl>
    <w:p w14:paraId="71C087CF" w14:textId="77777777" w:rsidR="00CC15FF" w:rsidRDefault="00CC15FF" w:rsidP="00CC15FF">
      <w:pPr>
        <w:jc w:val="both"/>
        <w:rPr>
          <w:rFonts w:cs="Arial"/>
        </w:rPr>
      </w:pPr>
    </w:p>
    <w:p w14:paraId="0227047E" w14:textId="52DD5561" w:rsidR="00CC15FF" w:rsidRDefault="00CC15FF" w:rsidP="004314D0">
      <w:pPr>
        <w:jc w:val="both"/>
        <w:rPr>
          <w:rFonts w:cs="Arial"/>
        </w:rPr>
      </w:pPr>
      <w:r>
        <w:rPr>
          <w:rFonts w:cs="Arial"/>
        </w:rPr>
        <w:lastRenderedPageBreak/>
        <w:t xml:space="preserve">Los pagos de intereses más la amortización de capital por los cupones programados se observan en el siguiente cuadro: </w:t>
      </w:r>
      <w:r>
        <w:rPr>
          <w:noProof/>
          <w:lang w:eastAsia="es-MX"/>
        </w:rPr>
        <w:drawing>
          <wp:inline distT="0" distB="0" distL="0" distR="0" wp14:anchorId="0715D08F" wp14:editId="6B706B9D">
            <wp:extent cx="6391275" cy="22479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1275" cy="2247900"/>
                    </a:xfrm>
                    <a:prstGeom prst="rect">
                      <a:avLst/>
                    </a:prstGeom>
                    <a:noFill/>
                    <a:ln>
                      <a:noFill/>
                    </a:ln>
                  </pic:spPr>
                </pic:pic>
              </a:graphicData>
            </a:graphic>
          </wp:inline>
        </w:drawing>
      </w:r>
    </w:p>
    <w:p w14:paraId="2DE405A7" w14:textId="77777777" w:rsidR="00CC15FF" w:rsidRDefault="00CC15FF" w:rsidP="004314D0">
      <w:pPr>
        <w:jc w:val="both"/>
        <w:rPr>
          <w:rFonts w:cs="Arial"/>
        </w:rPr>
      </w:pPr>
      <w:r>
        <w:rPr>
          <w:rFonts w:cs="Arial"/>
        </w:rPr>
        <w:t xml:space="preserve">Las transferencias al Gobierno del Estado de México de los remanentes del Fideicomiso de Cobranza, más los intereses generados, se destinan a la inversión productiva de acuerdo a lo establecido en el contrato irrevocable No. 80615 y se han llevado a cabo como sigue: </w:t>
      </w:r>
    </w:p>
    <w:p w14:paraId="1FB9B422" w14:textId="700AB0B3" w:rsidR="00CC15FF" w:rsidRDefault="00CC15FF" w:rsidP="00CC15FF">
      <w:pPr>
        <w:spacing w:line="276" w:lineRule="auto"/>
        <w:ind w:right="-1"/>
        <w:jc w:val="center"/>
        <w:rPr>
          <w:rFonts w:cs="Arial"/>
        </w:rPr>
      </w:pPr>
      <w:r>
        <w:rPr>
          <w:noProof/>
          <w:lang w:eastAsia="es-MX"/>
        </w:rPr>
        <w:drawing>
          <wp:inline distT="0" distB="0" distL="0" distR="0" wp14:anchorId="6AEEB23F" wp14:editId="11E096ED">
            <wp:extent cx="4743450" cy="3590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p>
    <w:p w14:paraId="32404C60" w14:textId="77777777" w:rsidR="00CC15FF" w:rsidRDefault="00CC15FF" w:rsidP="00CC15FF">
      <w:pPr>
        <w:spacing w:line="276" w:lineRule="auto"/>
        <w:ind w:right="-1"/>
        <w:jc w:val="center"/>
        <w:rPr>
          <w:rFonts w:cs="Arial"/>
        </w:rPr>
      </w:pPr>
    </w:p>
    <w:p w14:paraId="67BED86A" w14:textId="77777777" w:rsidR="00CC15FF" w:rsidRDefault="00CC15FF" w:rsidP="00CC15FF">
      <w:pPr>
        <w:spacing w:line="276" w:lineRule="auto"/>
        <w:ind w:right="-1"/>
        <w:contextualSpacing/>
        <w:jc w:val="both"/>
      </w:pPr>
      <w:r>
        <w:lastRenderedPageBreak/>
        <w:t xml:space="preserve">Con relación a los remanentes correspondientes a la distribución 116 y con fundamento en el oficio número 2075002A000000000-730/2020 de fecha 11 de noviembre de 2020, mediante el cual el Subsecretario de Tesorería del Gobierno del Estado de México y el Director General de Crédito, autorizan que los recursos transferidos por Nacional Financiera, </w:t>
      </w:r>
      <w:proofErr w:type="spellStart"/>
      <w:r>
        <w:t>S.N.C</w:t>
      </w:r>
      <w:proofErr w:type="spellEnd"/>
      <w:r>
        <w:t xml:space="preserve">., por este concepto, fueron destinados en el mes de marzo 2021, para cubrir parte del déficit en el pago de las obligaciones financieras asumidas en el Contrato de </w:t>
      </w:r>
      <w:r>
        <w:rPr>
          <w:rFonts w:eastAsiaTheme="minorEastAsia" w:cs="Arial"/>
        </w:rPr>
        <w:t>Fideicomiso Irrevocable número F/1426, Certificados Bursátiles Fiduciarios Serie Subordinada “C”</w:t>
      </w:r>
      <w:r>
        <w:t xml:space="preserve">, calendarizada en primer semestre del año 2021. </w:t>
      </w:r>
    </w:p>
    <w:p w14:paraId="1F8136AC" w14:textId="77777777" w:rsidR="00CC15FF" w:rsidRDefault="00CC15FF" w:rsidP="00CC15FF">
      <w:pPr>
        <w:spacing w:line="276" w:lineRule="auto"/>
        <w:ind w:right="-1"/>
        <w:contextualSpacing/>
        <w:jc w:val="both"/>
      </w:pPr>
    </w:p>
    <w:p w14:paraId="3B1B27FF" w14:textId="77777777" w:rsidR="00CC15FF" w:rsidRDefault="00CC15FF" w:rsidP="00CC15FF">
      <w:pPr>
        <w:numPr>
          <w:ilvl w:val="0"/>
          <w:numId w:val="25"/>
        </w:numPr>
        <w:spacing w:after="0" w:line="276" w:lineRule="auto"/>
        <w:ind w:left="851" w:right="-1"/>
        <w:contextualSpacing/>
        <w:rPr>
          <w:b/>
        </w:rPr>
      </w:pPr>
      <w:r>
        <w:rPr>
          <w:b/>
        </w:rPr>
        <w:t>Calificaciones otorgadas</w:t>
      </w:r>
    </w:p>
    <w:p w14:paraId="1BDA2E5E" w14:textId="77777777" w:rsidR="00CC15FF" w:rsidRDefault="00CC15FF" w:rsidP="00CC15FF">
      <w:pPr>
        <w:spacing w:before="240"/>
        <w:jc w:val="both"/>
      </w:pPr>
      <w:r>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1C317FA0" w14:textId="77777777" w:rsidR="00CC15FF" w:rsidRDefault="00CC15FF" w:rsidP="00CC15FF">
      <w:pPr>
        <w:pStyle w:val="Prrafodelista"/>
        <w:numPr>
          <w:ilvl w:val="0"/>
          <w:numId w:val="5"/>
        </w:numPr>
        <w:spacing w:before="240" w:after="160" w:line="252" w:lineRule="auto"/>
        <w:jc w:val="both"/>
        <w:rPr>
          <w:rFonts w:ascii="HelveticaNeueLT Std" w:eastAsiaTheme="minorHAnsi" w:hAnsi="HelveticaNeueLT Std" w:cstheme="minorBidi"/>
          <w:i/>
          <w:sz w:val="20"/>
          <w:szCs w:val="20"/>
          <w:lang w:eastAsia="en-US"/>
        </w:rPr>
      </w:pPr>
      <w:r>
        <w:rPr>
          <w:rFonts w:ascii="HelveticaNeueLT Std" w:hAnsi="HelveticaNeueLT Std"/>
          <w:i/>
          <w:sz w:val="20"/>
          <w:szCs w:val="20"/>
        </w:rPr>
        <w:t xml:space="preserve"> “</w:t>
      </w:r>
      <w:proofErr w:type="spellStart"/>
      <w:r>
        <w:rPr>
          <w:rFonts w:ascii="HelveticaNeueLT Std" w:eastAsiaTheme="minorHAnsi" w:hAnsi="HelveticaNeueLT Std" w:cstheme="minorBidi"/>
          <w:i/>
          <w:sz w:val="20"/>
          <w:szCs w:val="20"/>
          <w:lang w:eastAsia="en-US"/>
        </w:rPr>
        <w:t>Fitch</w:t>
      </w:r>
      <w:proofErr w:type="spellEnd"/>
      <w:r>
        <w:rPr>
          <w:rFonts w:ascii="HelveticaNeueLT Std" w:eastAsiaTheme="minorHAnsi" w:hAnsi="HelveticaNeueLT Std" w:cstheme="minorBidi"/>
          <w:i/>
          <w:sz w:val="20"/>
          <w:szCs w:val="20"/>
          <w:lang w:eastAsia="en-US"/>
        </w:rPr>
        <w:t xml:space="preserve"> Afirma la Calificación de IFREM</w:t>
      </w:r>
    </w:p>
    <w:p w14:paraId="31F9EECC" w14:textId="77777777" w:rsidR="00CC15FF" w:rsidRDefault="00CC15FF" w:rsidP="00CC15FF">
      <w:pPr>
        <w:spacing w:line="276" w:lineRule="auto"/>
        <w:ind w:left="567" w:right="-1"/>
        <w:contextualSpacing/>
        <w:jc w:val="both"/>
        <w:rPr>
          <w:i/>
        </w:rPr>
      </w:pPr>
      <w:proofErr w:type="spellStart"/>
      <w:r>
        <w:rPr>
          <w:i/>
        </w:rPr>
        <w:t>Mié</w:t>
      </w:r>
      <w:proofErr w:type="spellEnd"/>
      <w:r>
        <w:rPr>
          <w:i/>
        </w:rPr>
        <w:t xml:space="preserve"> 28 de octubre de 2020-17: 10 ET</w:t>
      </w:r>
    </w:p>
    <w:p w14:paraId="5C4AE17F" w14:textId="77777777" w:rsidR="00CC15FF" w:rsidRDefault="00CC15FF" w:rsidP="00CC15FF">
      <w:pPr>
        <w:spacing w:line="276" w:lineRule="auto"/>
        <w:ind w:left="567" w:right="-1"/>
        <w:contextualSpacing/>
        <w:jc w:val="both"/>
        <w:rPr>
          <w:i/>
        </w:rPr>
      </w:pPr>
      <w:proofErr w:type="spellStart"/>
      <w:r>
        <w:rPr>
          <w:i/>
        </w:rPr>
        <w:t>Fitch</w:t>
      </w:r>
      <w:proofErr w:type="spellEnd"/>
      <w:r>
        <w:rPr>
          <w:i/>
        </w:rPr>
        <w:t xml:space="preserve"> Ratings - Ciudad de México - 28 de octubre de 2020: </w:t>
      </w:r>
      <w:proofErr w:type="spellStart"/>
      <w:r>
        <w:rPr>
          <w:i/>
        </w:rPr>
        <w:t>Fitch</w:t>
      </w:r>
      <w:proofErr w:type="spellEnd"/>
      <w:r>
        <w:rPr>
          <w:i/>
        </w:rPr>
        <w:t xml:space="preserve"> Ratings afirmó en 'AA (</w:t>
      </w:r>
      <w:proofErr w:type="spellStart"/>
      <w:r>
        <w:rPr>
          <w:i/>
        </w:rPr>
        <w:t>mex</w:t>
      </w:r>
      <w:proofErr w:type="spellEnd"/>
      <w:r>
        <w:rPr>
          <w:i/>
        </w:rPr>
        <w:t xml:space="preserve">)' la calificación de la calidad crediticia del Instituto de la Función Registral del Estado de México (IFREM). La Perspectiva es Estable. </w:t>
      </w:r>
      <w:r>
        <w:rPr>
          <w:rStyle w:val="Refdenotaalpie"/>
          <w:i/>
        </w:rPr>
        <w:footnoteReference w:customMarkFollows="1" w:id="1"/>
        <w:t>[1]</w:t>
      </w:r>
    </w:p>
    <w:p w14:paraId="3FB9B9BA" w14:textId="77777777" w:rsidR="00CC15FF" w:rsidRDefault="00CC15FF" w:rsidP="00CC15FF">
      <w:pPr>
        <w:spacing w:line="276" w:lineRule="auto"/>
        <w:ind w:left="567" w:right="-1"/>
        <w:contextualSpacing/>
        <w:jc w:val="both"/>
        <w:rPr>
          <w:i/>
        </w:rPr>
      </w:pPr>
    </w:p>
    <w:p w14:paraId="5316E052" w14:textId="77777777" w:rsidR="00CC15FF" w:rsidRDefault="00CC15FF" w:rsidP="00CC15FF">
      <w:pPr>
        <w:spacing w:line="276" w:lineRule="auto"/>
        <w:ind w:left="567" w:right="-1"/>
        <w:contextualSpacing/>
        <w:jc w:val="both"/>
        <w:rPr>
          <w:i/>
        </w:rPr>
      </w:pPr>
      <w:proofErr w:type="spellStart"/>
      <w:r>
        <w:rPr>
          <w:i/>
        </w:rPr>
        <w:t>Fitch</w:t>
      </w:r>
      <w:proofErr w:type="spellEnd"/>
      <w:r>
        <w:rPr>
          <w:i/>
        </w:rPr>
        <w:t xml:space="preserve"> clasifica a IFREM como una entidad relacionada con el gobierno (ERG) que actúa como una extensión del gobierno del Estado de México calificado en 'AA (</w:t>
      </w:r>
      <w:proofErr w:type="spellStart"/>
      <w:r>
        <w:rPr>
          <w:i/>
        </w:rPr>
        <w:t>mex</w:t>
      </w:r>
      <w:proofErr w:type="spellEnd"/>
      <w:r>
        <w:rPr>
          <w:i/>
        </w:rPr>
        <w:t>)'. Esta clasificación también considera su misión de política pública y el nivel de influencia de este último sobre IFREM. La calificadora aplica la metodología de ERG para evaluar la fortaleza del vínculo e incentivo de soporte de su gobierno de soporte. La agencia determinó una asignación de 'Muy Fuerte' en los factores de estatus, propiedad y control, e implicaciones financieras de incumplimiento. Mientras los factores de historial y expectativa de soporte, e implicaciones sociopolíticas de un incumplimiento se consideraron como 'Fuerte'. La mezcla de atributos da como resultado un puntaje general de soporte de 45,”.</w:t>
      </w:r>
    </w:p>
    <w:p w14:paraId="2FA89C22" w14:textId="77777777" w:rsidR="00CC15FF" w:rsidRDefault="00CC15FF" w:rsidP="00CC15FF">
      <w:pPr>
        <w:pStyle w:val="Prrafodelista"/>
        <w:numPr>
          <w:ilvl w:val="0"/>
          <w:numId w:val="5"/>
        </w:numPr>
        <w:spacing w:before="240" w:after="160" w:line="252" w:lineRule="auto"/>
        <w:jc w:val="both"/>
        <w:rPr>
          <w:rFonts w:ascii="HelveticaNeueLT Std" w:hAnsi="HelveticaNeueLT Std"/>
          <w:i/>
          <w:sz w:val="20"/>
          <w:szCs w:val="20"/>
        </w:rPr>
      </w:pPr>
      <w:r>
        <w:rPr>
          <w:rFonts w:ascii="HelveticaNeueLT Std" w:hAnsi="HelveticaNeueLT Std"/>
          <w:i/>
          <w:sz w:val="20"/>
          <w:szCs w:val="20"/>
        </w:rPr>
        <w:t xml:space="preserve">“…El 27 de julio de 2020, </w:t>
      </w:r>
      <w:proofErr w:type="spellStart"/>
      <w:r>
        <w:rPr>
          <w:rFonts w:ascii="HelveticaNeueLT Std" w:hAnsi="HelveticaNeueLT Std"/>
          <w:i/>
          <w:sz w:val="20"/>
          <w:szCs w:val="20"/>
        </w:rPr>
        <w:t>S&amp;P</w:t>
      </w:r>
      <w:proofErr w:type="spellEnd"/>
      <w:r>
        <w:rPr>
          <w:rFonts w:ascii="HelveticaNeueLT Std" w:hAnsi="HelveticaNeueLT Std"/>
          <w:i/>
          <w:sz w:val="20"/>
          <w:szCs w:val="20"/>
        </w:rPr>
        <w:t xml:space="preserve"> Global Ratings confirmó su calificación crediticia de emisor de largo plazo en escala nacional –</w:t>
      </w:r>
      <w:proofErr w:type="spellStart"/>
      <w:r>
        <w:rPr>
          <w:rFonts w:ascii="HelveticaNeueLT Std" w:hAnsi="HelveticaNeueLT Std"/>
          <w:i/>
          <w:sz w:val="20"/>
          <w:szCs w:val="20"/>
        </w:rPr>
        <w:t>CaVal</w:t>
      </w:r>
      <w:proofErr w:type="spellEnd"/>
      <w:r>
        <w:rPr>
          <w:rFonts w:ascii="HelveticaNeueLT Std" w:hAnsi="HelveticaNeueLT Std"/>
          <w:i/>
          <w:sz w:val="20"/>
          <w:szCs w:val="20"/>
        </w:rPr>
        <w:t>– de '</w:t>
      </w:r>
      <w:proofErr w:type="spellStart"/>
      <w:r>
        <w:rPr>
          <w:rFonts w:ascii="HelveticaNeueLT Std" w:hAnsi="HelveticaNeueLT Std"/>
          <w:i/>
          <w:sz w:val="20"/>
          <w:szCs w:val="20"/>
        </w:rPr>
        <w:t>mxA</w:t>
      </w:r>
      <w:proofErr w:type="spellEnd"/>
      <w:r>
        <w:rPr>
          <w:rFonts w:ascii="HelveticaNeueLT Std" w:hAnsi="HelveticaNeueLT Std"/>
          <w:i/>
          <w:sz w:val="20"/>
          <w:szCs w:val="20"/>
        </w:rPr>
        <w:t>+' del Instituto de la Función Registral del Estado de México (IFREM). La perspectiva se mantiene estable</w:t>
      </w:r>
      <w:r>
        <w:rPr>
          <w:rFonts w:ascii="HelveticaNeueLT Std" w:hAnsi="HelveticaNeueLT Std"/>
          <w:i/>
          <w:sz w:val="20"/>
          <w:szCs w:val="20"/>
          <w:vertAlign w:val="superscript"/>
        </w:rPr>
        <w:t xml:space="preserve"> </w:t>
      </w:r>
      <w:r>
        <w:rPr>
          <w:rStyle w:val="Refdenotaalpie"/>
          <w:rFonts w:ascii="HelveticaNeueLT Std" w:hAnsi="HelveticaNeueLT Std"/>
          <w:i/>
          <w:sz w:val="20"/>
          <w:szCs w:val="20"/>
        </w:rPr>
        <w:footnoteReference w:customMarkFollows="1" w:id="2"/>
        <w:t>[2]</w:t>
      </w:r>
      <w:r>
        <w:rPr>
          <w:rFonts w:ascii="HelveticaNeueLT Std" w:hAnsi="HelveticaNeueLT Std"/>
          <w:i/>
          <w:sz w:val="20"/>
          <w:szCs w:val="20"/>
        </w:rPr>
        <w:t>.</w:t>
      </w:r>
    </w:p>
    <w:p w14:paraId="727A7EDE" w14:textId="77777777" w:rsidR="00CC15FF" w:rsidRDefault="00CC15FF" w:rsidP="00CC15FF">
      <w:pPr>
        <w:spacing w:line="276" w:lineRule="auto"/>
        <w:ind w:left="567" w:right="-1"/>
        <w:contextualSpacing/>
        <w:jc w:val="both"/>
        <w:rPr>
          <w:i/>
        </w:rPr>
      </w:pPr>
      <w:r>
        <w:rPr>
          <w:i/>
        </w:rPr>
        <w:t>La perspectiva estable refleja la perspectiva estable del Estado de México, así como nuestra expectativa de que, en los próximos 12 a 18 meses, la probabilidad casi cierta de apoyo extraordinario del Estado de México al instituto se mantenga.”</w:t>
      </w:r>
    </w:p>
    <w:p w14:paraId="60620587" w14:textId="77777777" w:rsidR="00CC15FF" w:rsidRDefault="00CC15FF" w:rsidP="007C0E6F">
      <w:pPr>
        <w:numPr>
          <w:ilvl w:val="0"/>
          <w:numId w:val="25"/>
        </w:numPr>
        <w:spacing w:after="0" w:line="276" w:lineRule="auto"/>
        <w:ind w:left="851" w:right="-1"/>
        <w:contextualSpacing/>
        <w:rPr>
          <w:b/>
        </w:rPr>
      </w:pPr>
      <w:r>
        <w:rPr>
          <w:i/>
        </w:rPr>
        <w:br w:type="page"/>
      </w:r>
      <w:bookmarkStart w:id="1" w:name="_GoBack"/>
      <w:bookmarkEnd w:id="1"/>
      <w:r>
        <w:rPr>
          <w:b/>
        </w:rPr>
        <w:lastRenderedPageBreak/>
        <w:t>Proceso de Mejora</w:t>
      </w:r>
    </w:p>
    <w:p w14:paraId="2B7B080D" w14:textId="77777777" w:rsidR="00CC15FF" w:rsidRDefault="00CC15FF" w:rsidP="00CC15FF">
      <w:pPr>
        <w:spacing w:before="240" w:line="276" w:lineRule="auto"/>
        <w:ind w:right="-1"/>
        <w:jc w:val="both"/>
      </w:pPr>
      <w:r>
        <w:t xml:space="preserve">En enero de 2020 la Unidad de Informática del IFREM, obtuvo la certificación en </w:t>
      </w:r>
      <w:r>
        <w:rPr>
          <w:b/>
        </w:rPr>
        <w:t>ISO/</w:t>
      </w:r>
      <w:proofErr w:type="spellStart"/>
      <w:r>
        <w:rPr>
          <w:b/>
        </w:rPr>
        <w:t>IEC</w:t>
      </w:r>
      <w:proofErr w:type="spellEnd"/>
      <w:r>
        <w:rPr>
          <w:b/>
        </w:rPr>
        <w:t xml:space="preserve"> 27001:2013</w:t>
      </w:r>
      <w:r>
        <w:t>, Sistema de Gestión de Seguridad de la Información (</w:t>
      </w:r>
      <w:proofErr w:type="spellStart"/>
      <w:r>
        <w:t>SGSI</w:t>
      </w:r>
      <w:proofErr w:type="spellEnd"/>
      <w:r>
        <w:t>).</w:t>
      </w:r>
    </w:p>
    <w:p w14:paraId="29F0A5CD" w14:textId="77777777" w:rsidR="00CC15FF" w:rsidRDefault="00CC15FF" w:rsidP="00CC15FF">
      <w:pPr>
        <w:spacing w:before="240" w:line="276" w:lineRule="auto"/>
        <w:ind w:right="-1"/>
        <w:jc w:val="both"/>
      </w:pPr>
      <w:r>
        <w:t xml:space="preserve">A la fecha el Instituto ha mantenido la certificación bajo la norma </w:t>
      </w:r>
      <w:r>
        <w:rPr>
          <w:b/>
        </w:rPr>
        <w:t>ISO 9001:2015</w:t>
      </w:r>
      <w:r>
        <w:t>, se encuentra inmerso en el proceso de mejora continua y sigue modernizando sus procesos.</w:t>
      </w:r>
    </w:p>
    <w:p w14:paraId="10158377" w14:textId="77777777" w:rsidR="00CC15FF" w:rsidRDefault="00CC15FF" w:rsidP="00CC15FF">
      <w:pPr>
        <w:spacing w:line="276" w:lineRule="auto"/>
        <w:ind w:right="-1"/>
        <w:jc w:val="both"/>
      </w:pPr>
      <w:r>
        <w:t xml:space="preserve">El Estado de México ha pasado a mostrar un avance sobresaliente en la clasificación </w:t>
      </w:r>
      <w:proofErr w:type="spellStart"/>
      <w:r>
        <w:rPr>
          <w:b/>
        </w:rPr>
        <w:t>Doing</w:t>
      </w:r>
      <w:proofErr w:type="spellEnd"/>
      <w:r>
        <w:rPr>
          <w:b/>
        </w:rPr>
        <w:t xml:space="preserve"> Business en México</w:t>
      </w:r>
      <w:r>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2461257A" w14:textId="77777777" w:rsidR="00CC15FF" w:rsidRDefault="00CC15FF" w:rsidP="00CC15FF">
      <w:pPr>
        <w:numPr>
          <w:ilvl w:val="0"/>
          <w:numId w:val="25"/>
        </w:numPr>
        <w:spacing w:after="0" w:line="276" w:lineRule="auto"/>
        <w:ind w:left="851" w:right="-1"/>
        <w:contextualSpacing/>
        <w:rPr>
          <w:b/>
        </w:rPr>
      </w:pPr>
      <w:r>
        <w:rPr>
          <w:rFonts w:eastAsia="Times New Roman"/>
          <w:b/>
          <w:lang w:eastAsia="es-MX"/>
        </w:rPr>
        <w:t>Información por Segmentos</w:t>
      </w:r>
    </w:p>
    <w:p w14:paraId="3DE78A78" w14:textId="77777777" w:rsidR="00CC15FF" w:rsidRDefault="00CC15FF" w:rsidP="00CC15FF">
      <w:pPr>
        <w:spacing w:after="0" w:line="276" w:lineRule="auto"/>
        <w:ind w:left="567" w:right="-1"/>
        <w:contextualSpacing/>
        <w:jc w:val="both"/>
        <w:rPr>
          <w:rFonts w:eastAsia="Times New Roman"/>
          <w:b/>
          <w:lang w:eastAsia="es-MX"/>
        </w:rPr>
      </w:pPr>
    </w:p>
    <w:p w14:paraId="76B7EC91" w14:textId="77777777" w:rsidR="00CC15FF" w:rsidRDefault="00CC15FF" w:rsidP="00CC15FF">
      <w:pPr>
        <w:spacing w:line="276" w:lineRule="auto"/>
        <w:ind w:right="-1"/>
        <w:jc w:val="both"/>
        <w:rPr>
          <w:bCs/>
        </w:rPr>
      </w:pPr>
      <w:r>
        <w:rPr>
          <w:bCs/>
        </w:rPr>
        <w:t>El Instituto no cuenta con información por segmentos.</w:t>
      </w:r>
    </w:p>
    <w:p w14:paraId="08FB61C1" w14:textId="77777777" w:rsidR="00CC15FF" w:rsidRDefault="00CC15FF" w:rsidP="00CC15FF">
      <w:pPr>
        <w:numPr>
          <w:ilvl w:val="0"/>
          <w:numId w:val="25"/>
        </w:numPr>
        <w:spacing w:after="0" w:line="276" w:lineRule="auto"/>
        <w:ind w:left="851" w:right="-1"/>
        <w:contextualSpacing/>
        <w:rPr>
          <w:b/>
        </w:rPr>
      </w:pPr>
      <w:r>
        <w:rPr>
          <w:b/>
        </w:rPr>
        <w:t>Eventos Posteriores al Cierre</w:t>
      </w:r>
    </w:p>
    <w:p w14:paraId="2EE1CBF5" w14:textId="77777777" w:rsidR="00CC15FF" w:rsidRDefault="00CC15FF" w:rsidP="00CC15FF">
      <w:pPr>
        <w:spacing w:after="0" w:line="276" w:lineRule="auto"/>
        <w:ind w:right="-1"/>
        <w:jc w:val="both"/>
        <w:rPr>
          <w:bCs/>
        </w:rPr>
      </w:pPr>
    </w:p>
    <w:p w14:paraId="275A3B3D" w14:textId="77777777" w:rsidR="00CC15FF" w:rsidRDefault="00CC15FF" w:rsidP="00CC15FF">
      <w:pPr>
        <w:spacing w:line="276" w:lineRule="auto"/>
        <w:ind w:right="-1"/>
        <w:jc w:val="both"/>
      </w:pPr>
      <w:r>
        <w:t>El Instituto no presenta eventos posteriores al cierre que pudieran tener un efecto importante en su situación financiera y resultados de operación futuros.</w:t>
      </w:r>
    </w:p>
    <w:p w14:paraId="4B9F66B4" w14:textId="77777777" w:rsidR="00CC15FF" w:rsidRDefault="00CC15FF" w:rsidP="00CC15FF">
      <w:pPr>
        <w:numPr>
          <w:ilvl w:val="0"/>
          <w:numId w:val="25"/>
        </w:numPr>
        <w:spacing w:after="0" w:line="276" w:lineRule="auto"/>
        <w:ind w:left="851" w:right="-1"/>
        <w:contextualSpacing/>
        <w:rPr>
          <w:b/>
        </w:rPr>
      </w:pPr>
      <w:r>
        <w:rPr>
          <w:b/>
        </w:rPr>
        <w:t>Partes Relacionadas</w:t>
      </w:r>
    </w:p>
    <w:p w14:paraId="3D33F589" w14:textId="77777777" w:rsidR="00CC15FF" w:rsidRDefault="00CC15FF" w:rsidP="00CC15FF">
      <w:pPr>
        <w:spacing w:after="0" w:line="276" w:lineRule="auto"/>
        <w:ind w:right="-1"/>
        <w:jc w:val="both"/>
        <w:rPr>
          <w:bCs/>
        </w:rPr>
      </w:pPr>
    </w:p>
    <w:p w14:paraId="0D5F6310" w14:textId="77777777" w:rsidR="00CC15FF" w:rsidRDefault="00CC15FF" w:rsidP="00CC15FF">
      <w:pPr>
        <w:spacing w:line="276" w:lineRule="auto"/>
        <w:ind w:right="-1"/>
        <w:jc w:val="both"/>
        <w:rPr>
          <w:rFonts w:cs="Arial"/>
        </w:rPr>
      </w:pPr>
      <w:r>
        <w:rPr>
          <w:rFonts w:cs="Arial"/>
        </w:rPr>
        <w:t>No existen partes relacionadas que pudieran ejercer influencia significativa sobre la toma de decisiones financieras y operativas en este Instituto.</w:t>
      </w:r>
    </w:p>
    <w:p w14:paraId="1F680B92" w14:textId="77777777" w:rsidR="00CC15FF" w:rsidRDefault="00CC15FF" w:rsidP="00CC15FF">
      <w:pPr>
        <w:numPr>
          <w:ilvl w:val="0"/>
          <w:numId w:val="25"/>
        </w:numPr>
        <w:spacing w:after="0" w:line="276" w:lineRule="auto"/>
        <w:ind w:left="851" w:right="-1"/>
        <w:contextualSpacing/>
        <w:rPr>
          <w:b/>
        </w:rPr>
      </w:pPr>
      <w:r>
        <w:rPr>
          <w:b/>
        </w:rPr>
        <w:t>Responsabilidad Sobre la Presentación Razonable de los Estados Financieros</w:t>
      </w:r>
    </w:p>
    <w:p w14:paraId="7590A0B3" w14:textId="77777777" w:rsidR="00CC15FF" w:rsidRDefault="00CC15FF" w:rsidP="00CC15FF">
      <w:pPr>
        <w:spacing w:after="0" w:line="276" w:lineRule="auto"/>
        <w:ind w:left="851" w:right="-1"/>
        <w:contextualSpacing/>
        <w:rPr>
          <w:b/>
        </w:rPr>
      </w:pPr>
    </w:p>
    <w:p w14:paraId="4871E9DD" w14:textId="77777777" w:rsidR="00CC15FF" w:rsidRDefault="00CC15FF" w:rsidP="00CC15FF">
      <w:pPr>
        <w:spacing w:line="276" w:lineRule="auto"/>
        <w:ind w:right="-1"/>
        <w:jc w:val="both"/>
        <w:rPr>
          <w:rFonts w:cs="Arial"/>
        </w:rPr>
      </w:pPr>
      <w:r>
        <w:rPr>
          <w:rFonts w:cs="Arial"/>
        </w:rPr>
        <w:t>“Bajo protesta de decir verdad declaramos que los Estados Financieros y sus Notas, son razonablemente correctos y son responsabilidad del emisor”.</w:t>
      </w:r>
    </w:p>
    <w:p w14:paraId="5525A06C" w14:textId="77777777" w:rsidR="00CC15FF" w:rsidRDefault="00CC15FF" w:rsidP="00CC15FF">
      <w:pPr>
        <w:tabs>
          <w:tab w:val="left" w:pos="3994"/>
        </w:tabs>
        <w:spacing w:after="0" w:line="276" w:lineRule="auto"/>
        <w:ind w:right="-1"/>
        <w:contextualSpacing/>
        <w:jc w:val="center"/>
        <w:rPr>
          <w:rFonts w:eastAsia="Times New Roman" w:cs="Arial"/>
          <w:b/>
          <w:lang w:eastAsia="es-MX"/>
        </w:rPr>
      </w:pPr>
      <w:r>
        <w:rPr>
          <w:rFonts w:eastAsia="Times New Roman" w:cs="Arial"/>
          <w:b/>
          <w:lang w:eastAsia="es-MX"/>
        </w:rPr>
        <w:t>Firmas:</w:t>
      </w:r>
    </w:p>
    <w:p w14:paraId="1F88209C" w14:textId="77777777" w:rsidR="00CC15FF" w:rsidRDefault="00CC15FF" w:rsidP="00CC15FF">
      <w:pPr>
        <w:tabs>
          <w:tab w:val="left" w:pos="3994"/>
        </w:tabs>
        <w:spacing w:after="0" w:line="276" w:lineRule="auto"/>
        <w:ind w:right="-1"/>
        <w:contextualSpacing/>
        <w:jc w:val="center"/>
        <w:rPr>
          <w:rFonts w:eastAsia="Times New Roman" w:cs="Arial"/>
          <w:b/>
          <w:lang w:eastAsia="es-MX"/>
        </w:rPr>
      </w:pPr>
    </w:p>
    <w:p w14:paraId="4457BE30" w14:textId="77777777" w:rsidR="00CC15FF" w:rsidRDefault="00CC15FF" w:rsidP="00CC15FF">
      <w:pPr>
        <w:tabs>
          <w:tab w:val="left" w:pos="3994"/>
        </w:tabs>
        <w:spacing w:after="0" w:line="276" w:lineRule="auto"/>
        <w:ind w:right="-1"/>
        <w:contextualSpacing/>
        <w:jc w:val="center"/>
        <w:rPr>
          <w:rFonts w:eastAsia="Times New Roman" w:cs="Arial"/>
          <w:b/>
          <w:lang w:eastAsia="es-MX"/>
        </w:rPr>
      </w:pPr>
    </w:p>
    <w:p w14:paraId="75281625" w14:textId="77777777" w:rsidR="00CC15FF" w:rsidRDefault="00CC15FF" w:rsidP="00CC15FF">
      <w:pPr>
        <w:tabs>
          <w:tab w:val="left" w:pos="3994"/>
        </w:tabs>
        <w:spacing w:after="0" w:line="276" w:lineRule="auto"/>
        <w:ind w:right="-1"/>
        <w:contextualSpacing/>
        <w:jc w:val="center"/>
        <w:rPr>
          <w:rFonts w:eastAsia="Times New Roman" w:cs="Arial"/>
          <w:b/>
          <w:lang w:eastAsia="es-MX"/>
        </w:rPr>
      </w:pP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44"/>
        <w:gridCol w:w="3543"/>
      </w:tblGrid>
      <w:tr w:rsidR="00CC15FF" w14:paraId="55AA6657" w14:textId="77777777" w:rsidTr="00CC15FF">
        <w:tc>
          <w:tcPr>
            <w:tcW w:w="3114" w:type="dxa"/>
          </w:tcPr>
          <w:p w14:paraId="1DE67A10" w14:textId="77777777" w:rsidR="00CC15FF" w:rsidRDefault="00CC15FF">
            <w:pPr>
              <w:spacing w:line="276" w:lineRule="auto"/>
              <w:ind w:right="-1"/>
              <w:jc w:val="center"/>
              <w:rPr>
                <w:rFonts w:cs="Arial"/>
                <w:sz w:val="18"/>
                <w:szCs w:val="18"/>
              </w:rPr>
            </w:pPr>
          </w:p>
          <w:p w14:paraId="2DE56B97" w14:textId="77777777" w:rsidR="00CC15FF" w:rsidRDefault="00CC15FF">
            <w:pPr>
              <w:spacing w:line="276" w:lineRule="auto"/>
              <w:ind w:right="-1"/>
              <w:jc w:val="center"/>
              <w:rPr>
                <w:rFonts w:cs="Arial"/>
                <w:sz w:val="18"/>
                <w:szCs w:val="18"/>
              </w:rPr>
            </w:pPr>
          </w:p>
          <w:p w14:paraId="555D4709" w14:textId="77777777" w:rsidR="00CC15FF" w:rsidRDefault="00CC15FF">
            <w:pPr>
              <w:spacing w:line="276" w:lineRule="auto"/>
              <w:ind w:right="-1"/>
              <w:jc w:val="center"/>
              <w:rPr>
                <w:rFonts w:cs="Arial"/>
                <w:sz w:val="18"/>
                <w:szCs w:val="18"/>
              </w:rPr>
            </w:pPr>
            <w:r>
              <w:rPr>
                <w:rFonts w:cs="Arial"/>
                <w:sz w:val="18"/>
                <w:szCs w:val="18"/>
              </w:rPr>
              <w:t>________________________________________</w:t>
            </w:r>
          </w:p>
          <w:p w14:paraId="767B1389" w14:textId="77777777" w:rsidR="00CC15FF" w:rsidRDefault="00CC15FF">
            <w:pPr>
              <w:spacing w:line="276" w:lineRule="auto"/>
              <w:ind w:right="-1"/>
              <w:jc w:val="center"/>
              <w:rPr>
                <w:rFonts w:ascii="HelveticaNeueLT Std" w:hAnsi="HelveticaNeueLT Std" w:cs="Arial"/>
                <w:sz w:val="16"/>
                <w:szCs w:val="18"/>
              </w:rPr>
            </w:pPr>
            <w:proofErr w:type="spellStart"/>
            <w:r>
              <w:rPr>
                <w:rFonts w:ascii="HelveticaNeueLT Std" w:hAnsi="HelveticaNeueLT Std" w:cs="Arial"/>
                <w:sz w:val="16"/>
                <w:szCs w:val="18"/>
              </w:rPr>
              <w:t>M.A.P</w:t>
            </w:r>
            <w:proofErr w:type="spellEnd"/>
            <w:r>
              <w:rPr>
                <w:rFonts w:ascii="HelveticaNeueLT Std" w:hAnsi="HelveticaNeueLT Std" w:cs="Arial"/>
                <w:sz w:val="16"/>
                <w:szCs w:val="18"/>
              </w:rPr>
              <w:t>. Antonio Hernández Tenorio</w:t>
            </w:r>
          </w:p>
          <w:p w14:paraId="6AA964DB" w14:textId="77777777" w:rsidR="00CC15FF" w:rsidRDefault="00CC15FF">
            <w:pPr>
              <w:tabs>
                <w:tab w:val="left" w:pos="3994"/>
              </w:tabs>
              <w:spacing w:line="276" w:lineRule="auto"/>
              <w:ind w:right="-1"/>
              <w:contextualSpacing/>
              <w:jc w:val="center"/>
              <w:rPr>
                <w:rFonts w:eastAsia="Times New Roman" w:cs="Arial"/>
                <w:sz w:val="18"/>
                <w:szCs w:val="18"/>
              </w:rPr>
            </w:pPr>
            <w:r>
              <w:rPr>
                <w:rFonts w:ascii="HelveticaNeueLT Std" w:hAnsi="HelveticaNeueLT Std" w:cs="Arial"/>
                <w:b/>
                <w:sz w:val="16"/>
                <w:szCs w:val="18"/>
              </w:rPr>
              <w:t>Subdirector de Finanzas</w:t>
            </w:r>
          </w:p>
        </w:tc>
        <w:tc>
          <w:tcPr>
            <w:tcW w:w="3544" w:type="dxa"/>
          </w:tcPr>
          <w:p w14:paraId="7F8F0996" w14:textId="77777777" w:rsidR="00CC15FF" w:rsidRDefault="00CC15FF">
            <w:pPr>
              <w:spacing w:line="276" w:lineRule="auto"/>
              <w:ind w:right="-1"/>
              <w:jc w:val="center"/>
              <w:rPr>
                <w:rFonts w:cs="Arial"/>
                <w:sz w:val="18"/>
                <w:szCs w:val="18"/>
              </w:rPr>
            </w:pPr>
          </w:p>
          <w:p w14:paraId="2D6FAC24" w14:textId="77777777" w:rsidR="00CC15FF" w:rsidRDefault="00CC15FF">
            <w:pPr>
              <w:spacing w:line="276" w:lineRule="auto"/>
              <w:ind w:right="-1"/>
              <w:jc w:val="center"/>
              <w:rPr>
                <w:rFonts w:cs="Arial"/>
                <w:sz w:val="18"/>
                <w:szCs w:val="18"/>
              </w:rPr>
            </w:pPr>
          </w:p>
          <w:p w14:paraId="302BA33E" w14:textId="77777777" w:rsidR="00CC15FF" w:rsidRDefault="00CC15FF">
            <w:pPr>
              <w:spacing w:line="276" w:lineRule="auto"/>
              <w:ind w:right="-1"/>
              <w:jc w:val="center"/>
              <w:rPr>
                <w:rFonts w:cs="Arial"/>
                <w:sz w:val="18"/>
                <w:szCs w:val="18"/>
              </w:rPr>
            </w:pPr>
            <w:r>
              <w:rPr>
                <w:rFonts w:cs="Arial"/>
                <w:sz w:val="18"/>
                <w:szCs w:val="18"/>
              </w:rPr>
              <w:t>_____________________________________________</w:t>
            </w:r>
          </w:p>
          <w:p w14:paraId="152243EA" w14:textId="77777777" w:rsidR="00CC15FF" w:rsidRDefault="00CC15FF">
            <w:pPr>
              <w:spacing w:line="276" w:lineRule="auto"/>
              <w:ind w:left="544" w:right="-1" w:hanging="261"/>
              <w:jc w:val="center"/>
              <w:rPr>
                <w:rFonts w:ascii="HelveticaNeueLT Std" w:hAnsi="HelveticaNeueLT Std" w:cs="Arial"/>
                <w:sz w:val="16"/>
                <w:szCs w:val="18"/>
              </w:rPr>
            </w:pPr>
            <w:r>
              <w:rPr>
                <w:rFonts w:ascii="HelveticaNeueLT Std" w:hAnsi="HelveticaNeueLT Std" w:cs="Arial"/>
                <w:sz w:val="16"/>
                <w:szCs w:val="18"/>
              </w:rPr>
              <w:t>L.A.E. Raúl Napoleón Lazcano Martínez</w:t>
            </w:r>
          </w:p>
          <w:p w14:paraId="5E9418EF" w14:textId="77777777" w:rsidR="00CC15FF" w:rsidRDefault="00CC15FF">
            <w:pPr>
              <w:tabs>
                <w:tab w:val="left" w:pos="3994"/>
              </w:tabs>
              <w:spacing w:line="276" w:lineRule="auto"/>
              <w:ind w:right="-1"/>
              <w:contextualSpacing/>
              <w:jc w:val="center"/>
              <w:rPr>
                <w:rFonts w:eastAsia="Times New Roman" w:cs="Arial"/>
                <w:sz w:val="18"/>
                <w:szCs w:val="18"/>
              </w:rPr>
            </w:pPr>
            <w:r>
              <w:rPr>
                <w:rFonts w:ascii="HelveticaNeueLT Std" w:hAnsi="HelveticaNeueLT Std" w:cs="Arial"/>
                <w:b/>
                <w:sz w:val="16"/>
                <w:szCs w:val="18"/>
              </w:rPr>
              <w:t>Director de Administración y Finanzas</w:t>
            </w:r>
          </w:p>
        </w:tc>
        <w:tc>
          <w:tcPr>
            <w:tcW w:w="3543" w:type="dxa"/>
          </w:tcPr>
          <w:p w14:paraId="728D7A1D" w14:textId="77777777" w:rsidR="00CC15FF" w:rsidRDefault="00CC15FF">
            <w:pPr>
              <w:spacing w:line="276" w:lineRule="auto"/>
              <w:ind w:right="-1"/>
              <w:jc w:val="center"/>
              <w:rPr>
                <w:rFonts w:cs="Arial"/>
                <w:sz w:val="18"/>
                <w:szCs w:val="18"/>
              </w:rPr>
            </w:pPr>
          </w:p>
          <w:p w14:paraId="38929CF4" w14:textId="77777777" w:rsidR="00CC15FF" w:rsidRDefault="00CC15FF">
            <w:pPr>
              <w:spacing w:line="276" w:lineRule="auto"/>
              <w:ind w:right="-1"/>
              <w:jc w:val="center"/>
              <w:rPr>
                <w:rFonts w:cs="Arial"/>
                <w:sz w:val="18"/>
                <w:szCs w:val="18"/>
              </w:rPr>
            </w:pPr>
          </w:p>
          <w:p w14:paraId="6B9BFE33" w14:textId="77777777" w:rsidR="00CC15FF" w:rsidRDefault="00CC15FF">
            <w:pPr>
              <w:spacing w:line="276" w:lineRule="auto"/>
              <w:ind w:right="-1"/>
              <w:jc w:val="center"/>
              <w:rPr>
                <w:rFonts w:cs="Arial"/>
                <w:sz w:val="18"/>
                <w:szCs w:val="18"/>
              </w:rPr>
            </w:pPr>
            <w:r>
              <w:rPr>
                <w:rFonts w:cs="Arial"/>
                <w:sz w:val="18"/>
                <w:szCs w:val="18"/>
              </w:rPr>
              <w:t>________________________________________________</w:t>
            </w:r>
          </w:p>
          <w:p w14:paraId="5A73E841" w14:textId="77777777" w:rsidR="00CC15FF" w:rsidRDefault="00CC15FF">
            <w:pPr>
              <w:spacing w:line="276" w:lineRule="auto"/>
              <w:ind w:right="-1"/>
              <w:jc w:val="center"/>
              <w:rPr>
                <w:rFonts w:ascii="HelveticaNeueLT Std" w:hAnsi="HelveticaNeueLT Std" w:cs="Arial"/>
                <w:sz w:val="16"/>
                <w:szCs w:val="18"/>
              </w:rPr>
            </w:pPr>
            <w:r>
              <w:rPr>
                <w:rFonts w:ascii="HelveticaNeueLT Std" w:hAnsi="HelveticaNeueLT Std" w:cs="Arial"/>
                <w:sz w:val="16"/>
                <w:szCs w:val="18"/>
              </w:rPr>
              <w:t xml:space="preserve">L. en D. Christian Gerardo Gasca </w:t>
            </w:r>
            <w:proofErr w:type="spellStart"/>
            <w:r>
              <w:rPr>
                <w:rFonts w:ascii="HelveticaNeueLT Std" w:hAnsi="HelveticaNeueLT Std" w:cs="Arial"/>
                <w:sz w:val="16"/>
                <w:szCs w:val="18"/>
              </w:rPr>
              <w:t>Droppert</w:t>
            </w:r>
            <w:proofErr w:type="spellEnd"/>
          </w:p>
          <w:p w14:paraId="2BA1FE06" w14:textId="77777777" w:rsidR="00CC15FF" w:rsidRDefault="00CC15FF">
            <w:pPr>
              <w:tabs>
                <w:tab w:val="left" w:pos="3994"/>
              </w:tabs>
              <w:spacing w:line="276" w:lineRule="auto"/>
              <w:ind w:right="-1"/>
              <w:contextualSpacing/>
              <w:jc w:val="center"/>
              <w:rPr>
                <w:rFonts w:ascii="HelveticaNeueLT Std" w:eastAsia="Times New Roman" w:hAnsi="HelveticaNeueLT Std" w:cs="Arial"/>
                <w:sz w:val="18"/>
              </w:rPr>
            </w:pPr>
            <w:r>
              <w:rPr>
                <w:rFonts w:ascii="HelveticaNeueLT Std" w:hAnsi="HelveticaNeueLT Std" w:cs="Arial"/>
                <w:b/>
                <w:sz w:val="16"/>
                <w:szCs w:val="18"/>
              </w:rPr>
              <w:t>Director General del IFREM</w:t>
            </w:r>
          </w:p>
          <w:p w14:paraId="009B020D" w14:textId="77777777" w:rsidR="00CC15FF" w:rsidRDefault="00CC15FF">
            <w:pPr>
              <w:tabs>
                <w:tab w:val="left" w:pos="3994"/>
              </w:tabs>
              <w:spacing w:line="276" w:lineRule="auto"/>
              <w:ind w:right="-1"/>
              <w:contextualSpacing/>
              <w:jc w:val="center"/>
              <w:rPr>
                <w:rFonts w:eastAsia="Times New Roman" w:cs="Arial"/>
                <w:sz w:val="18"/>
                <w:szCs w:val="18"/>
              </w:rPr>
            </w:pPr>
          </w:p>
        </w:tc>
      </w:tr>
    </w:tbl>
    <w:p w14:paraId="65BD4815" w14:textId="48EAE3E1" w:rsidR="001539BB" w:rsidRPr="00D62C1B" w:rsidRDefault="001539BB" w:rsidP="00CC15FF">
      <w:pPr>
        <w:tabs>
          <w:tab w:val="left" w:pos="3836"/>
        </w:tabs>
        <w:spacing w:after="0" w:line="276" w:lineRule="auto"/>
        <w:ind w:right="-1"/>
        <w:contextualSpacing/>
        <w:outlineLvl w:val="0"/>
        <w:rPr>
          <w:rFonts w:eastAsia="Times New Roman" w:cs="Arial"/>
          <w:lang w:eastAsia="es-MX"/>
        </w:rPr>
      </w:pPr>
    </w:p>
    <w:sectPr w:rsidR="001539BB" w:rsidRPr="00D62C1B" w:rsidSect="0072130F">
      <w:headerReference w:type="default" r:id="rId26"/>
      <w:footerReference w:type="default" r:id="rId27"/>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149D" w14:textId="77777777" w:rsidR="0082089C" w:rsidRDefault="0082089C" w:rsidP="0033212B">
      <w:pPr>
        <w:spacing w:after="0" w:line="240" w:lineRule="auto"/>
      </w:pPr>
      <w:r>
        <w:separator/>
      </w:r>
    </w:p>
  </w:endnote>
  <w:endnote w:type="continuationSeparator" w:id="0">
    <w:p w14:paraId="7CE6E68C" w14:textId="77777777" w:rsidR="0082089C" w:rsidRDefault="0082089C"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NeueLT Std Lt">
    <w:altName w:val="Cordia New"/>
    <w:panose1 w:val="00000000000000000000"/>
    <w:charset w:val="00"/>
    <w:family w:val="swiss"/>
    <w:notTrueType/>
    <w:pitch w:val="variable"/>
    <w:sig w:usb0="800000AF" w:usb1="4000204A"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14:paraId="669210FB" w14:textId="77777777" w:rsidR="00A804C5" w:rsidRDefault="00A804C5" w:rsidP="006351E0">
        <w:pPr>
          <w:tabs>
            <w:tab w:val="left" w:pos="5685"/>
            <w:tab w:val="left" w:pos="8745"/>
            <w:tab w:val="right" w:pos="10062"/>
          </w:tabs>
        </w:pPr>
      </w:p>
      <w:p w14:paraId="0CA25423" w14:textId="77777777"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3C64784C" wp14:editId="7567D871">
              <wp:simplePos x="0" y="0"/>
              <wp:positionH relativeFrom="column">
                <wp:posOffset>-800735</wp:posOffset>
              </wp:positionH>
              <wp:positionV relativeFrom="paragraph">
                <wp:posOffset>-179070</wp:posOffset>
              </wp:positionV>
              <wp:extent cx="7760970" cy="1419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14:paraId="4A828C38" w14:textId="6332CE90"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7C0E6F">
          <w:rPr>
            <w:b/>
            <w:bCs/>
            <w:noProof/>
          </w:rPr>
          <w:t>27</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7C0E6F">
          <w:rPr>
            <w:b/>
            <w:bCs/>
            <w:noProof/>
          </w:rPr>
          <w:t>27</w:t>
        </w:r>
        <w:r>
          <w:rPr>
            <w:b/>
            <w:bCs/>
          </w:rPr>
          <w:fldChar w:fldCharType="end"/>
        </w:r>
      </w:p>
      <w:p w14:paraId="0D4A2174" w14:textId="77777777" w:rsidR="00A804C5" w:rsidRDefault="00A804C5" w:rsidP="00FD4233">
        <w:pPr>
          <w:tabs>
            <w:tab w:val="left" w:pos="1635"/>
            <w:tab w:val="center" w:pos="5031"/>
            <w:tab w:val="left" w:pos="6360"/>
            <w:tab w:val="left" w:pos="8445"/>
            <w:tab w:val="right" w:pos="10062"/>
          </w:tabs>
        </w:pPr>
        <w:r>
          <w:tab/>
        </w:r>
        <w:r>
          <w:tab/>
        </w:r>
        <w:r>
          <w:tab/>
        </w:r>
      </w:p>
      <w:p w14:paraId="6FF22233" w14:textId="77777777" w:rsidR="00A804C5" w:rsidRDefault="00A804C5" w:rsidP="001A70A8">
        <w:pPr>
          <w:pStyle w:val="Piedepgina"/>
          <w:jc w:val="center"/>
        </w:pPr>
      </w:p>
      <w:p w14:paraId="3716EE2C" w14:textId="77777777" w:rsidR="00A804C5" w:rsidRDefault="00A804C5" w:rsidP="00FD4233">
        <w:pPr>
          <w:pStyle w:val="Piedepgina"/>
          <w:jc w:val="right"/>
        </w:pPr>
      </w:p>
      <w:p w14:paraId="05BBDA57" w14:textId="77777777" w:rsidR="00A804C5" w:rsidRDefault="00A804C5" w:rsidP="001A70A8">
        <w:pPr>
          <w:pStyle w:val="Piedepgina"/>
          <w:jc w:val="center"/>
        </w:pPr>
      </w:p>
      <w:p w14:paraId="12B3F29B" w14:textId="77777777" w:rsidR="00A804C5" w:rsidRDefault="00A804C5" w:rsidP="00AB0FF1">
        <w:pPr>
          <w:pStyle w:val="Piedepgina"/>
          <w:tabs>
            <w:tab w:val="center" w:pos="5031"/>
            <w:tab w:val="left" w:pos="8520"/>
          </w:tabs>
        </w:pPr>
        <w:r>
          <w:tab/>
        </w:r>
        <w:r>
          <w:tab/>
        </w:r>
        <w:r>
          <w:tab/>
        </w:r>
      </w:p>
    </w:sdtContent>
  </w:sdt>
  <w:p w14:paraId="1C6EE43A"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8C98" w14:textId="77777777" w:rsidR="0082089C" w:rsidRDefault="0082089C" w:rsidP="0033212B">
      <w:pPr>
        <w:spacing w:after="0" w:line="240" w:lineRule="auto"/>
      </w:pPr>
      <w:r>
        <w:separator/>
      </w:r>
    </w:p>
  </w:footnote>
  <w:footnote w:type="continuationSeparator" w:id="0">
    <w:p w14:paraId="24BA431F" w14:textId="77777777" w:rsidR="0082089C" w:rsidRDefault="0082089C" w:rsidP="0033212B">
      <w:pPr>
        <w:spacing w:after="0" w:line="240" w:lineRule="auto"/>
      </w:pPr>
      <w:r>
        <w:continuationSeparator/>
      </w:r>
    </w:p>
  </w:footnote>
  <w:footnote w:id="1">
    <w:p w14:paraId="5BDB716F" w14:textId="77777777" w:rsidR="00CC15FF" w:rsidRDefault="00CC15FF" w:rsidP="00CC15FF">
      <w:pPr>
        <w:pStyle w:val="Textonotapie"/>
        <w:rPr>
          <w:rStyle w:val="Hipervnculo"/>
          <w:sz w:val="18"/>
        </w:rPr>
      </w:pPr>
      <w:r>
        <w:rPr>
          <w:rStyle w:val="Refdenotaalpie"/>
          <w:rFonts w:ascii="HelveticaNeueLT Std" w:hAnsi="HelveticaNeueLT Std"/>
        </w:rPr>
        <w:t>[1]</w:t>
      </w:r>
      <w:r>
        <w:rPr>
          <w:rFonts w:ascii="HelveticaNeueLT Std" w:hAnsi="HelveticaNeueLT Std"/>
        </w:rPr>
        <w:t xml:space="preserve"> </w:t>
      </w:r>
      <w:r>
        <w:rPr>
          <w:rStyle w:val="Hipervnculo"/>
          <w:sz w:val="18"/>
        </w:rPr>
        <w:t>https://www.fitchratings.com/research/es/international-public-finance/fitch-affirms-national-ratings-of-ifrem-28-10-2020</w:t>
      </w:r>
    </w:p>
  </w:footnote>
  <w:footnote w:id="2">
    <w:p w14:paraId="0C9BA2F1" w14:textId="77777777" w:rsidR="00CC15FF" w:rsidRDefault="00CC15FF" w:rsidP="00CC15FF">
      <w:pPr>
        <w:pStyle w:val="Textonotapie"/>
        <w:rPr>
          <w:rFonts w:ascii="HelveticaNeueLT Std" w:hAnsi="HelveticaNeueLT Std"/>
        </w:rPr>
      </w:pPr>
      <w:r>
        <w:rPr>
          <w:rStyle w:val="Refdenotaalpie"/>
          <w:rFonts w:ascii="HelveticaNeueLT Std" w:hAnsi="HelveticaNeueLT Std"/>
        </w:rPr>
        <w:t>[2]</w:t>
      </w:r>
      <w:r>
        <w:rPr>
          <w:rFonts w:ascii="HelveticaNeueLT Std" w:hAnsi="HelveticaNeueLT Std"/>
        </w:rPr>
        <w:t xml:space="preserve"> </w:t>
      </w:r>
      <w:hyperlink r:id="rId1" w:history="1">
        <w:r>
          <w:rPr>
            <w:rStyle w:val="Hipervnculo"/>
            <w:sz w:val="18"/>
          </w:rPr>
          <w:t>https://www.standardandpoors.com/es_LA/delegate/getPDF?articleId=2485922&amp;type=NEWS&amp;subType=RATING_ACTION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B6E5" w14:textId="77777777"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67137C2F" wp14:editId="71900032">
          <wp:simplePos x="0" y="0"/>
          <wp:positionH relativeFrom="page">
            <wp:posOffset>209550</wp:posOffset>
          </wp:positionH>
          <wp:positionV relativeFrom="page">
            <wp:posOffset>161925</wp:posOffset>
          </wp:positionV>
          <wp:extent cx="7356475" cy="657225"/>
          <wp:effectExtent l="0" t="0" r="0" b="0"/>
          <wp:wrapNone/>
          <wp:docPr id="1" name="Imagen 1"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1B52" w14:textId="77777777" w:rsidR="00A804C5" w:rsidRDefault="00A804C5" w:rsidP="000316D9">
    <w:pPr>
      <w:pStyle w:val="Encabezado"/>
      <w:tabs>
        <w:tab w:val="clear" w:pos="4419"/>
        <w:tab w:val="clear" w:pos="8838"/>
      </w:tabs>
      <w:ind w:left="-1560" w:right="-1652"/>
      <w:jc w:val="center"/>
      <w:rPr>
        <w:noProof/>
        <w:lang w:eastAsia="es-MX"/>
      </w:rPr>
    </w:pPr>
  </w:p>
  <w:p w14:paraId="22701878" w14:textId="77777777" w:rsidR="00A804C5" w:rsidRDefault="00A804C5" w:rsidP="000316D9">
    <w:pPr>
      <w:pStyle w:val="Encabezado"/>
      <w:tabs>
        <w:tab w:val="clear" w:pos="4419"/>
        <w:tab w:val="clear" w:pos="8838"/>
      </w:tabs>
      <w:ind w:left="-1560" w:right="-1652"/>
      <w:jc w:val="center"/>
      <w:rPr>
        <w:noProof/>
        <w:lang w:eastAsia="es-MX"/>
      </w:rPr>
    </w:pPr>
  </w:p>
  <w:p w14:paraId="41677ADA"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0027F725" w14:textId="77777777" w:rsidR="001C21AA" w:rsidRPr="00DB1AD7" w:rsidRDefault="001C21AA" w:rsidP="001C21AA">
    <w:pPr>
      <w:pStyle w:val="Encabezado"/>
      <w:jc w:val="center"/>
      <w:rPr>
        <w:b/>
      </w:rPr>
    </w:pPr>
    <w:r w:rsidRPr="00DB1AD7">
      <w:rPr>
        <w:b/>
      </w:rPr>
      <w:t>“2021.  Año de la Consumación de la Independencia y la Grandeza de México”.</w:t>
    </w:r>
  </w:p>
  <w:p w14:paraId="1155CBD0" w14:textId="77777777" w:rsidR="00A804C5" w:rsidRPr="002D0522" w:rsidRDefault="00A804C5" w:rsidP="00E77535">
    <w:pPr>
      <w:pStyle w:val="Encabezado"/>
      <w:tabs>
        <w:tab w:val="clear" w:pos="4419"/>
        <w:tab w:val="clear" w:pos="8838"/>
      </w:tab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2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39099A"/>
    <w:multiLevelType w:val="hybridMultilevel"/>
    <w:tmpl w:val="292854E6"/>
    <w:lvl w:ilvl="0" w:tplc="871A611E">
      <w:start w:val="4"/>
      <w:numFmt w:val="upperRoman"/>
      <w:lvlText w:val="%1."/>
      <w:lvlJc w:val="left"/>
      <w:pPr>
        <w:ind w:left="1430" w:hanging="720"/>
      </w:pPr>
      <w:rPr>
        <w:rFonts w:eastAsia="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122136D0"/>
    <w:multiLevelType w:val="hybridMultilevel"/>
    <w:tmpl w:val="F47E43FE"/>
    <w:lvl w:ilvl="0" w:tplc="FB884962">
      <w:start w:val="7"/>
      <w:numFmt w:val="decimal"/>
      <w:lvlText w:val="%1."/>
      <w:lvlJc w:val="left"/>
      <w:pPr>
        <w:ind w:left="927"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9406E"/>
    <w:multiLevelType w:val="hybridMultilevel"/>
    <w:tmpl w:val="155CD16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C6E71B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AE7C0B"/>
    <w:multiLevelType w:val="hybridMultilevel"/>
    <w:tmpl w:val="6DC0BC70"/>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A5109C"/>
    <w:multiLevelType w:val="hybridMultilevel"/>
    <w:tmpl w:val="BC56CE84"/>
    <w:lvl w:ilvl="0" w:tplc="33B04AB4">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F0E749B"/>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3A2A73"/>
    <w:multiLevelType w:val="hybridMultilevel"/>
    <w:tmpl w:val="E9587970"/>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AD84045"/>
    <w:multiLevelType w:val="hybridMultilevel"/>
    <w:tmpl w:val="58B8E724"/>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43085BB8"/>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E46773"/>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DD4E67"/>
    <w:multiLevelType w:val="hybridMultilevel"/>
    <w:tmpl w:val="6DC0BC70"/>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BB016EF"/>
    <w:multiLevelType w:val="hybridMultilevel"/>
    <w:tmpl w:val="29BC7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307D5B"/>
    <w:multiLevelType w:val="hybridMultilevel"/>
    <w:tmpl w:val="F894EBEA"/>
    <w:lvl w:ilvl="0" w:tplc="A49C5CFE">
      <w:start w:val="3"/>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nsid w:val="6FC05B3D"/>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B528A5"/>
    <w:multiLevelType w:val="hybridMultilevel"/>
    <w:tmpl w:val="FF725D4A"/>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7B757B43"/>
    <w:multiLevelType w:val="hybridMultilevel"/>
    <w:tmpl w:val="84D447D6"/>
    <w:lvl w:ilvl="0" w:tplc="3476EBC6">
      <w:start w:val="1"/>
      <w:numFmt w:val="decimal"/>
      <w:lvlText w:val="%1."/>
      <w:lvlJc w:val="left"/>
      <w:pPr>
        <w:ind w:left="786"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E7A66D6"/>
    <w:multiLevelType w:val="hybridMultilevel"/>
    <w:tmpl w:val="AA6EC10E"/>
    <w:lvl w:ilvl="0" w:tplc="077A55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1"/>
  </w:num>
  <w:num w:numId="19">
    <w:abstractNumId w:val="8"/>
  </w:num>
  <w:num w:numId="20">
    <w:abstractNumId w:val="10"/>
  </w:num>
  <w:num w:numId="21">
    <w:abstractNumId w:val="0"/>
  </w:num>
  <w:num w:numId="22">
    <w:abstractNumId w:val="21"/>
  </w:num>
  <w:num w:numId="23">
    <w:abstractNumId w:val="2"/>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3"/>
  </w:num>
  <w:num w:numId="29">
    <w:abstractNumId w:val="19"/>
  </w:num>
  <w:num w:numId="30">
    <w:abstractNumId w:val="20"/>
  </w:num>
  <w:num w:numId="31">
    <w:abstractNumId w:val="12"/>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 w:numId="3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DE1"/>
    <w:rsid w:val="00022C7E"/>
    <w:rsid w:val="00024B1D"/>
    <w:rsid w:val="000251C1"/>
    <w:rsid w:val="0002536D"/>
    <w:rsid w:val="0002608C"/>
    <w:rsid w:val="000265E6"/>
    <w:rsid w:val="00026EBB"/>
    <w:rsid w:val="00030251"/>
    <w:rsid w:val="00030B0F"/>
    <w:rsid w:val="00030B5E"/>
    <w:rsid w:val="000316D9"/>
    <w:rsid w:val="000317E9"/>
    <w:rsid w:val="000326A2"/>
    <w:rsid w:val="0003577A"/>
    <w:rsid w:val="0003620D"/>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665A7"/>
    <w:rsid w:val="0007108F"/>
    <w:rsid w:val="00072B06"/>
    <w:rsid w:val="00073B8C"/>
    <w:rsid w:val="00077842"/>
    <w:rsid w:val="00077BCD"/>
    <w:rsid w:val="00077E11"/>
    <w:rsid w:val="00081271"/>
    <w:rsid w:val="0008290A"/>
    <w:rsid w:val="00082CB1"/>
    <w:rsid w:val="00083D56"/>
    <w:rsid w:val="00084D06"/>
    <w:rsid w:val="00084D64"/>
    <w:rsid w:val="00087BD1"/>
    <w:rsid w:val="00091600"/>
    <w:rsid w:val="00094250"/>
    <w:rsid w:val="00094D58"/>
    <w:rsid w:val="00094DD0"/>
    <w:rsid w:val="0009517D"/>
    <w:rsid w:val="00096447"/>
    <w:rsid w:val="000968F8"/>
    <w:rsid w:val="0009757F"/>
    <w:rsid w:val="000A081E"/>
    <w:rsid w:val="000A228A"/>
    <w:rsid w:val="000A2ADF"/>
    <w:rsid w:val="000A2B0A"/>
    <w:rsid w:val="000A30E0"/>
    <w:rsid w:val="000A3489"/>
    <w:rsid w:val="000A3DA3"/>
    <w:rsid w:val="000A43FC"/>
    <w:rsid w:val="000A46B3"/>
    <w:rsid w:val="000A4773"/>
    <w:rsid w:val="000A4B51"/>
    <w:rsid w:val="000A4CD9"/>
    <w:rsid w:val="000A4FB8"/>
    <w:rsid w:val="000A52F1"/>
    <w:rsid w:val="000A7CAE"/>
    <w:rsid w:val="000B027A"/>
    <w:rsid w:val="000B03BB"/>
    <w:rsid w:val="000B07D7"/>
    <w:rsid w:val="000B0F33"/>
    <w:rsid w:val="000B124F"/>
    <w:rsid w:val="000B14E6"/>
    <w:rsid w:val="000C0132"/>
    <w:rsid w:val="000C08D7"/>
    <w:rsid w:val="000C5056"/>
    <w:rsid w:val="000C5544"/>
    <w:rsid w:val="000C6766"/>
    <w:rsid w:val="000C7DD0"/>
    <w:rsid w:val="000D01F5"/>
    <w:rsid w:val="000D09FF"/>
    <w:rsid w:val="000D1290"/>
    <w:rsid w:val="000D1B63"/>
    <w:rsid w:val="000D40F1"/>
    <w:rsid w:val="000D5865"/>
    <w:rsid w:val="000D5A73"/>
    <w:rsid w:val="000E0552"/>
    <w:rsid w:val="000E31FD"/>
    <w:rsid w:val="000E38D9"/>
    <w:rsid w:val="000E5435"/>
    <w:rsid w:val="000E57F1"/>
    <w:rsid w:val="000E6089"/>
    <w:rsid w:val="000E650B"/>
    <w:rsid w:val="000E7537"/>
    <w:rsid w:val="000F0D32"/>
    <w:rsid w:val="000F401A"/>
    <w:rsid w:val="000F4A95"/>
    <w:rsid w:val="000F4FF2"/>
    <w:rsid w:val="000F737A"/>
    <w:rsid w:val="00100535"/>
    <w:rsid w:val="00105047"/>
    <w:rsid w:val="00105746"/>
    <w:rsid w:val="001104E6"/>
    <w:rsid w:val="001104EE"/>
    <w:rsid w:val="00110CC9"/>
    <w:rsid w:val="001120FF"/>
    <w:rsid w:val="00113064"/>
    <w:rsid w:val="001135F5"/>
    <w:rsid w:val="00114174"/>
    <w:rsid w:val="00116705"/>
    <w:rsid w:val="001167C1"/>
    <w:rsid w:val="00116959"/>
    <w:rsid w:val="00121D31"/>
    <w:rsid w:val="0012306F"/>
    <w:rsid w:val="00123396"/>
    <w:rsid w:val="00124778"/>
    <w:rsid w:val="00124F83"/>
    <w:rsid w:val="00125235"/>
    <w:rsid w:val="001255FF"/>
    <w:rsid w:val="00130387"/>
    <w:rsid w:val="00130799"/>
    <w:rsid w:val="00130EA5"/>
    <w:rsid w:val="0013435D"/>
    <w:rsid w:val="00136FAC"/>
    <w:rsid w:val="00140429"/>
    <w:rsid w:val="00142DF7"/>
    <w:rsid w:val="001433AD"/>
    <w:rsid w:val="001436FB"/>
    <w:rsid w:val="00143879"/>
    <w:rsid w:val="0014449F"/>
    <w:rsid w:val="00145AB1"/>
    <w:rsid w:val="00145D52"/>
    <w:rsid w:val="00152B8F"/>
    <w:rsid w:val="00152CE4"/>
    <w:rsid w:val="001539BB"/>
    <w:rsid w:val="00153C26"/>
    <w:rsid w:val="00154103"/>
    <w:rsid w:val="00154D1C"/>
    <w:rsid w:val="00155156"/>
    <w:rsid w:val="00155462"/>
    <w:rsid w:val="001554DD"/>
    <w:rsid w:val="00155A9D"/>
    <w:rsid w:val="001570DC"/>
    <w:rsid w:val="001600FB"/>
    <w:rsid w:val="0016041F"/>
    <w:rsid w:val="00160821"/>
    <w:rsid w:val="0016279D"/>
    <w:rsid w:val="0016302E"/>
    <w:rsid w:val="00163812"/>
    <w:rsid w:val="0016506D"/>
    <w:rsid w:val="001678EA"/>
    <w:rsid w:val="00170FB5"/>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F2F"/>
    <w:rsid w:val="00184BE1"/>
    <w:rsid w:val="00185A49"/>
    <w:rsid w:val="00191331"/>
    <w:rsid w:val="00191E56"/>
    <w:rsid w:val="001945FE"/>
    <w:rsid w:val="00194F29"/>
    <w:rsid w:val="00195ADE"/>
    <w:rsid w:val="001A02F9"/>
    <w:rsid w:val="001A0DBE"/>
    <w:rsid w:val="001A3EA4"/>
    <w:rsid w:val="001A42C4"/>
    <w:rsid w:val="001A6D07"/>
    <w:rsid w:val="001A70A8"/>
    <w:rsid w:val="001A72CA"/>
    <w:rsid w:val="001B054A"/>
    <w:rsid w:val="001B0613"/>
    <w:rsid w:val="001B1326"/>
    <w:rsid w:val="001B1E2C"/>
    <w:rsid w:val="001B3BFD"/>
    <w:rsid w:val="001B4811"/>
    <w:rsid w:val="001B6A78"/>
    <w:rsid w:val="001B79F0"/>
    <w:rsid w:val="001B7A3D"/>
    <w:rsid w:val="001C1913"/>
    <w:rsid w:val="001C21AA"/>
    <w:rsid w:val="001C2D9F"/>
    <w:rsid w:val="001C32DD"/>
    <w:rsid w:val="001C33D8"/>
    <w:rsid w:val="001C36BA"/>
    <w:rsid w:val="001C6622"/>
    <w:rsid w:val="001C714E"/>
    <w:rsid w:val="001C72C4"/>
    <w:rsid w:val="001D114A"/>
    <w:rsid w:val="001D1BE7"/>
    <w:rsid w:val="001D237E"/>
    <w:rsid w:val="001D5057"/>
    <w:rsid w:val="001D5210"/>
    <w:rsid w:val="001D5A6E"/>
    <w:rsid w:val="001D74CB"/>
    <w:rsid w:val="001D793E"/>
    <w:rsid w:val="001E06EF"/>
    <w:rsid w:val="001E116D"/>
    <w:rsid w:val="001E1B89"/>
    <w:rsid w:val="001E25C6"/>
    <w:rsid w:val="001E396C"/>
    <w:rsid w:val="001E4762"/>
    <w:rsid w:val="001E4D68"/>
    <w:rsid w:val="001E5489"/>
    <w:rsid w:val="001F05AD"/>
    <w:rsid w:val="001F0CE1"/>
    <w:rsid w:val="001F1301"/>
    <w:rsid w:val="001F1B28"/>
    <w:rsid w:val="001F1EE1"/>
    <w:rsid w:val="001F1FF9"/>
    <w:rsid w:val="001F5305"/>
    <w:rsid w:val="001F58A5"/>
    <w:rsid w:val="001F69B3"/>
    <w:rsid w:val="001F78BE"/>
    <w:rsid w:val="00200343"/>
    <w:rsid w:val="00200637"/>
    <w:rsid w:val="00201773"/>
    <w:rsid w:val="0020245B"/>
    <w:rsid w:val="0020644C"/>
    <w:rsid w:val="00207337"/>
    <w:rsid w:val="002124D1"/>
    <w:rsid w:val="002134C1"/>
    <w:rsid w:val="00213972"/>
    <w:rsid w:val="00216916"/>
    <w:rsid w:val="00216D3C"/>
    <w:rsid w:val="002174D6"/>
    <w:rsid w:val="00217C12"/>
    <w:rsid w:val="002201A1"/>
    <w:rsid w:val="00221377"/>
    <w:rsid w:val="00221CB3"/>
    <w:rsid w:val="002234BC"/>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011"/>
    <w:rsid w:val="00243580"/>
    <w:rsid w:val="00244598"/>
    <w:rsid w:val="00245317"/>
    <w:rsid w:val="0024535F"/>
    <w:rsid w:val="00246044"/>
    <w:rsid w:val="002465BB"/>
    <w:rsid w:val="0025080E"/>
    <w:rsid w:val="00251395"/>
    <w:rsid w:val="00251DC8"/>
    <w:rsid w:val="00252E44"/>
    <w:rsid w:val="00256473"/>
    <w:rsid w:val="00256F96"/>
    <w:rsid w:val="002577A6"/>
    <w:rsid w:val="00261FAB"/>
    <w:rsid w:val="00264D0E"/>
    <w:rsid w:val="00267222"/>
    <w:rsid w:val="0026744F"/>
    <w:rsid w:val="00272116"/>
    <w:rsid w:val="00272BA0"/>
    <w:rsid w:val="002734FE"/>
    <w:rsid w:val="00273EB5"/>
    <w:rsid w:val="00274345"/>
    <w:rsid w:val="00276066"/>
    <w:rsid w:val="002804D1"/>
    <w:rsid w:val="00280535"/>
    <w:rsid w:val="00280B40"/>
    <w:rsid w:val="0028147E"/>
    <w:rsid w:val="002859B7"/>
    <w:rsid w:val="00287E5C"/>
    <w:rsid w:val="002909EB"/>
    <w:rsid w:val="00290EEC"/>
    <w:rsid w:val="002911AD"/>
    <w:rsid w:val="00292418"/>
    <w:rsid w:val="00293DA7"/>
    <w:rsid w:val="00296101"/>
    <w:rsid w:val="002969C0"/>
    <w:rsid w:val="002A193B"/>
    <w:rsid w:val="002A2AAD"/>
    <w:rsid w:val="002A5B22"/>
    <w:rsid w:val="002A7A96"/>
    <w:rsid w:val="002B010B"/>
    <w:rsid w:val="002B0BED"/>
    <w:rsid w:val="002B208A"/>
    <w:rsid w:val="002B23B8"/>
    <w:rsid w:val="002B25A0"/>
    <w:rsid w:val="002B344E"/>
    <w:rsid w:val="002B6494"/>
    <w:rsid w:val="002B747B"/>
    <w:rsid w:val="002B7DCD"/>
    <w:rsid w:val="002C089B"/>
    <w:rsid w:val="002C1500"/>
    <w:rsid w:val="002C2C79"/>
    <w:rsid w:val="002C44BF"/>
    <w:rsid w:val="002C6A51"/>
    <w:rsid w:val="002D0522"/>
    <w:rsid w:val="002D0E71"/>
    <w:rsid w:val="002D109B"/>
    <w:rsid w:val="002D1F2E"/>
    <w:rsid w:val="002D29BC"/>
    <w:rsid w:val="002D2E53"/>
    <w:rsid w:val="002D4356"/>
    <w:rsid w:val="002D5D22"/>
    <w:rsid w:val="002E0E52"/>
    <w:rsid w:val="002E2A81"/>
    <w:rsid w:val="002E2BBF"/>
    <w:rsid w:val="002E378E"/>
    <w:rsid w:val="002E3C79"/>
    <w:rsid w:val="002E3F40"/>
    <w:rsid w:val="002E3F91"/>
    <w:rsid w:val="002E4880"/>
    <w:rsid w:val="002E55E9"/>
    <w:rsid w:val="002E5B37"/>
    <w:rsid w:val="002E60BB"/>
    <w:rsid w:val="002E63CE"/>
    <w:rsid w:val="002E7BFD"/>
    <w:rsid w:val="002F105D"/>
    <w:rsid w:val="002F1339"/>
    <w:rsid w:val="002F29EA"/>
    <w:rsid w:val="002F561B"/>
    <w:rsid w:val="002F7710"/>
    <w:rsid w:val="002F7CAF"/>
    <w:rsid w:val="002F7EB5"/>
    <w:rsid w:val="00300C9C"/>
    <w:rsid w:val="00301158"/>
    <w:rsid w:val="003042BB"/>
    <w:rsid w:val="003047F9"/>
    <w:rsid w:val="00305455"/>
    <w:rsid w:val="00306181"/>
    <w:rsid w:val="00307B73"/>
    <w:rsid w:val="003122EC"/>
    <w:rsid w:val="003135E5"/>
    <w:rsid w:val="00316036"/>
    <w:rsid w:val="0031644B"/>
    <w:rsid w:val="003166CE"/>
    <w:rsid w:val="00316D48"/>
    <w:rsid w:val="00316D5D"/>
    <w:rsid w:val="00316DEB"/>
    <w:rsid w:val="00320151"/>
    <w:rsid w:val="00320C0E"/>
    <w:rsid w:val="00321046"/>
    <w:rsid w:val="003217AE"/>
    <w:rsid w:val="00322CA9"/>
    <w:rsid w:val="0032595A"/>
    <w:rsid w:val="00325C4D"/>
    <w:rsid w:val="00331541"/>
    <w:rsid w:val="0033212B"/>
    <w:rsid w:val="00333772"/>
    <w:rsid w:val="0033471E"/>
    <w:rsid w:val="00336040"/>
    <w:rsid w:val="0033665F"/>
    <w:rsid w:val="00340572"/>
    <w:rsid w:val="00340A9D"/>
    <w:rsid w:val="003432D8"/>
    <w:rsid w:val="00343555"/>
    <w:rsid w:val="00343EFA"/>
    <w:rsid w:val="0034689D"/>
    <w:rsid w:val="00346E2E"/>
    <w:rsid w:val="003476D9"/>
    <w:rsid w:val="00347A93"/>
    <w:rsid w:val="0035214D"/>
    <w:rsid w:val="00352817"/>
    <w:rsid w:val="003537A0"/>
    <w:rsid w:val="0035391C"/>
    <w:rsid w:val="00353F8B"/>
    <w:rsid w:val="003542D6"/>
    <w:rsid w:val="00354592"/>
    <w:rsid w:val="003547B9"/>
    <w:rsid w:val="00356AAE"/>
    <w:rsid w:val="00356C4C"/>
    <w:rsid w:val="00356CF2"/>
    <w:rsid w:val="00361EF9"/>
    <w:rsid w:val="00362C2A"/>
    <w:rsid w:val="00363D07"/>
    <w:rsid w:val="003648E4"/>
    <w:rsid w:val="003651B1"/>
    <w:rsid w:val="0036630F"/>
    <w:rsid w:val="00367E78"/>
    <w:rsid w:val="00370BA2"/>
    <w:rsid w:val="00370DAC"/>
    <w:rsid w:val="0037181F"/>
    <w:rsid w:val="00372A64"/>
    <w:rsid w:val="003734DF"/>
    <w:rsid w:val="00373AD7"/>
    <w:rsid w:val="00373C05"/>
    <w:rsid w:val="00374D28"/>
    <w:rsid w:val="0037547A"/>
    <w:rsid w:val="00375A6D"/>
    <w:rsid w:val="00376CAF"/>
    <w:rsid w:val="0038035B"/>
    <w:rsid w:val="003807BD"/>
    <w:rsid w:val="00380CB3"/>
    <w:rsid w:val="0038121B"/>
    <w:rsid w:val="003826EC"/>
    <w:rsid w:val="0038291E"/>
    <w:rsid w:val="00383861"/>
    <w:rsid w:val="0038425C"/>
    <w:rsid w:val="003846FC"/>
    <w:rsid w:val="00390BB9"/>
    <w:rsid w:val="00392564"/>
    <w:rsid w:val="003936EC"/>
    <w:rsid w:val="0039385E"/>
    <w:rsid w:val="00394024"/>
    <w:rsid w:val="00394278"/>
    <w:rsid w:val="00396D4F"/>
    <w:rsid w:val="003A05A0"/>
    <w:rsid w:val="003A2CD8"/>
    <w:rsid w:val="003A39D3"/>
    <w:rsid w:val="003A3A0B"/>
    <w:rsid w:val="003A4CCC"/>
    <w:rsid w:val="003A50C1"/>
    <w:rsid w:val="003A53F6"/>
    <w:rsid w:val="003A7B09"/>
    <w:rsid w:val="003B2588"/>
    <w:rsid w:val="003B3E10"/>
    <w:rsid w:val="003B6142"/>
    <w:rsid w:val="003C037F"/>
    <w:rsid w:val="003C03E7"/>
    <w:rsid w:val="003C09F5"/>
    <w:rsid w:val="003C0FA2"/>
    <w:rsid w:val="003C1F1B"/>
    <w:rsid w:val="003C2649"/>
    <w:rsid w:val="003C5964"/>
    <w:rsid w:val="003C5EF2"/>
    <w:rsid w:val="003C6C0E"/>
    <w:rsid w:val="003C7D90"/>
    <w:rsid w:val="003D03BC"/>
    <w:rsid w:val="003D1F6A"/>
    <w:rsid w:val="003D3B9A"/>
    <w:rsid w:val="003D515A"/>
    <w:rsid w:val="003D677E"/>
    <w:rsid w:val="003D7170"/>
    <w:rsid w:val="003D73E4"/>
    <w:rsid w:val="003D79D8"/>
    <w:rsid w:val="003D7CBE"/>
    <w:rsid w:val="003E5B9A"/>
    <w:rsid w:val="003E779C"/>
    <w:rsid w:val="003F0258"/>
    <w:rsid w:val="003F07F3"/>
    <w:rsid w:val="003F18B1"/>
    <w:rsid w:val="003F517E"/>
    <w:rsid w:val="003F68A6"/>
    <w:rsid w:val="003F6EAF"/>
    <w:rsid w:val="003F76F5"/>
    <w:rsid w:val="003F77FC"/>
    <w:rsid w:val="00402DCF"/>
    <w:rsid w:val="004039C8"/>
    <w:rsid w:val="00403D57"/>
    <w:rsid w:val="004047EA"/>
    <w:rsid w:val="004059A4"/>
    <w:rsid w:val="00407871"/>
    <w:rsid w:val="00407A26"/>
    <w:rsid w:val="00407C3C"/>
    <w:rsid w:val="00412FBB"/>
    <w:rsid w:val="004161C8"/>
    <w:rsid w:val="00416639"/>
    <w:rsid w:val="00416696"/>
    <w:rsid w:val="00416D8B"/>
    <w:rsid w:val="004172FF"/>
    <w:rsid w:val="0041778B"/>
    <w:rsid w:val="00422466"/>
    <w:rsid w:val="00422EE1"/>
    <w:rsid w:val="00424CE4"/>
    <w:rsid w:val="00425087"/>
    <w:rsid w:val="00425ED0"/>
    <w:rsid w:val="004264A2"/>
    <w:rsid w:val="00430CC0"/>
    <w:rsid w:val="00430DBD"/>
    <w:rsid w:val="00431246"/>
    <w:rsid w:val="004314D0"/>
    <w:rsid w:val="0043257C"/>
    <w:rsid w:val="00432E72"/>
    <w:rsid w:val="00433D91"/>
    <w:rsid w:val="00435EDC"/>
    <w:rsid w:val="00436399"/>
    <w:rsid w:val="004378BA"/>
    <w:rsid w:val="00440F0A"/>
    <w:rsid w:val="00441158"/>
    <w:rsid w:val="00443064"/>
    <w:rsid w:val="00443B86"/>
    <w:rsid w:val="004443F1"/>
    <w:rsid w:val="004448D3"/>
    <w:rsid w:val="0044500C"/>
    <w:rsid w:val="004469C7"/>
    <w:rsid w:val="004472ED"/>
    <w:rsid w:val="004500FD"/>
    <w:rsid w:val="004509A1"/>
    <w:rsid w:val="004520EC"/>
    <w:rsid w:val="0045241E"/>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3A69"/>
    <w:rsid w:val="00494444"/>
    <w:rsid w:val="0049527E"/>
    <w:rsid w:val="004A0297"/>
    <w:rsid w:val="004A0A66"/>
    <w:rsid w:val="004A1DEA"/>
    <w:rsid w:val="004A2C5A"/>
    <w:rsid w:val="004A3EEB"/>
    <w:rsid w:val="004A4070"/>
    <w:rsid w:val="004A4621"/>
    <w:rsid w:val="004A5E62"/>
    <w:rsid w:val="004A7DE6"/>
    <w:rsid w:val="004A7E69"/>
    <w:rsid w:val="004B02A5"/>
    <w:rsid w:val="004B12FB"/>
    <w:rsid w:val="004B276F"/>
    <w:rsid w:val="004B437E"/>
    <w:rsid w:val="004B580C"/>
    <w:rsid w:val="004B60E1"/>
    <w:rsid w:val="004B6E4E"/>
    <w:rsid w:val="004B7331"/>
    <w:rsid w:val="004B75FD"/>
    <w:rsid w:val="004B7798"/>
    <w:rsid w:val="004C0175"/>
    <w:rsid w:val="004C21AF"/>
    <w:rsid w:val="004C2625"/>
    <w:rsid w:val="004C2985"/>
    <w:rsid w:val="004C34C6"/>
    <w:rsid w:val="004C4D2F"/>
    <w:rsid w:val="004C615E"/>
    <w:rsid w:val="004C657B"/>
    <w:rsid w:val="004C6C82"/>
    <w:rsid w:val="004C7131"/>
    <w:rsid w:val="004D25FE"/>
    <w:rsid w:val="004D2D73"/>
    <w:rsid w:val="004D31AC"/>
    <w:rsid w:val="004D3578"/>
    <w:rsid w:val="004D4C6E"/>
    <w:rsid w:val="004D51CE"/>
    <w:rsid w:val="004D5518"/>
    <w:rsid w:val="004D552B"/>
    <w:rsid w:val="004E18BD"/>
    <w:rsid w:val="004E32A4"/>
    <w:rsid w:val="004E50D3"/>
    <w:rsid w:val="004E5AD9"/>
    <w:rsid w:val="004E5C54"/>
    <w:rsid w:val="004E600D"/>
    <w:rsid w:val="004E62E7"/>
    <w:rsid w:val="004E7071"/>
    <w:rsid w:val="004F0F88"/>
    <w:rsid w:val="004F206A"/>
    <w:rsid w:val="004F211E"/>
    <w:rsid w:val="004F40BC"/>
    <w:rsid w:val="004F62FB"/>
    <w:rsid w:val="004F7873"/>
    <w:rsid w:val="00500553"/>
    <w:rsid w:val="005007BC"/>
    <w:rsid w:val="00500D5E"/>
    <w:rsid w:val="005021B6"/>
    <w:rsid w:val="00502422"/>
    <w:rsid w:val="00502F90"/>
    <w:rsid w:val="0050315F"/>
    <w:rsid w:val="005031D3"/>
    <w:rsid w:val="00503F8F"/>
    <w:rsid w:val="0050418D"/>
    <w:rsid w:val="00504220"/>
    <w:rsid w:val="0050496B"/>
    <w:rsid w:val="005056FB"/>
    <w:rsid w:val="00505DD1"/>
    <w:rsid w:val="005061FC"/>
    <w:rsid w:val="00506F2B"/>
    <w:rsid w:val="00511D50"/>
    <w:rsid w:val="00512E7C"/>
    <w:rsid w:val="00516075"/>
    <w:rsid w:val="00516FE9"/>
    <w:rsid w:val="00521768"/>
    <w:rsid w:val="005232EF"/>
    <w:rsid w:val="005236DD"/>
    <w:rsid w:val="0052527A"/>
    <w:rsid w:val="00525B78"/>
    <w:rsid w:val="0052620D"/>
    <w:rsid w:val="00530C8F"/>
    <w:rsid w:val="005315CD"/>
    <w:rsid w:val="005315E2"/>
    <w:rsid w:val="00531E46"/>
    <w:rsid w:val="00531E6D"/>
    <w:rsid w:val="0053225F"/>
    <w:rsid w:val="00533D60"/>
    <w:rsid w:val="00535EEE"/>
    <w:rsid w:val="00537876"/>
    <w:rsid w:val="00540099"/>
    <w:rsid w:val="005401DA"/>
    <w:rsid w:val="005403BE"/>
    <w:rsid w:val="00540D74"/>
    <w:rsid w:val="005422C9"/>
    <w:rsid w:val="005424DC"/>
    <w:rsid w:val="0054261B"/>
    <w:rsid w:val="0054345B"/>
    <w:rsid w:val="00543F0C"/>
    <w:rsid w:val="0054413A"/>
    <w:rsid w:val="0054468D"/>
    <w:rsid w:val="0054544A"/>
    <w:rsid w:val="0054583C"/>
    <w:rsid w:val="00545FCF"/>
    <w:rsid w:val="0054602F"/>
    <w:rsid w:val="00546879"/>
    <w:rsid w:val="00553633"/>
    <w:rsid w:val="00553AFE"/>
    <w:rsid w:val="00553E8A"/>
    <w:rsid w:val="005564DB"/>
    <w:rsid w:val="005568CC"/>
    <w:rsid w:val="00556E77"/>
    <w:rsid w:val="00557B56"/>
    <w:rsid w:val="00560D30"/>
    <w:rsid w:val="00561128"/>
    <w:rsid w:val="00561944"/>
    <w:rsid w:val="00563832"/>
    <w:rsid w:val="005664C2"/>
    <w:rsid w:val="00566ACC"/>
    <w:rsid w:val="005675CB"/>
    <w:rsid w:val="005676F9"/>
    <w:rsid w:val="00567F22"/>
    <w:rsid w:val="005712CC"/>
    <w:rsid w:val="00571B2E"/>
    <w:rsid w:val="005742F2"/>
    <w:rsid w:val="005749BF"/>
    <w:rsid w:val="00575F71"/>
    <w:rsid w:val="00576382"/>
    <w:rsid w:val="005775FD"/>
    <w:rsid w:val="00577D1D"/>
    <w:rsid w:val="00580993"/>
    <w:rsid w:val="005838D0"/>
    <w:rsid w:val="00583F1C"/>
    <w:rsid w:val="00585C33"/>
    <w:rsid w:val="0058618A"/>
    <w:rsid w:val="00586CC3"/>
    <w:rsid w:val="00587023"/>
    <w:rsid w:val="00587690"/>
    <w:rsid w:val="005918DD"/>
    <w:rsid w:val="005920E2"/>
    <w:rsid w:val="00592EEE"/>
    <w:rsid w:val="00595F7B"/>
    <w:rsid w:val="0059721A"/>
    <w:rsid w:val="00597F23"/>
    <w:rsid w:val="005A04FC"/>
    <w:rsid w:val="005A152D"/>
    <w:rsid w:val="005A19BD"/>
    <w:rsid w:val="005A2590"/>
    <w:rsid w:val="005A2D24"/>
    <w:rsid w:val="005A30FD"/>
    <w:rsid w:val="005A3ADB"/>
    <w:rsid w:val="005A56C3"/>
    <w:rsid w:val="005A71C4"/>
    <w:rsid w:val="005B0384"/>
    <w:rsid w:val="005B07E5"/>
    <w:rsid w:val="005B0C56"/>
    <w:rsid w:val="005B0D19"/>
    <w:rsid w:val="005B1A6C"/>
    <w:rsid w:val="005B1BC5"/>
    <w:rsid w:val="005B249B"/>
    <w:rsid w:val="005B2CC3"/>
    <w:rsid w:val="005B2D41"/>
    <w:rsid w:val="005B3276"/>
    <w:rsid w:val="005B362E"/>
    <w:rsid w:val="005B37BE"/>
    <w:rsid w:val="005B5595"/>
    <w:rsid w:val="005B7E9C"/>
    <w:rsid w:val="005C0109"/>
    <w:rsid w:val="005C31E4"/>
    <w:rsid w:val="005C38DA"/>
    <w:rsid w:val="005C5D67"/>
    <w:rsid w:val="005C7E42"/>
    <w:rsid w:val="005D0ABE"/>
    <w:rsid w:val="005D19DA"/>
    <w:rsid w:val="005D1E9E"/>
    <w:rsid w:val="005D1EF0"/>
    <w:rsid w:val="005D3019"/>
    <w:rsid w:val="005D6F75"/>
    <w:rsid w:val="005E1C2B"/>
    <w:rsid w:val="005E1F09"/>
    <w:rsid w:val="005E24DE"/>
    <w:rsid w:val="005E256A"/>
    <w:rsid w:val="005E6375"/>
    <w:rsid w:val="005E71C8"/>
    <w:rsid w:val="005F08E3"/>
    <w:rsid w:val="005F2A70"/>
    <w:rsid w:val="005F49EE"/>
    <w:rsid w:val="005F4D2A"/>
    <w:rsid w:val="005F5123"/>
    <w:rsid w:val="005F6990"/>
    <w:rsid w:val="005F78B1"/>
    <w:rsid w:val="006009FE"/>
    <w:rsid w:val="00601E78"/>
    <w:rsid w:val="00601EF7"/>
    <w:rsid w:val="006036C9"/>
    <w:rsid w:val="0060466F"/>
    <w:rsid w:val="00605468"/>
    <w:rsid w:val="00605E19"/>
    <w:rsid w:val="00606708"/>
    <w:rsid w:val="00614281"/>
    <w:rsid w:val="006144D0"/>
    <w:rsid w:val="00615FD2"/>
    <w:rsid w:val="00621960"/>
    <w:rsid w:val="00625B63"/>
    <w:rsid w:val="00626153"/>
    <w:rsid w:val="006263F4"/>
    <w:rsid w:val="00626624"/>
    <w:rsid w:val="00626837"/>
    <w:rsid w:val="00627139"/>
    <w:rsid w:val="00627646"/>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20D8"/>
    <w:rsid w:val="006550DA"/>
    <w:rsid w:val="00656782"/>
    <w:rsid w:val="006606B4"/>
    <w:rsid w:val="00661E50"/>
    <w:rsid w:val="00663398"/>
    <w:rsid w:val="00664E0B"/>
    <w:rsid w:val="0066623A"/>
    <w:rsid w:val="00666E99"/>
    <w:rsid w:val="00666FD1"/>
    <w:rsid w:val="006672D5"/>
    <w:rsid w:val="00670AFA"/>
    <w:rsid w:val="00672170"/>
    <w:rsid w:val="006728A2"/>
    <w:rsid w:val="00674801"/>
    <w:rsid w:val="00674E6E"/>
    <w:rsid w:val="00677C31"/>
    <w:rsid w:val="00680A49"/>
    <w:rsid w:val="00680B0D"/>
    <w:rsid w:val="00682688"/>
    <w:rsid w:val="00682EDD"/>
    <w:rsid w:val="00684B58"/>
    <w:rsid w:val="006879C5"/>
    <w:rsid w:val="00687CE9"/>
    <w:rsid w:val="00687E64"/>
    <w:rsid w:val="0069055E"/>
    <w:rsid w:val="0069079F"/>
    <w:rsid w:val="00690B43"/>
    <w:rsid w:val="006927F6"/>
    <w:rsid w:val="00692FA9"/>
    <w:rsid w:val="0069441D"/>
    <w:rsid w:val="00697072"/>
    <w:rsid w:val="006A0458"/>
    <w:rsid w:val="006A10CB"/>
    <w:rsid w:val="006A26F4"/>
    <w:rsid w:val="006A4D9A"/>
    <w:rsid w:val="006B2EFF"/>
    <w:rsid w:val="006B39D4"/>
    <w:rsid w:val="006B6C74"/>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169E"/>
    <w:rsid w:val="006D4910"/>
    <w:rsid w:val="006D4E0F"/>
    <w:rsid w:val="006D59EE"/>
    <w:rsid w:val="006D64B9"/>
    <w:rsid w:val="006D67E8"/>
    <w:rsid w:val="006D7A83"/>
    <w:rsid w:val="006E0139"/>
    <w:rsid w:val="006E0827"/>
    <w:rsid w:val="006E143D"/>
    <w:rsid w:val="006E3956"/>
    <w:rsid w:val="006E4343"/>
    <w:rsid w:val="006E7E9B"/>
    <w:rsid w:val="006F0622"/>
    <w:rsid w:val="006F13E1"/>
    <w:rsid w:val="006F1462"/>
    <w:rsid w:val="006F3551"/>
    <w:rsid w:val="006F3847"/>
    <w:rsid w:val="006F452D"/>
    <w:rsid w:val="006F4BB9"/>
    <w:rsid w:val="007006B5"/>
    <w:rsid w:val="007063EF"/>
    <w:rsid w:val="007068B0"/>
    <w:rsid w:val="00707787"/>
    <w:rsid w:val="007079A7"/>
    <w:rsid w:val="007117A5"/>
    <w:rsid w:val="00711A9F"/>
    <w:rsid w:val="00714562"/>
    <w:rsid w:val="00714FBB"/>
    <w:rsid w:val="00717D74"/>
    <w:rsid w:val="0072028F"/>
    <w:rsid w:val="0072130F"/>
    <w:rsid w:val="00721F8D"/>
    <w:rsid w:val="007230C9"/>
    <w:rsid w:val="007233C2"/>
    <w:rsid w:val="007239A4"/>
    <w:rsid w:val="007240D6"/>
    <w:rsid w:val="0072571C"/>
    <w:rsid w:val="00725891"/>
    <w:rsid w:val="00725C9B"/>
    <w:rsid w:val="0072654B"/>
    <w:rsid w:val="00726A0A"/>
    <w:rsid w:val="00727B8C"/>
    <w:rsid w:val="007301D1"/>
    <w:rsid w:val="00731A5E"/>
    <w:rsid w:val="007325F2"/>
    <w:rsid w:val="00732F90"/>
    <w:rsid w:val="007338F6"/>
    <w:rsid w:val="007345BE"/>
    <w:rsid w:val="00735DD5"/>
    <w:rsid w:val="00736C5F"/>
    <w:rsid w:val="007408E5"/>
    <w:rsid w:val="00741A01"/>
    <w:rsid w:val="007443F9"/>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BE2"/>
    <w:rsid w:val="00756076"/>
    <w:rsid w:val="0075655B"/>
    <w:rsid w:val="00756B31"/>
    <w:rsid w:val="00757FE6"/>
    <w:rsid w:val="00760B58"/>
    <w:rsid w:val="00760E82"/>
    <w:rsid w:val="00761032"/>
    <w:rsid w:val="00761311"/>
    <w:rsid w:val="007623BC"/>
    <w:rsid w:val="007628FC"/>
    <w:rsid w:val="00763B0C"/>
    <w:rsid w:val="00764597"/>
    <w:rsid w:val="007646CA"/>
    <w:rsid w:val="00764ACA"/>
    <w:rsid w:val="00765B40"/>
    <w:rsid w:val="00766978"/>
    <w:rsid w:val="00774172"/>
    <w:rsid w:val="00775047"/>
    <w:rsid w:val="00781304"/>
    <w:rsid w:val="00783D18"/>
    <w:rsid w:val="00783DEF"/>
    <w:rsid w:val="00783F66"/>
    <w:rsid w:val="0078429D"/>
    <w:rsid w:val="00784929"/>
    <w:rsid w:val="00784C3E"/>
    <w:rsid w:val="00786F7D"/>
    <w:rsid w:val="0079040C"/>
    <w:rsid w:val="0079110E"/>
    <w:rsid w:val="0079137D"/>
    <w:rsid w:val="00791488"/>
    <w:rsid w:val="00791C27"/>
    <w:rsid w:val="00792087"/>
    <w:rsid w:val="00792CCB"/>
    <w:rsid w:val="00792D61"/>
    <w:rsid w:val="00793AE1"/>
    <w:rsid w:val="00793CAB"/>
    <w:rsid w:val="0079423F"/>
    <w:rsid w:val="00794309"/>
    <w:rsid w:val="00795F73"/>
    <w:rsid w:val="00796C8A"/>
    <w:rsid w:val="007971CE"/>
    <w:rsid w:val="007A0667"/>
    <w:rsid w:val="007A1B58"/>
    <w:rsid w:val="007A21BE"/>
    <w:rsid w:val="007A30C7"/>
    <w:rsid w:val="007A46CB"/>
    <w:rsid w:val="007A5204"/>
    <w:rsid w:val="007A586B"/>
    <w:rsid w:val="007A5DB9"/>
    <w:rsid w:val="007A67F3"/>
    <w:rsid w:val="007A7E25"/>
    <w:rsid w:val="007B0AE7"/>
    <w:rsid w:val="007B3BFE"/>
    <w:rsid w:val="007B5B7F"/>
    <w:rsid w:val="007C042A"/>
    <w:rsid w:val="007C091C"/>
    <w:rsid w:val="007C0E6F"/>
    <w:rsid w:val="007C2D07"/>
    <w:rsid w:val="007C593C"/>
    <w:rsid w:val="007C5FDC"/>
    <w:rsid w:val="007C6090"/>
    <w:rsid w:val="007C701B"/>
    <w:rsid w:val="007C7046"/>
    <w:rsid w:val="007D01C2"/>
    <w:rsid w:val="007D292F"/>
    <w:rsid w:val="007D2F15"/>
    <w:rsid w:val="007D3D8E"/>
    <w:rsid w:val="007D3EBF"/>
    <w:rsid w:val="007D400C"/>
    <w:rsid w:val="007D4FFD"/>
    <w:rsid w:val="007D5713"/>
    <w:rsid w:val="007E1BD5"/>
    <w:rsid w:val="007E2496"/>
    <w:rsid w:val="007E26E8"/>
    <w:rsid w:val="007E2E82"/>
    <w:rsid w:val="007E4E7D"/>
    <w:rsid w:val="007E59A7"/>
    <w:rsid w:val="007E5D5E"/>
    <w:rsid w:val="007F0899"/>
    <w:rsid w:val="007F0B55"/>
    <w:rsid w:val="007F0F78"/>
    <w:rsid w:val="007F1BA7"/>
    <w:rsid w:val="007F1C30"/>
    <w:rsid w:val="007F251E"/>
    <w:rsid w:val="007F2B29"/>
    <w:rsid w:val="007F3097"/>
    <w:rsid w:val="007F5068"/>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755B"/>
    <w:rsid w:val="00807DF0"/>
    <w:rsid w:val="00810C25"/>
    <w:rsid w:val="00811740"/>
    <w:rsid w:val="008119D8"/>
    <w:rsid w:val="00813049"/>
    <w:rsid w:val="008131C5"/>
    <w:rsid w:val="0081713F"/>
    <w:rsid w:val="00820188"/>
    <w:rsid w:val="0082089C"/>
    <w:rsid w:val="00820A1A"/>
    <w:rsid w:val="00820C0C"/>
    <w:rsid w:val="00821F53"/>
    <w:rsid w:val="00822865"/>
    <w:rsid w:val="00823DC6"/>
    <w:rsid w:val="00825DCC"/>
    <w:rsid w:val="00826352"/>
    <w:rsid w:val="00827824"/>
    <w:rsid w:val="00827B1A"/>
    <w:rsid w:val="00830650"/>
    <w:rsid w:val="00830C3E"/>
    <w:rsid w:val="00831437"/>
    <w:rsid w:val="0083237F"/>
    <w:rsid w:val="008324B2"/>
    <w:rsid w:val="008328D1"/>
    <w:rsid w:val="00834FA0"/>
    <w:rsid w:val="00834FF2"/>
    <w:rsid w:val="0084311D"/>
    <w:rsid w:val="008434F1"/>
    <w:rsid w:val="00843E6B"/>
    <w:rsid w:val="008508F8"/>
    <w:rsid w:val="008523D4"/>
    <w:rsid w:val="0085260B"/>
    <w:rsid w:val="008539AE"/>
    <w:rsid w:val="00853B8C"/>
    <w:rsid w:val="008542EE"/>
    <w:rsid w:val="0086125E"/>
    <w:rsid w:val="00862B11"/>
    <w:rsid w:val="008641A6"/>
    <w:rsid w:val="00864416"/>
    <w:rsid w:val="008653DE"/>
    <w:rsid w:val="0086611F"/>
    <w:rsid w:val="008662B0"/>
    <w:rsid w:val="00867002"/>
    <w:rsid w:val="00867F9A"/>
    <w:rsid w:val="0087085A"/>
    <w:rsid w:val="00871C81"/>
    <w:rsid w:val="008732A1"/>
    <w:rsid w:val="008741C6"/>
    <w:rsid w:val="00874363"/>
    <w:rsid w:val="00874598"/>
    <w:rsid w:val="00875C64"/>
    <w:rsid w:val="00875E19"/>
    <w:rsid w:val="00876140"/>
    <w:rsid w:val="0087702A"/>
    <w:rsid w:val="0088225A"/>
    <w:rsid w:val="00883193"/>
    <w:rsid w:val="00887DFA"/>
    <w:rsid w:val="00890F21"/>
    <w:rsid w:val="008921C4"/>
    <w:rsid w:val="00892230"/>
    <w:rsid w:val="00895572"/>
    <w:rsid w:val="00896138"/>
    <w:rsid w:val="0089650D"/>
    <w:rsid w:val="00896EB2"/>
    <w:rsid w:val="00897355"/>
    <w:rsid w:val="00897969"/>
    <w:rsid w:val="00897BE1"/>
    <w:rsid w:val="008A012E"/>
    <w:rsid w:val="008A022B"/>
    <w:rsid w:val="008A03A9"/>
    <w:rsid w:val="008A1BE4"/>
    <w:rsid w:val="008A3440"/>
    <w:rsid w:val="008A495B"/>
    <w:rsid w:val="008A52B6"/>
    <w:rsid w:val="008A556F"/>
    <w:rsid w:val="008A6305"/>
    <w:rsid w:val="008A7301"/>
    <w:rsid w:val="008B00B4"/>
    <w:rsid w:val="008B0CEC"/>
    <w:rsid w:val="008B30E7"/>
    <w:rsid w:val="008B6E8F"/>
    <w:rsid w:val="008B7156"/>
    <w:rsid w:val="008C034D"/>
    <w:rsid w:val="008C055D"/>
    <w:rsid w:val="008C1095"/>
    <w:rsid w:val="008C2D66"/>
    <w:rsid w:val="008C3385"/>
    <w:rsid w:val="008C5821"/>
    <w:rsid w:val="008C79A7"/>
    <w:rsid w:val="008D0126"/>
    <w:rsid w:val="008D0BF7"/>
    <w:rsid w:val="008D12EB"/>
    <w:rsid w:val="008D1C5A"/>
    <w:rsid w:val="008D330F"/>
    <w:rsid w:val="008D33A4"/>
    <w:rsid w:val="008D3C8C"/>
    <w:rsid w:val="008D3E04"/>
    <w:rsid w:val="008D4587"/>
    <w:rsid w:val="008D565C"/>
    <w:rsid w:val="008D600B"/>
    <w:rsid w:val="008D6F7B"/>
    <w:rsid w:val="008E278C"/>
    <w:rsid w:val="008E59AA"/>
    <w:rsid w:val="008E5FC2"/>
    <w:rsid w:val="008E7569"/>
    <w:rsid w:val="008F0D9F"/>
    <w:rsid w:val="008F126C"/>
    <w:rsid w:val="008F14E4"/>
    <w:rsid w:val="008F1E48"/>
    <w:rsid w:val="008F3247"/>
    <w:rsid w:val="008F398D"/>
    <w:rsid w:val="008F4043"/>
    <w:rsid w:val="008F4238"/>
    <w:rsid w:val="008F4CB0"/>
    <w:rsid w:val="008F5594"/>
    <w:rsid w:val="008F5E8B"/>
    <w:rsid w:val="008F63BA"/>
    <w:rsid w:val="00900115"/>
    <w:rsid w:val="00902CE8"/>
    <w:rsid w:val="00904FB4"/>
    <w:rsid w:val="009057C4"/>
    <w:rsid w:val="009074DF"/>
    <w:rsid w:val="00907D12"/>
    <w:rsid w:val="00910D00"/>
    <w:rsid w:val="00912857"/>
    <w:rsid w:val="0091309B"/>
    <w:rsid w:val="009142E1"/>
    <w:rsid w:val="00915A6F"/>
    <w:rsid w:val="0091729C"/>
    <w:rsid w:val="00917AAF"/>
    <w:rsid w:val="00921052"/>
    <w:rsid w:val="0092183E"/>
    <w:rsid w:val="00923B64"/>
    <w:rsid w:val="009258E5"/>
    <w:rsid w:val="00926548"/>
    <w:rsid w:val="0092741A"/>
    <w:rsid w:val="00930E4B"/>
    <w:rsid w:val="00931B6C"/>
    <w:rsid w:val="0093233F"/>
    <w:rsid w:val="00933A7E"/>
    <w:rsid w:val="00933AA2"/>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004"/>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682"/>
    <w:rsid w:val="009A1D12"/>
    <w:rsid w:val="009A1E00"/>
    <w:rsid w:val="009A1EB8"/>
    <w:rsid w:val="009A2E41"/>
    <w:rsid w:val="009A2F63"/>
    <w:rsid w:val="009A3642"/>
    <w:rsid w:val="009A398D"/>
    <w:rsid w:val="009A3A01"/>
    <w:rsid w:val="009A4B11"/>
    <w:rsid w:val="009A4B54"/>
    <w:rsid w:val="009A4F82"/>
    <w:rsid w:val="009A7302"/>
    <w:rsid w:val="009B23DC"/>
    <w:rsid w:val="009B3800"/>
    <w:rsid w:val="009B4ECA"/>
    <w:rsid w:val="009B5816"/>
    <w:rsid w:val="009B6214"/>
    <w:rsid w:val="009B64BB"/>
    <w:rsid w:val="009B6EC5"/>
    <w:rsid w:val="009C11CF"/>
    <w:rsid w:val="009C1DA2"/>
    <w:rsid w:val="009C398F"/>
    <w:rsid w:val="009C3A16"/>
    <w:rsid w:val="009C44FD"/>
    <w:rsid w:val="009C64D2"/>
    <w:rsid w:val="009C672B"/>
    <w:rsid w:val="009D003C"/>
    <w:rsid w:val="009D0856"/>
    <w:rsid w:val="009D2FCA"/>
    <w:rsid w:val="009D3036"/>
    <w:rsid w:val="009D4636"/>
    <w:rsid w:val="009D4658"/>
    <w:rsid w:val="009D7C62"/>
    <w:rsid w:val="009E0268"/>
    <w:rsid w:val="009E0BA9"/>
    <w:rsid w:val="009E0BAB"/>
    <w:rsid w:val="009E1FE3"/>
    <w:rsid w:val="009E348B"/>
    <w:rsid w:val="009E4120"/>
    <w:rsid w:val="009E444C"/>
    <w:rsid w:val="009E557D"/>
    <w:rsid w:val="009E5A17"/>
    <w:rsid w:val="009E5F12"/>
    <w:rsid w:val="009E72B7"/>
    <w:rsid w:val="009F223C"/>
    <w:rsid w:val="009F239C"/>
    <w:rsid w:val="009F5975"/>
    <w:rsid w:val="009F683B"/>
    <w:rsid w:val="009F6B76"/>
    <w:rsid w:val="00A02EAF"/>
    <w:rsid w:val="00A05818"/>
    <w:rsid w:val="00A06D5A"/>
    <w:rsid w:val="00A119BF"/>
    <w:rsid w:val="00A1227D"/>
    <w:rsid w:val="00A12BC1"/>
    <w:rsid w:val="00A13DB9"/>
    <w:rsid w:val="00A1410C"/>
    <w:rsid w:val="00A1572C"/>
    <w:rsid w:val="00A16786"/>
    <w:rsid w:val="00A235F7"/>
    <w:rsid w:val="00A23E00"/>
    <w:rsid w:val="00A24B08"/>
    <w:rsid w:val="00A24B10"/>
    <w:rsid w:val="00A2638B"/>
    <w:rsid w:val="00A2671E"/>
    <w:rsid w:val="00A26CA6"/>
    <w:rsid w:val="00A26CE1"/>
    <w:rsid w:val="00A26D6F"/>
    <w:rsid w:val="00A31A8B"/>
    <w:rsid w:val="00A328A0"/>
    <w:rsid w:val="00A32EDA"/>
    <w:rsid w:val="00A33131"/>
    <w:rsid w:val="00A3578F"/>
    <w:rsid w:val="00A360CF"/>
    <w:rsid w:val="00A36D4E"/>
    <w:rsid w:val="00A40C5C"/>
    <w:rsid w:val="00A416C2"/>
    <w:rsid w:val="00A41AEE"/>
    <w:rsid w:val="00A42651"/>
    <w:rsid w:val="00A42671"/>
    <w:rsid w:val="00A44016"/>
    <w:rsid w:val="00A459AE"/>
    <w:rsid w:val="00A4661C"/>
    <w:rsid w:val="00A47CED"/>
    <w:rsid w:val="00A51DEC"/>
    <w:rsid w:val="00A525C3"/>
    <w:rsid w:val="00A534F0"/>
    <w:rsid w:val="00A569E7"/>
    <w:rsid w:val="00A56A6C"/>
    <w:rsid w:val="00A6055F"/>
    <w:rsid w:val="00A618CA"/>
    <w:rsid w:val="00A62738"/>
    <w:rsid w:val="00A62BC0"/>
    <w:rsid w:val="00A63604"/>
    <w:rsid w:val="00A65071"/>
    <w:rsid w:val="00A6593D"/>
    <w:rsid w:val="00A66718"/>
    <w:rsid w:val="00A672D7"/>
    <w:rsid w:val="00A707BA"/>
    <w:rsid w:val="00A70EB4"/>
    <w:rsid w:val="00A71584"/>
    <w:rsid w:val="00A73A68"/>
    <w:rsid w:val="00A74195"/>
    <w:rsid w:val="00A74B2E"/>
    <w:rsid w:val="00A75A88"/>
    <w:rsid w:val="00A75D5B"/>
    <w:rsid w:val="00A76BB0"/>
    <w:rsid w:val="00A76DDF"/>
    <w:rsid w:val="00A7721D"/>
    <w:rsid w:val="00A77264"/>
    <w:rsid w:val="00A77B01"/>
    <w:rsid w:val="00A77C4E"/>
    <w:rsid w:val="00A77E1E"/>
    <w:rsid w:val="00A804C5"/>
    <w:rsid w:val="00A80AFC"/>
    <w:rsid w:val="00A81148"/>
    <w:rsid w:val="00A825B7"/>
    <w:rsid w:val="00A82606"/>
    <w:rsid w:val="00A82FDF"/>
    <w:rsid w:val="00A833B7"/>
    <w:rsid w:val="00A83D46"/>
    <w:rsid w:val="00A83E2A"/>
    <w:rsid w:val="00A84344"/>
    <w:rsid w:val="00A84C32"/>
    <w:rsid w:val="00A877B0"/>
    <w:rsid w:val="00A879BD"/>
    <w:rsid w:val="00A90B63"/>
    <w:rsid w:val="00A911A5"/>
    <w:rsid w:val="00A924A8"/>
    <w:rsid w:val="00A93F54"/>
    <w:rsid w:val="00A9428F"/>
    <w:rsid w:val="00A962BA"/>
    <w:rsid w:val="00A96815"/>
    <w:rsid w:val="00A9735F"/>
    <w:rsid w:val="00AA05BC"/>
    <w:rsid w:val="00AA27C6"/>
    <w:rsid w:val="00AA4279"/>
    <w:rsid w:val="00AA43B8"/>
    <w:rsid w:val="00AA4BE9"/>
    <w:rsid w:val="00AA5006"/>
    <w:rsid w:val="00AA52EB"/>
    <w:rsid w:val="00AA536E"/>
    <w:rsid w:val="00AA736A"/>
    <w:rsid w:val="00AA7849"/>
    <w:rsid w:val="00AB09FB"/>
    <w:rsid w:val="00AB0FF1"/>
    <w:rsid w:val="00AB1E5E"/>
    <w:rsid w:val="00AB4738"/>
    <w:rsid w:val="00AB4D91"/>
    <w:rsid w:val="00AB5BD0"/>
    <w:rsid w:val="00AB5E4D"/>
    <w:rsid w:val="00AB6B52"/>
    <w:rsid w:val="00AB7DEA"/>
    <w:rsid w:val="00AC3664"/>
    <w:rsid w:val="00AC429E"/>
    <w:rsid w:val="00AC55F6"/>
    <w:rsid w:val="00AC6BFF"/>
    <w:rsid w:val="00AD2C10"/>
    <w:rsid w:val="00AD2CD9"/>
    <w:rsid w:val="00AD46AF"/>
    <w:rsid w:val="00AD49DA"/>
    <w:rsid w:val="00AD53F5"/>
    <w:rsid w:val="00AD6BC1"/>
    <w:rsid w:val="00AD708B"/>
    <w:rsid w:val="00AE0997"/>
    <w:rsid w:val="00AE1838"/>
    <w:rsid w:val="00AE251A"/>
    <w:rsid w:val="00AE25F2"/>
    <w:rsid w:val="00AE5877"/>
    <w:rsid w:val="00AE62F2"/>
    <w:rsid w:val="00AF00BD"/>
    <w:rsid w:val="00AF1B57"/>
    <w:rsid w:val="00AF1DA3"/>
    <w:rsid w:val="00AF281C"/>
    <w:rsid w:val="00AF34C2"/>
    <w:rsid w:val="00AF45E5"/>
    <w:rsid w:val="00AF51FE"/>
    <w:rsid w:val="00AF7917"/>
    <w:rsid w:val="00AF7951"/>
    <w:rsid w:val="00B0168C"/>
    <w:rsid w:val="00B03967"/>
    <w:rsid w:val="00B043A9"/>
    <w:rsid w:val="00B044E8"/>
    <w:rsid w:val="00B05C27"/>
    <w:rsid w:val="00B05C98"/>
    <w:rsid w:val="00B10791"/>
    <w:rsid w:val="00B10C96"/>
    <w:rsid w:val="00B1158B"/>
    <w:rsid w:val="00B1318C"/>
    <w:rsid w:val="00B134C8"/>
    <w:rsid w:val="00B13906"/>
    <w:rsid w:val="00B13F7E"/>
    <w:rsid w:val="00B1540F"/>
    <w:rsid w:val="00B15556"/>
    <w:rsid w:val="00B16085"/>
    <w:rsid w:val="00B210BD"/>
    <w:rsid w:val="00B21998"/>
    <w:rsid w:val="00B24AFE"/>
    <w:rsid w:val="00B25057"/>
    <w:rsid w:val="00B274E8"/>
    <w:rsid w:val="00B32860"/>
    <w:rsid w:val="00B33C8E"/>
    <w:rsid w:val="00B365F4"/>
    <w:rsid w:val="00B36CC4"/>
    <w:rsid w:val="00B373F9"/>
    <w:rsid w:val="00B4105D"/>
    <w:rsid w:val="00B41652"/>
    <w:rsid w:val="00B42C27"/>
    <w:rsid w:val="00B42CAE"/>
    <w:rsid w:val="00B44A58"/>
    <w:rsid w:val="00B44E44"/>
    <w:rsid w:val="00B45292"/>
    <w:rsid w:val="00B455C0"/>
    <w:rsid w:val="00B5083B"/>
    <w:rsid w:val="00B52D61"/>
    <w:rsid w:val="00B52D98"/>
    <w:rsid w:val="00B53B61"/>
    <w:rsid w:val="00B55FC5"/>
    <w:rsid w:val="00B6021C"/>
    <w:rsid w:val="00B62631"/>
    <w:rsid w:val="00B62870"/>
    <w:rsid w:val="00B64830"/>
    <w:rsid w:val="00B6753D"/>
    <w:rsid w:val="00B70E32"/>
    <w:rsid w:val="00B70F1A"/>
    <w:rsid w:val="00B7172F"/>
    <w:rsid w:val="00B726A0"/>
    <w:rsid w:val="00B73277"/>
    <w:rsid w:val="00B73BEA"/>
    <w:rsid w:val="00B76395"/>
    <w:rsid w:val="00B8182E"/>
    <w:rsid w:val="00B82165"/>
    <w:rsid w:val="00B824B4"/>
    <w:rsid w:val="00B826B8"/>
    <w:rsid w:val="00B83713"/>
    <w:rsid w:val="00B83D63"/>
    <w:rsid w:val="00B84DA9"/>
    <w:rsid w:val="00B87217"/>
    <w:rsid w:val="00B87561"/>
    <w:rsid w:val="00B87CDD"/>
    <w:rsid w:val="00B90C03"/>
    <w:rsid w:val="00B92B9D"/>
    <w:rsid w:val="00B93938"/>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12A2"/>
    <w:rsid w:val="00BB2031"/>
    <w:rsid w:val="00BB297A"/>
    <w:rsid w:val="00BB4053"/>
    <w:rsid w:val="00BB4121"/>
    <w:rsid w:val="00BB4D84"/>
    <w:rsid w:val="00BB6199"/>
    <w:rsid w:val="00BB7D4A"/>
    <w:rsid w:val="00BC04AA"/>
    <w:rsid w:val="00BC0CC1"/>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D3"/>
    <w:rsid w:val="00BE79FD"/>
    <w:rsid w:val="00BF02B4"/>
    <w:rsid w:val="00BF2252"/>
    <w:rsid w:val="00BF43E6"/>
    <w:rsid w:val="00BF4B0E"/>
    <w:rsid w:val="00BF67E3"/>
    <w:rsid w:val="00BF6C9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5F10"/>
    <w:rsid w:val="00C17319"/>
    <w:rsid w:val="00C2028F"/>
    <w:rsid w:val="00C22D22"/>
    <w:rsid w:val="00C30B07"/>
    <w:rsid w:val="00C31E96"/>
    <w:rsid w:val="00C33325"/>
    <w:rsid w:val="00C348F6"/>
    <w:rsid w:val="00C359E9"/>
    <w:rsid w:val="00C4765B"/>
    <w:rsid w:val="00C5035E"/>
    <w:rsid w:val="00C50881"/>
    <w:rsid w:val="00C55043"/>
    <w:rsid w:val="00C56618"/>
    <w:rsid w:val="00C56E8A"/>
    <w:rsid w:val="00C623FE"/>
    <w:rsid w:val="00C627A6"/>
    <w:rsid w:val="00C62D0F"/>
    <w:rsid w:val="00C63CD3"/>
    <w:rsid w:val="00C63F5B"/>
    <w:rsid w:val="00C64BD4"/>
    <w:rsid w:val="00C6572E"/>
    <w:rsid w:val="00C66639"/>
    <w:rsid w:val="00C67451"/>
    <w:rsid w:val="00C67977"/>
    <w:rsid w:val="00C67D65"/>
    <w:rsid w:val="00C729FB"/>
    <w:rsid w:val="00C72AA4"/>
    <w:rsid w:val="00C73A77"/>
    <w:rsid w:val="00C74680"/>
    <w:rsid w:val="00C77462"/>
    <w:rsid w:val="00C77DB6"/>
    <w:rsid w:val="00C81796"/>
    <w:rsid w:val="00C8241D"/>
    <w:rsid w:val="00C84238"/>
    <w:rsid w:val="00C847E1"/>
    <w:rsid w:val="00C85319"/>
    <w:rsid w:val="00C858F1"/>
    <w:rsid w:val="00C8748B"/>
    <w:rsid w:val="00C87A6A"/>
    <w:rsid w:val="00C90295"/>
    <w:rsid w:val="00C9043E"/>
    <w:rsid w:val="00C911D0"/>
    <w:rsid w:val="00C91311"/>
    <w:rsid w:val="00C9135B"/>
    <w:rsid w:val="00C93570"/>
    <w:rsid w:val="00C94F64"/>
    <w:rsid w:val="00C9554B"/>
    <w:rsid w:val="00C95B25"/>
    <w:rsid w:val="00C97C99"/>
    <w:rsid w:val="00CA1A4D"/>
    <w:rsid w:val="00CA1CB0"/>
    <w:rsid w:val="00CA2D8C"/>
    <w:rsid w:val="00CA3971"/>
    <w:rsid w:val="00CA43A1"/>
    <w:rsid w:val="00CA4D75"/>
    <w:rsid w:val="00CA4EC6"/>
    <w:rsid w:val="00CA5347"/>
    <w:rsid w:val="00CA5A4F"/>
    <w:rsid w:val="00CA5DA4"/>
    <w:rsid w:val="00CA6384"/>
    <w:rsid w:val="00CA6DC8"/>
    <w:rsid w:val="00CA7153"/>
    <w:rsid w:val="00CA73DD"/>
    <w:rsid w:val="00CB04D2"/>
    <w:rsid w:val="00CB1786"/>
    <w:rsid w:val="00CB1BBF"/>
    <w:rsid w:val="00CB3A6C"/>
    <w:rsid w:val="00CB4004"/>
    <w:rsid w:val="00CB539C"/>
    <w:rsid w:val="00CB583E"/>
    <w:rsid w:val="00CB63C0"/>
    <w:rsid w:val="00CC01F6"/>
    <w:rsid w:val="00CC0759"/>
    <w:rsid w:val="00CC1038"/>
    <w:rsid w:val="00CC15FF"/>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54D"/>
    <w:rsid w:val="00CE3990"/>
    <w:rsid w:val="00CE4959"/>
    <w:rsid w:val="00CE5798"/>
    <w:rsid w:val="00CE6BBD"/>
    <w:rsid w:val="00CF06C5"/>
    <w:rsid w:val="00CF0B15"/>
    <w:rsid w:val="00CF2803"/>
    <w:rsid w:val="00CF4562"/>
    <w:rsid w:val="00CF47ED"/>
    <w:rsid w:val="00CF4F39"/>
    <w:rsid w:val="00D02B80"/>
    <w:rsid w:val="00D06334"/>
    <w:rsid w:val="00D06EFA"/>
    <w:rsid w:val="00D076ED"/>
    <w:rsid w:val="00D1027F"/>
    <w:rsid w:val="00D109DF"/>
    <w:rsid w:val="00D10F1B"/>
    <w:rsid w:val="00D110A0"/>
    <w:rsid w:val="00D111CF"/>
    <w:rsid w:val="00D111F2"/>
    <w:rsid w:val="00D126AB"/>
    <w:rsid w:val="00D12E4B"/>
    <w:rsid w:val="00D14423"/>
    <w:rsid w:val="00D146A2"/>
    <w:rsid w:val="00D21642"/>
    <w:rsid w:val="00D21F01"/>
    <w:rsid w:val="00D23637"/>
    <w:rsid w:val="00D24128"/>
    <w:rsid w:val="00D2489C"/>
    <w:rsid w:val="00D2703C"/>
    <w:rsid w:val="00D275F1"/>
    <w:rsid w:val="00D30310"/>
    <w:rsid w:val="00D32016"/>
    <w:rsid w:val="00D329CC"/>
    <w:rsid w:val="00D33267"/>
    <w:rsid w:val="00D34FEA"/>
    <w:rsid w:val="00D35C3D"/>
    <w:rsid w:val="00D37A25"/>
    <w:rsid w:val="00D42AD3"/>
    <w:rsid w:val="00D43516"/>
    <w:rsid w:val="00D502B1"/>
    <w:rsid w:val="00D5122D"/>
    <w:rsid w:val="00D5281B"/>
    <w:rsid w:val="00D52BBD"/>
    <w:rsid w:val="00D52C9D"/>
    <w:rsid w:val="00D5300D"/>
    <w:rsid w:val="00D5420F"/>
    <w:rsid w:val="00D5471A"/>
    <w:rsid w:val="00D55A33"/>
    <w:rsid w:val="00D5776F"/>
    <w:rsid w:val="00D57B8C"/>
    <w:rsid w:val="00D57CBB"/>
    <w:rsid w:val="00D6025B"/>
    <w:rsid w:val="00D60D6E"/>
    <w:rsid w:val="00D62C1B"/>
    <w:rsid w:val="00D6341F"/>
    <w:rsid w:val="00D63F1C"/>
    <w:rsid w:val="00D64A60"/>
    <w:rsid w:val="00D65234"/>
    <w:rsid w:val="00D6573E"/>
    <w:rsid w:val="00D67BE0"/>
    <w:rsid w:val="00D71196"/>
    <w:rsid w:val="00D716CD"/>
    <w:rsid w:val="00D75000"/>
    <w:rsid w:val="00D80D18"/>
    <w:rsid w:val="00D815B6"/>
    <w:rsid w:val="00D82DDE"/>
    <w:rsid w:val="00D85814"/>
    <w:rsid w:val="00D87042"/>
    <w:rsid w:val="00D87FFB"/>
    <w:rsid w:val="00D90606"/>
    <w:rsid w:val="00D91522"/>
    <w:rsid w:val="00D930A0"/>
    <w:rsid w:val="00D94475"/>
    <w:rsid w:val="00D9479F"/>
    <w:rsid w:val="00D94CFB"/>
    <w:rsid w:val="00D962C2"/>
    <w:rsid w:val="00D963C7"/>
    <w:rsid w:val="00D96406"/>
    <w:rsid w:val="00D9768D"/>
    <w:rsid w:val="00DA0350"/>
    <w:rsid w:val="00DA0CE7"/>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C54"/>
    <w:rsid w:val="00DC3551"/>
    <w:rsid w:val="00DC3DBA"/>
    <w:rsid w:val="00DC646E"/>
    <w:rsid w:val="00DC7066"/>
    <w:rsid w:val="00DC785A"/>
    <w:rsid w:val="00DC7B4F"/>
    <w:rsid w:val="00DD02A7"/>
    <w:rsid w:val="00DD0AF8"/>
    <w:rsid w:val="00DD11AC"/>
    <w:rsid w:val="00DD1E55"/>
    <w:rsid w:val="00DD227E"/>
    <w:rsid w:val="00DD22DA"/>
    <w:rsid w:val="00DD304D"/>
    <w:rsid w:val="00DD5F75"/>
    <w:rsid w:val="00DE16F2"/>
    <w:rsid w:val="00DE24BF"/>
    <w:rsid w:val="00DE2AD7"/>
    <w:rsid w:val="00DE3D57"/>
    <w:rsid w:val="00DE3FE2"/>
    <w:rsid w:val="00DE4911"/>
    <w:rsid w:val="00DE5319"/>
    <w:rsid w:val="00DE5812"/>
    <w:rsid w:val="00DE6048"/>
    <w:rsid w:val="00DE798C"/>
    <w:rsid w:val="00DE7DD9"/>
    <w:rsid w:val="00DF001C"/>
    <w:rsid w:val="00DF075F"/>
    <w:rsid w:val="00DF4636"/>
    <w:rsid w:val="00DF66A9"/>
    <w:rsid w:val="00DF7D09"/>
    <w:rsid w:val="00E0019F"/>
    <w:rsid w:val="00E0076B"/>
    <w:rsid w:val="00E00E79"/>
    <w:rsid w:val="00E01D43"/>
    <w:rsid w:val="00E022B8"/>
    <w:rsid w:val="00E0294A"/>
    <w:rsid w:val="00E0366E"/>
    <w:rsid w:val="00E03D1D"/>
    <w:rsid w:val="00E04BA8"/>
    <w:rsid w:val="00E05277"/>
    <w:rsid w:val="00E11A22"/>
    <w:rsid w:val="00E11E1F"/>
    <w:rsid w:val="00E12BB5"/>
    <w:rsid w:val="00E12C1B"/>
    <w:rsid w:val="00E12F5D"/>
    <w:rsid w:val="00E14133"/>
    <w:rsid w:val="00E1612D"/>
    <w:rsid w:val="00E16E9D"/>
    <w:rsid w:val="00E16EC0"/>
    <w:rsid w:val="00E20AEF"/>
    <w:rsid w:val="00E23144"/>
    <w:rsid w:val="00E24300"/>
    <w:rsid w:val="00E31028"/>
    <w:rsid w:val="00E32501"/>
    <w:rsid w:val="00E32A0C"/>
    <w:rsid w:val="00E332E8"/>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1B36"/>
    <w:rsid w:val="00E52C7A"/>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0E7"/>
    <w:rsid w:val="00E77535"/>
    <w:rsid w:val="00E81ECD"/>
    <w:rsid w:val="00E82F75"/>
    <w:rsid w:val="00E8317E"/>
    <w:rsid w:val="00E843D4"/>
    <w:rsid w:val="00E867FA"/>
    <w:rsid w:val="00E873BE"/>
    <w:rsid w:val="00E9104B"/>
    <w:rsid w:val="00E95451"/>
    <w:rsid w:val="00E958DC"/>
    <w:rsid w:val="00EA3FB7"/>
    <w:rsid w:val="00EA4065"/>
    <w:rsid w:val="00EA4400"/>
    <w:rsid w:val="00EA46B7"/>
    <w:rsid w:val="00EA4BC9"/>
    <w:rsid w:val="00EA4CFF"/>
    <w:rsid w:val="00EA5E72"/>
    <w:rsid w:val="00EA6976"/>
    <w:rsid w:val="00EA757A"/>
    <w:rsid w:val="00EA7AE4"/>
    <w:rsid w:val="00EB082C"/>
    <w:rsid w:val="00EB10FF"/>
    <w:rsid w:val="00EB1261"/>
    <w:rsid w:val="00EB195F"/>
    <w:rsid w:val="00EB3551"/>
    <w:rsid w:val="00EB508B"/>
    <w:rsid w:val="00EB5246"/>
    <w:rsid w:val="00EB64C0"/>
    <w:rsid w:val="00EB6E02"/>
    <w:rsid w:val="00EC149A"/>
    <w:rsid w:val="00EC2001"/>
    <w:rsid w:val="00EC20A8"/>
    <w:rsid w:val="00EC23C6"/>
    <w:rsid w:val="00EC3E23"/>
    <w:rsid w:val="00EC5B61"/>
    <w:rsid w:val="00EC6092"/>
    <w:rsid w:val="00EC720F"/>
    <w:rsid w:val="00EC7E2D"/>
    <w:rsid w:val="00ED0C61"/>
    <w:rsid w:val="00ED1E36"/>
    <w:rsid w:val="00ED2044"/>
    <w:rsid w:val="00ED38C8"/>
    <w:rsid w:val="00ED431A"/>
    <w:rsid w:val="00ED5153"/>
    <w:rsid w:val="00ED6682"/>
    <w:rsid w:val="00ED76CF"/>
    <w:rsid w:val="00EE10F9"/>
    <w:rsid w:val="00EE17DE"/>
    <w:rsid w:val="00EE1EC6"/>
    <w:rsid w:val="00EE1FC3"/>
    <w:rsid w:val="00EE301A"/>
    <w:rsid w:val="00EE309E"/>
    <w:rsid w:val="00EE3BD0"/>
    <w:rsid w:val="00EE5418"/>
    <w:rsid w:val="00EE7677"/>
    <w:rsid w:val="00EE7866"/>
    <w:rsid w:val="00EF2A85"/>
    <w:rsid w:val="00EF30C7"/>
    <w:rsid w:val="00EF4204"/>
    <w:rsid w:val="00EF5977"/>
    <w:rsid w:val="00EF7678"/>
    <w:rsid w:val="00EF77CA"/>
    <w:rsid w:val="00F00AA3"/>
    <w:rsid w:val="00F00D56"/>
    <w:rsid w:val="00F013DF"/>
    <w:rsid w:val="00F020B9"/>
    <w:rsid w:val="00F020C8"/>
    <w:rsid w:val="00F023BD"/>
    <w:rsid w:val="00F02EFA"/>
    <w:rsid w:val="00F03221"/>
    <w:rsid w:val="00F033B0"/>
    <w:rsid w:val="00F03AD2"/>
    <w:rsid w:val="00F05D92"/>
    <w:rsid w:val="00F06C44"/>
    <w:rsid w:val="00F10AE7"/>
    <w:rsid w:val="00F10CB7"/>
    <w:rsid w:val="00F10E83"/>
    <w:rsid w:val="00F11549"/>
    <w:rsid w:val="00F12180"/>
    <w:rsid w:val="00F12414"/>
    <w:rsid w:val="00F143C1"/>
    <w:rsid w:val="00F14985"/>
    <w:rsid w:val="00F15200"/>
    <w:rsid w:val="00F17365"/>
    <w:rsid w:val="00F175E7"/>
    <w:rsid w:val="00F17AF0"/>
    <w:rsid w:val="00F17E6F"/>
    <w:rsid w:val="00F20297"/>
    <w:rsid w:val="00F2057A"/>
    <w:rsid w:val="00F20AAD"/>
    <w:rsid w:val="00F2133B"/>
    <w:rsid w:val="00F21D55"/>
    <w:rsid w:val="00F24635"/>
    <w:rsid w:val="00F27700"/>
    <w:rsid w:val="00F3085F"/>
    <w:rsid w:val="00F313BD"/>
    <w:rsid w:val="00F31910"/>
    <w:rsid w:val="00F32415"/>
    <w:rsid w:val="00F32BC5"/>
    <w:rsid w:val="00F32CF0"/>
    <w:rsid w:val="00F3405C"/>
    <w:rsid w:val="00F348ED"/>
    <w:rsid w:val="00F35597"/>
    <w:rsid w:val="00F36762"/>
    <w:rsid w:val="00F37593"/>
    <w:rsid w:val="00F42731"/>
    <w:rsid w:val="00F44CB5"/>
    <w:rsid w:val="00F45698"/>
    <w:rsid w:val="00F45F3D"/>
    <w:rsid w:val="00F4606C"/>
    <w:rsid w:val="00F47088"/>
    <w:rsid w:val="00F47D12"/>
    <w:rsid w:val="00F50E91"/>
    <w:rsid w:val="00F518B5"/>
    <w:rsid w:val="00F51AB4"/>
    <w:rsid w:val="00F52237"/>
    <w:rsid w:val="00F559B2"/>
    <w:rsid w:val="00F559C1"/>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3632"/>
    <w:rsid w:val="00F740C7"/>
    <w:rsid w:val="00F76BA5"/>
    <w:rsid w:val="00F813CB"/>
    <w:rsid w:val="00F82804"/>
    <w:rsid w:val="00F82C58"/>
    <w:rsid w:val="00F847C4"/>
    <w:rsid w:val="00F8488C"/>
    <w:rsid w:val="00F84E77"/>
    <w:rsid w:val="00F8640E"/>
    <w:rsid w:val="00F91368"/>
    <w:rsid w:val="00F930CE"/>
    <w:rsid w:val="00F942CC"/>
    <w:rsid w:val="00F94D44"/>
    <w:rsid w:val="00F951A2"/>
    <w:rsid w:val="00F96525"/>
    <w:rsid w:val="00F97D88"/>
    <w:rsid w:val="00FA1EA7"/>
    <w:rsid w:val="00FA28B7"/>
    <w:rsid w:val="00FA2D87"/>
    <w:rsid w:val="00FA3A4F"/>
    <w:rsid w:val="00FA3FDE"/>
    <w:rsid w:val="00FA443F"/>
    <w:rsid w:val="00FA463D"/>
    <w:rsid w:val="00FA5961"/>
    <w:rsid w:val="00FB0D80"/>
    <w:rsid w:val="00FB24D8"/>
    <w:rsid w:val="00FB4DFA"/>
    <w:rsid w:val="00FB52BE"/>
    <w:rsid w:val="00FB56FE"/>
    <w:rsid w:val="00FB5E0A"/>
    <w:rsid w:val="00FB767C"/>
    <w:rsid w:val="00FC150A"/>
    <w:rsid w:val="00FC1B7B"/>
    <w:rsid w:val="00FC22A0"/>
    <w:rsid w:val="00FC25D9"/>
    <w:rsid w:val="00FC4BC0"/>
    <w:rsid w:val="00FC5E13"/>
    <w:rsid w:val="00FC5F56"/>
    <w:rsid w:val="00FC6FBF"/>
    <w:rsid w:val="00FC72E1"/>
    <w:rsid w:val="00FC7446"/>
    <w:rsid w:val="00FC76CB"/>
    <w:rsid w:val="00FD029D"/>
    <w:rsid w:val="00FD35EC"/>
    <w:rsid w:val="00FD4233"/>
    <w:rsid w:val="00FD426F"/>
    <w:rsid w:val="00FD450F"/>
    <w:rsid w:val="00FD60B5"/>
    <w:rsid w:val="00FD7146"/>
    <w:rsid w:val="00FD7316"/>
    <w:rsid w:val="00FD7994"/>
    <w:rsid w:val="00FE0C67"/>
    <w:rsid w:val="00FE1763"/>
    <w:rsid w:val="00FE1A3F"/>
    <w:rsid w:val="00FE2481"/>
    <w:rsid w:val="00FE370E"/>
    <w:rsid w:val="00FE4403"/>
    <w:rsid w:val="00FE603C"/>
    <w:rsid w:val="00FE61B1"/>
    <w:rsid w:val="00FE6F86"/>
    <w:rsid w:val="00FE7283"/>
    <w:rsid w:val="00FE7398"/>
    <w:rsid w:val="00FF0DE8"/>
    <w:rsid w:val="00FF0E08"/>
    <w:rsid w:val="00FF2149"/>
    <w:rsid w:val="00FF5AD7"/>
    <w:rsid w:val="00FF6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96F1"/>
  <w15:docId w15:val="{7A84DCD3-890A-44CB-8AAB-D4091F83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764ACA"/>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6E0139"/>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AF7951"/>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AF7951"/>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AF7951"/>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84962571">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00440993">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00615573">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396511758">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21552095">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4290593">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51016923">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3104155">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14553166">
      <w:bodyDiv w:val="1"/>
      <w:marLeft w:val="0"/>
      <w:marRight w:val="0"/>
      <w:marTop w:val="0"/>
      <w:marBottom w:val="0"/>
      <w:divBdr>
        <w:top w:val="none" w:sz="0" w:space="0" w:color="auto"/>
        <w:left w:val="none" w:sz="0" w:space="0" w:color="auto"/>
        <w:bottom w:val="none" w:sz="0" w:space="0" w:color="auto"/>
        <w:right w:val="none" w:sz="0" w:space="0" w:color="auto"/>
      </w:divBdr>
    </w:div>
    <w:div w:id="1624921234">
      <w:bodyDiv w:val="1"/>
      <w:marLeft w:val="0"/>
      <w:marRight w:val="0"/>
      <w:marTop w:val="0"/>
      <w:marBottom w:val="0"/>
      <w:divBdr>
        <w:top w:val="none" w:sz="0" w:space="0" w:color="auto"/>
        <w:left w:val="none" w:sz="0" w:space="0" w:color="auto"/>
        <w:bottom w:val="none" w:sz="0" w:space="0" w:color="auto"/>
        <w:right w:val="none" w:sz="0" w:space="0" w:color="auto"/>
      </w:divBdr>
    </w:div>
    <w:div w:id="1684093312">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695839300">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921061880">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41987360">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ifrem.edomex.gob.mx/organigram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andpoors.com/es_LA/delegate/getPDF?articleId=2485922&amp;type=NEWS&amp;subType=RATING_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33A5-A63D-42E7-8D10-680FDFF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8802</Words>
  <Characters>48415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rodriguez cruz</dc:creator>
  <cp:lastModifiedBy>Contabilidad 1</cp:lastModifiedBy>
  <cp:revision>3</cp:revision>
  <cp:lastPrinted>2021-07-21T19:17:00Z</cp:lastPrinted>
  <dcterms:created xsi:type="dcterms:W3CDTF">2021-07-21T19:18:00Z</dcterms:created>
  <dcterms:modified xsi:type="dcterms:W3CDTF">2021-07-21T19:45:00Z</dcterms:modified>
</cp:coreProperties>
</file>