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8B" w:rsidRPr="00BC337F" w:rsidRDefault="00EB508B" w:rsidP="00EB508B">
      <w:pPr>
        <w:spacing w:after="101" w:line="276" w:lineRule="auto"/>
        <w:ind w:left="648" w:right="-1"/>
        <w:jc w:val="center"/>
        <w:rPr>
          <w:rFonts w:eastAsia="Times New Roman" w:cs="Arial"/>
          <w:b/>
          <w:lang w:val="es-ES" w:eastAsia="es-ES"/>
        </w:rPr>
      </w:pPr>
      <w:r w:rsidRPr="00BC337F">
        <w:rPr>
          <w:rFonts w:eastAsia="Times New Roman" w:cs="Arial"/>
          <w:b/>
          <w:lang w:val="es-ES" w:eastAsia="es-ES"/>
        </w:rPr>
        <w:t>NOTAS A LOS ESTADOS FINANCIEROS</w:t>
      </w:r>
    </w:p>
    <w:p w:rsidR="00EB508B" w:rsidRPr="00F42B4B" w:rsidRDefault="00EB508B" w:rsidP="00EB508B">
      <w:pPr>
        <w:spacing w:line="276" w:lineRule="auto"/>
        <w:ind w:right="-1"/>
        <w:jc w:val="center"/>
        <w:outlineLvl w:val="0"/>
      </w:pPr>
      <w:r w:rsidRPr="00F42B4B">
        <w:rPr>
          <w:b/>
        </w:rPr>
        <w:t xml:space="preserve">Entidad: </w:t>
      </w:r>
      <w:r w:rsidRPr="00F42B4B">
        <w:rPr>
          <w:u w:val="single"/>
        </w:rPr>
        <w:t>Instituto de la Función Registral del Estado de México</w:t>
      </w:r>
      <w:r w:rsidRPr="00F42B4B">
        <w:t xml:space="preserve"> (IFREM).</w:t>
      </w:r>
    </w:p>
    <w:p w:rsidR="00EB508B" w:rsidRPr="00F42B4B" w:rsidRDefault="00EB508B" w:rsidP="00EB508B">
      <w:pPr>
        <w:spacing w:line="276" w:lineRule="auto"/>
        <w:ind w:right="-1"/>
        <w:jc w:val="center"/>
        <w:outlineLvl w:val="0"/>
        <w:rPr>
          <w:u w:val="single"/>
        </w:rPr>
      </w:pPr>
      <w:r w:rsidRPr="00F42B4B">
        <w:rPr>
          <w:b/>
        </w:rPr>
        <w:t xml:space="preserve">Mes: </w:t>
      </w:r>
      <w:r w:rsidR="00942948">
        <w:rPr>
          <w:u w:val="single"/>
        </w:rPr>
        <w:t>S</w:t>
      </w:r>
      <w:r w:rsidR="00130799">
        <w:rPr>
          <w:u w:val="single"/>
        </w:rPr>
        <w:t>e</w:t>
      </w:r>
      <w:r w:rsidR="00942948">
        <w:rPr>
          <w:u w:val="single"/>
        </w:rPr>
        <w:t>ptiembre</w:t>
      </w:r>
      <w:r w:rsidR="00E8317E">
        <w:rPr>
          <w:u w:val="single"/>
        </w:rPr>
        <w:t xml:space="preserve"> </w:t>
      </w:r>
      <w:r w:rsidRPr="00F42B4B">
        <w:rPr>
          <w:b/>
        </w:rPr>
        <w:t>de</w:t>
      </w:r>
      <w:r w:rsidRPr="00F42B4B">
        <w:t xml:space="preserve"> </w:t>
      </w:r>
      <w:r w:rsidRPr="00F42B4B">
        <w:rPr>
          <w:u w:val="single"/>
        </w:rPr>
        <w:t>2020.</w:t>
      </w:r>
    </w:p>
    <w:p w:rsidR="00EB508B" w:rsidRPr="00F42B4B" w:rsidRDefault="00EB508B" w:rsidP="00EB508B">
      <w:pPr>
        <w:numPr>
          <w:ilvl w:val="0"/>
          <w:numId w:val="15"/>
        </w:numPr>
        <w:tabs>
          <w:tab w:val="left" w:pos="3836"/>
        </w:tabs>
        <w:spacing w:after="0" w:line="276" w:lineRule="auto"/>
        <w:ind w:left="714" w:right="-1" w:hanging="357"/>
        <w:contextualSpacing/>
        <w:outlineLvl w:val="0"/>
        <w:rPr>
          <w:rFonts w:eastAsia="Times New Roman" w:cs="Arial"/>
          <w:b/>
          <w:lang w:eastAsia="es-MX"/>
        </w:rPr>
      </w:pPr>
      <w:r w:rsidRPr="00F42B4B">
        <w:rPr>
          <w:rFonts w:eastAsia="Times New Roman" w:cs="Arial"/>
          <w:b/>
          <w:lang w:eastAsia="es-MX"/>
        </w:rPr>
        <w:t>NOTAS DE DESGLOSE</w:t>
      </w:r>
    </w:p>
    <w:p w:rsidR="00EB508B" w:rsidRPr="00F42B4B" w:rsidRDefault="00EB508B" w:rsidP="00EB508B">
      <w:pPr>
        <w:tabs>
          <w:tab w:val="left" w:pos="3836"/>
        </w:tabs>
        <w:spacing w:after="0" w:line="276" w:lineRule="auto"/>
        <w:ind w:left="714" w:right="-1"/>
        <w:contextualSpacing/>
        <w:outlineLvl w:val="0"/>
        <w:rPr>
          <w:rFonts w:eastAsia="Times New Roman" w:cs="Arial"/>
          <w:b/>
          <w:sz w:val="8"/>
          <w:lang w:eastAsia="es-MX"/>
        </w:rPr>
      </w:pPr>
    </w:p>
    <w:p w:rsidR="00EB508B" w:rsidRPr="00F42B4B" w:rsidRDefault="00EB508B" w:rsidP="00EB508B">
      <w:pPr>
        <w:numPr>
          <w:ilvl w:val="0"/>
          <w:numId w:val="16"/>
        </w:numPr>
        <w:spacing w:before="240" w:after="240" w:line="276" w:lineRule="auto"/>
        <w:ind w:right="-1"/>
        <w:contextualSpacing/>
        <w:outlineLvl w:val="0"/>
        <w:rPr>
          <w:rFonts w:eastAsia="Times New Roman" w:cs="Arial"/>
          <w:b/>
          <w:lang w:eastAsia="es-MX"/>
        </w:rPr>
      </w:pPr>
      <w:r w:rsidRPr="00F42B4B">
        <w:rPr>
          <w:rFonts w:eastAsia="Times New Roman" w:cs="Arial"/>
          <w:b/>
          <w:lang w:eastAsia="es-MX"/>
        </w:rPr>
        <w:t>NOTAS AL ESTADO DE SITUACIÓN FINANCIERA</w:t>
      </w:r>
    </w:p>
    <w:p w:rsidR="00EB508B" w:rsidRPr="00F42B4B" w:rsidRDefault="00EB508B" w:rsidP="00EB508B">
      <w:pPr>
        <w:spacing w:before="240" w:after="240" w:line="276" w:lineRule="auto"/>
        <w:ind w:right="-1"/>
        <w:outlineLvl w:val="0"/>
        <w:rPr>
          <w:rFonts w:cs="Arial"/>
          <w:b/>
        </w:rPr>
      </w:pPr>
      <w:r w:rsidRPr="00F42B4B">
        <w:rPr>
          <w:rFonts w:cs="Arial"/>
          <w:b/>
        </w:rPr>
        <w:t>Activo Circulante</w:t>
      </w:r>
    </w:p>
    <w:p w:rsidR="00703B75" w:rsidRPr="00F42B4B" w:rsidRDefault="00703B75" w:rsidP="00703B75">
      <w:pPr>
        <w:tabs>
          <w:tab w:val="left" w:pos="3836"/>
        </w:tabs>
        <w:spacing w:line="276" w:lineRule="auto"/>
        <w:ind w:right="-1"/>
        <w:jc w:val="both"/>
        <w:rPr>
          <w:rFonts w:cs="Arial"/>
        </w:rPr>
      </w:pPr>
      <w:r w:rsidRPr="00F42B4B">
        <w:rPr>
          <w:rFonts w:cs="Arial"/>
          <w:b/>
          <w:bCs/>
        </w:rPr>
        <w:t xml:space="preserve">Efectivo y Equivalentes. - </w:t>
      </w:r>
      <w:r w:rsidRPr="00F42B4B">
        <w:rPr>
          <w:rFonts w:cs="Arial"/>
        </w:rPr>
        <w:t xml:space="preserve">El saldo de </w:t>
      </w:r>
      <w:r w:rsidRPr="00130799">
        <w:rPr>
          <w:rFonts w:eastAsia="HelveticaNeueLT Std" w:cs="HelveticaNeueLT Std"/>
        </w:rPr>
        <w:t>368,800,085.78</w:t>
      </w:r>
      <w:r>
        <w:rPr>
          <w:rFonts w:eastAsia="HelveticaNeueLT Std" w:cs="HelveticaNeueLT Std"/>
          <w:sz w:val="22"/>
          <w:szCs w:val="22"/>
        </w:rPr>
        <w:t xml:space="preserve">, </w:t>
      </w:r>
      <w:r w:rsidRPr="00F42B4B">
        <w:rPr>
          <w:rFonts w:cs="Arial"/>
        </w:rPr>
        <w:t>se integra con las siguientes cuentas:</w:t>
      </w:r>
    </w:p>
    <w:p w:rsidR="00703B75" w:rsidRPr="00F42B4B" w:rsidRDefault="00703B75" w:rsidP="00703B75">
      <w:pPr>
        <w:numPr>
          <w:ilvl w:val="0"/>
          <w:numId w:val="1"/>
        </w:numPr>
        <w:spacing w:line="276" w:lineRule="auto"/>
        <w:ind w:right="-1"/>
        <w:jc w:val="both"/>
        <w:rPr>
          <w:rFonts w:cs="Arial"/>
        </w:rPr>
      </w:pPr>
      <w:r w:rsidRPr="00F42B4B">
        <w:rPr>
          <w:rFonts w:cs="Arial"/>
          <w:b/>
        </w:rPr>
        <w:t xml:space="preserve">Efectivo. - </w:t>
      </w:r>
      <w:r w:rsidRPr="00F42B4B">
        <w:rPr>
          <w:rFonts w:cs="Arial"/>
        </w:rPr>
        <w:t xml:space="preserve">El saldo de </w:t>
      </w:r>
      <w:r w:rsidRPr="00130799">
        <w:rPr>
          <w:rFonts w:eastAsia="HelveticaNeueLT Std" w:cs="HelveticaNeueLT Std"/>
        </w:rPr>
        <w:t>33,000.00</w:t>
      </w:r>
      <w:r w:rsidRPr="00130799">
        <w:rPr>
          <w:rFonts w:cs="Arial"/>
          <w:color w:val="000000" w:themeColor="text1"/>
        </w:rPr>
        <w:t>,</w:t>
      </w:r>
      <w:r w:rsidRPr="00F42B4B">
        <w:rPr>
          <w:rFonts w:cs="Arial"/>
          <w:color w:val="000000" w:themeColor="text1"/>
        </w:rPr>
        <w:t xml:space="preserve"> </w:t>
      </w:r>
      <w:r w:rsidRPr="00F42B4B">
        <w:rPr>
          <w:rFonts w:cs="Arial"/>
        </w:rPr>
        <w:t>es el importe de efectivo disponible para solventar gastos menores y cubrir necesidades urgentes de gasto corriente que se requieran en las oficinas administrativas de la Dirección General.</w:t>
      </w:r>
      <w:r w:rsidRPr="00F42B4B">
        <w:t xml:space="preserve"> </w:t>
      </w:r>
    </w:p>
    <w:p w:rsidR="00703B75" w:rsidRPr="00E8317E" w:rsidRDefault="00703B75" w:rsidP="00703B75">
      <w:pPr>
        <w:numPr>
          <w:ilvl w:val="0"/>
          <w:numId w:val="1"/>
        </w:numPr>
        <w:spacing w:after="0" w:line="276" w:lineRule="auto"/>
        <w:ind w:right="-1"/>
        <w:jc w:val="both"/>
        <w:rPr>
          <w:rFonts w:eastAsia="HelveticaNeueLT Std" w:cs="HelveticaNeueLT Std"/>
          <w:b/>
          <w:bCs/>
        </w:rPr>
      </w:pPr>
      <w:r w:rsidRPr="00942948">
        <w:rPr>
          <w:rFonts w:cs="Arial"/>
          <w:b/>
          <w:bCs/>
        </w:rPr>
        <w:t xml:space="preserve">Bancos/Tesorería. - </w:t>
      </w:r>
      <w:r w:rsidRPr="00942948">
        <w:rPr>
          <w:rFonts w:cs="Arial"/>
        </w:rPr>
        <w:t xml:space="preserve">El saldo </w:t>
      </w:r>
      <w:r>
        <w:rPr>
          <w:rFonts w:cs="Arial"/>
          <w:color w:val="000000" w:themeColor="text1"/>
        </w:rPr>
        <w:t>de</w:t>
      </w:r>
      <w:r w:rsidRPr="004D2D73">
        <w:rPr>
          <w:rFonts w:eastAsia="HelveticaNeueLT Std" w:cs="HelveticaNeueLT Std"/>
          <w:sz w:val="22"/>
          <w:szCs w:val="22"/>
        </w:rPr>
        <w:t xml:space="preserve"> </w:t>
      </w:r>
      <w:r>
        <w:rPr>
          <w:rFonts w:eastAsia="HelveticaNeueLT Std" w:cs="HelveticaNeueLT Std"/>
        </w:rPr>
        <w:t>7,746</w:t>
      </w:r>
      <w:r w:rsidRPr="00130799">
        <w:rPr>
          <w:rFonts w:eastAsia="HelveticaNeueLT Std" w:cs="HelveticaNeueLT Std"/>
        </w:rPr>
        <w:t>,569.83</w:t>
      </w:r>
      <w:r w:rsidRPr="004D2D73">
        <w:rPr>
          <w:rFonts w:eastAsia="HelveticaNeueLT Std" w:cs="HelveticaNeueLT Std"/>
          <w:sz w:val="22"/>
          <w:szCs w:val="22"/>
        </w:rPr>
        <w:t xml:space="preserve"> </w:t>
      </w:r>
      <w:r w:rsidRPr="00942948">
        <w:rPr>
          <w:rFonts w:eastAsia="HelveticaNeueLT Std" w:cs="HelveticaNeueLT Std"/>
          <w:sz w:val="22"/>
          <w:szCs w:val="22"/>
        </w:rPr>
        <w:t>r</w:t>
      </w:r>
      <w:r w:rsidRPr="00942948">
        <w:rPr>
          <w:rFonts w:cs="Arial"/>
        </w:rPr>
        <w:t>efleja la disponibilidad financiera para cubrir los gastos por las necesidades de la operación y de inversión, con la finalidad de cumplir con los compromisos de pago en tiempo y forma. La relación de cuentas productivas especificas es la siguiente:</w:t>
      </w:r>
    </w:p>
    <w:p w:rsidR="00703B75" w:rsidRPr="00942948" w:rsidRDefault="00703B75" w:rsidP="00703B75">
      <w:pPr>
        <w:spacing w:after="0" w:line="276" w:lineRule="auto"/>
        <w:ind w:left="502" w:right="-1"/>
        <w:jc w:val="both"/>
        <w:rPr>
          <w:rFonts w:eastAsia="HelveticaNeueLT Std" w:cs="HelveticaNeueLT Std"/>
          <w:b/>
          <w:bCs/>
        </w:rPr>
      </w:pPr>
    </w:p>
    <w:p w:rsidR="00703B75" w:rsidRPr="00F42B4B" w:rsidRDefault="00703B75" w:rsidP="00703B75">
      <w:pPr>
        <w:spacing w:after="0" w:line="276" w:lineRule="auto"/>
        <w:ind w:left="502" w:right="-1"/>
        <w:jc w:val="both"/>
        <w:rPr>
          <w:rFonts w:cs="Arial"/>
          <w:b/>
        </w:rPr>
      </w:pPr>
    </w:p>
    <w:p w:rsidR="00703B75" w:rsidRPr="00F42B4B" w:rsidRDefault="00703B75" w:rsidP="00703B75">
      <w:pPr>
        <w:spacing w:after="0" w:line="276" w:lineRule="auto"/>
        <w:ind w:left="360" w:right="-1"/>
        <w:jc w:val="center"/>
        <w:rPr>
          <w:rFonts w:cs="Arial"/>
          <w:b/>
        </w:rPr>
      </w:pPr>
      <w:r w:rsidRPr="00DE798C">
        <w:rPr>
          <w:noProof/>
          <w:lang w:eastAsia="es-MX"/>
        </w:rPr>
        <w:drawing>
          <wp:inline distT="0" distB="0" distL="0" distR="0" wp14:anchorId="63382355" wp14:editId="7BB0525C">
            <wp:extent cx="5821832" cy="3688080"/>
            <wp:effectExtent l="0" t="0" r="762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319" cy="3689656"/>
                    </a:xfrm>
                    <a:prstGeom prst="rect">
                      <a:avLst/>
                    </a:prstGeom>
                    <a:noFill/>
                    <a:ln>
                      <a:noFill/>
                    </a:ln>
                  </pic:spPr>
                </pic:pic>
              </a:graphicData>
            </a:graphic>
          </wp:inline>
        </w:drawing>
      </w:r>
    </w:p>
    <w:p w:rsidR="00703B75" w:rsidRPr="00DD11AC" w:rsidRDefault="00703B75" w:rsidP="00703B75">
      <w:pPr>
        <w:numPr>
          <w:ilvl w:val="0"/>
          <w:numId w:val="1"/>
        </w:numPr>
        <w:tabs>
          <w:tab w:val="left" w:pos="639"/>
          <w:tab w:val="left" w:pos="3836"/>
        </w:tabs>
        <w:spacing w:before="240" w:after="0" w:line="276" w:lineRule="auto"/>
        <w:jc w:val="both"/>
        <w:rPr>
          <w:rFonts w:ascii="Arial" w:eastAsia="Arial" w:hAnsi="Arial" w:cs="Arial"/>
          <w:color w:val="000000" w:themeColor="text1"/>
        </w:rPr>
      </w:pPr>
      <w:r w:rsidRPr="00F42B4B">
        <w:rPr>
          <w:rFonts w:eastAsia="Times New Roman" w:cs="Arial"/>
          <w:b/>
          <w:bCs/>
          <w:lang w:eastAsia="es-MX"/>
        </w:rPr>
        <w:lastRenderedPageBreak/>
        <w:t>Inversiones Temporales (Hasta 3 meses). -</w:t>
      </w:r>
      <w:r>
        <w:rPr>
          <w:rFonts w:eastAsia="Times New Roman" w:cs="Arial"/>
          <w:b/>
          <w:bCs/>
          <w:lang w:eastAsia="es-MX"/>
        </w:rPr>
        <w:t xml:space="preserve"> </w:t>
      </w:r>
      <w:r w:rsidRPr="00F42B4B">
        <w:rPr>
          <w:rFonts w:eastAsia="Times New Roman" w:cs="Arial"/>
          <w:lang w:eastAsia="es-MX"/>
        </w:rPr>
        <w:t xml:space="preserve">El saldo </w:t>
      </w:r>
      <w:r w:rsidRPr="00F42B4B">
        <w:rPr>
          <w:rFonts w:eastAsia="Times New Roman" w:cs="Arial"/>
          <w:color w:val="000000" w:themeColor="text1"/>
          <w:lang w:eastAsia="es-MX"/>
        </w:rPr>
        <w:t xml:space="preserve">de </w:t>
      </w:r>
      <w:r w:rsidRPr="00305455">
        <w:rPr>
          <w:rFonts w:eastAsia="HelveticaNeueLT Std" w:cs="HelveticaNeueLT Std"/>
          <w:sz w:val="22"/>
          <w:szCs w:val="22"/>
        </w:rPr>
        <w:t xml:space="preserve"> </w:t>
      </w:r>
      <w:r>
        <w:rPr>
          <w:rFonts w:eastAsia="HelveticaNeueLT Std" w:cs="HelveticaNeueLT Std"/>
        </w:rPr>
        <w:t>361,020</w:t>
      </w:r>
      <w:r w:rsidRPr="00DD11AC">
        <w:rPr>
          <w:rFonts w:eastAsia="HelveticaNeueLT Std" w:cs="HelveticaNeueLT Std"/>
        </w:rPr>
        <w:t>,515.95</w:t>
      </w:r>
      <w:r>
        <w:rPr>
          <w:rFonts w:eastAsia="HelveticaNeueLT Std" w:cs="HelveticaNeueLT Std"/>
          <w:sz w:val="22"/>
          <w:szCs w:val="22"/>
        </w:rPr>
        <w:t xml:space="preserve"> </w:t>
      </w:r>
      <w:r w:rsidRPr="00F42B4B">
        <w:rPr>
          <w:rFonts w:eastAsia="Times New Roman" w:cs="Arial"/>
          <w:lang w:eastAsia="es-MX"/>
        </w:rPr>
        <w:t>refleja los depósitos bancarios a la vista para tener disponibilidades financieras en instrumentos de renta fija y poder cubrir con oportunidad los gastos de operación y de inversión del Instituto</w:t>
      </w:r>
      <w:r w:rsidR="00C90958">
        <w:rPr>
          <w:rFonts w:eastAsia="Times New Roman" w:cs="Arial"/>
          <w:lang w:eastAsia="es-MX"/>
        </w:rPr>
        <w:t>, la variación de 32.8</w:t>
      </w:r>
      <w:r w:rsidR="00C90958">
        <w:rPr>
          <w:rFonts w:ascii="Arial" w:eastAsia="Arial" w:hAnsi="Arial" w:cs="Arial"/>
          <w:color w:val="000000" w:themeColor="text1"/>
        </w:rPr>
        <w:t xml:space="preserve"> por ciento se debe principalmente al pago del bono por la cantidad de </w:t>
      </w:r>
      <w:r w:rsidR="00C90958" w:rsidRPr="00DD11AC">
        <w:rPr>
          <w:rFonts w:ascii="Arial" w:eastAsia="Arial" w:hAnsi="Arial" w:cs="Arial"/>
          <w:color w:val="000000" w:themeColor="text1"/>
        </w:rPr>
        <w:t>188,837,626.24</w:t>
      </w:r>
      <w:r w:rsidR="00C90958">
        <w:rPr>
          <w:rFonts w:ascii="Arial" w:eastAsia="Arial" w:hAnsi="Arial" w:cs="Arial"/>
          <w:color w:val="000000" w:themeColor="text1"/>
        </w:rPr>
        <w:t>, del segundo periodo de la serie subordinada C del Fideicomiso de Cobranza</w:t>
      </w:r>
      <w:r w:rsidRPr="00F42B4B">
        <w:rPr>
          <w:rFonts w:eastAsia="Times New Roman" w:cs="Arial"/>
          <w:lang w:eastAsia="es-MX"/>
        </w:rPr>
        <w:t>. Los intereses se registran en Otros Ingresos Financieros.</w:t>
      </w:r>
      <w:r w:rsidR="00C90958">
        <w:rPr>
          <w:rFonts w:eastAsia="Times New Roman" w:cs="Arial"/>
          <w:lang w:eastAsia="es-MX"/>
        </w:rPr>
        <w:t xml:space="preserve"> </w:t>
      </w:r>
    </w:p>
    <w:p w:rsidR="00703B75" w:rsidRPr="00F42B4B" w:rsidRDefault="00703B75" w:rsidP="00703B75">
      <w:pPr>
        <w:tabs>
          <w:tab w:val="left" w:pos="639"/>
          <w:tab w:val="left" w:pos="3836"/>
        </w:tabs>
        <w:spacing w:before="240" w:after="0" w:line="276" w:lineRule="auto"/>
        <w:ind w:left="502"/>
        <w:jc w:val="center"/>
        <w:rPr>
          <w:rFonts w:ascii="Arial" w:eastAsia="Arial" w:hAnsi="Arial" w:cs="Arial"/>
          <w:color w:val="000000" w:themeColor="text1"/>
        </w:rPr>
      </w:pPr>
      <w:r w:rsidRPr="00A76DDF">
        <w:rPr>
          <w:noProof/>
          <w:lang w:eastAsia="es-MX"/>
        </w:rPr>
        <w:drawing>
          <wp:inline distT="0" distB="0" distL="0" distR="0" wp14:anchorId="36549580" wp14:editId="65F80F90">
            <wp:extent cx="6029325" cy="7715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771525"/>
                    </a:xfrm>
                    <a:prstGeom prst="rect">
                      <a:avLst/>
                    </a:prstGeom>
                    <a:noFill/>
                    <a:ln>
                      <a:noFill/>
                    </a:ln>
                  </pic:spPr>
                </pic:pic>
              </a:graphicData>
            </a:graphic>
          </wp:inline>
        </w:drawing>
      </w:r>
    </w:p>
    <w:p w:rsidR="00703B75" w:rsidRPr="00F42B4B" w:rsidRDefault="00703B75" w:rsidP="00703B75">
      <w:pPr>
        <w:tabs>
          <w:tab w:val="left" w:pos="639"/>
          <w:tab w:val="left" w:pos="3836"/>
        </w:tabs>
        <w:spacing w:before="240" w:after="0" w:line="276" w:lineRule="auto"/>
        <w:ind w:left="142"/>
        <w:jc w:val="both"/>
      </w:pPr>
      <w:r w:rsidRPr="00F42B4B">
        <w:rPr>
          <w:rFonts w:eastAsia="Times New Roman" w:cs="Arial"/>
          <w:lang w:eastAsia="es-MX"/>
        </w:rPr>
        <w:t>En relación a la cuenta de Santander 680, ver comentarios del último párrafo del punto 1</w:t>
      </w:r>
      <w:r w:rsidR="0007270F">
        <w:rPr>
          <w:rFonts w:eastAsia="Times New Roman" w:cs="Arial"/>
          <w:lang w:eastAsia="es-MX"/>
        </w:rPr>
        <w:t>1</w:t>
      </w:r>
      <w:r w:rsidRPr="00F42B4B">
        <w:rPr>
          <w:rFonts w:eastAsia="Times New Roman" w:cs="Arial"/>
          <w:lang w:eastAsia="es-MX"/>
        </w:rPr>
        <w:t xml:space="preserve"> de las Notas de Gestión Administrativa.</w:t>
      </w:r>
      <w:r>
        <w:rPr>
          <w:rFonts w:eastAsia="Times New Roman" w:cs="Arial"/>
          <w:lang w:eastAsia="es-MX"/>
        </w:rPr>
        <w:t xml:space="preserve"> </w:t>
      </w:r>
    </w:p>
    <w:p w:rsidR="00EB508B" w:rsidRPr="00F42B4B" w:rsidRDefault="00EB508B" w:rsidP="00C9043E">
      <w:pPr>
        <w:shd w:val="clear" w:color="auto" w:fill="FFFFFF" w:themeFill="background1"/>
        <w:tabs>
          <w:tab w:val="left" w:pos="639"/>
          <w:tab w:val="left" w:pos="3836"/>
        </w:tabs>
        <w:spacing w:before="240" w:line="276" w:lineRule="auto"/>
        <w:ind w:right="-1"/>
        <w:jc w:val="both"/>
        <w:rPr>
          <w:rFonts w:cs="Arial"/>
        </w:rPr>
      </w:pPr>
      <w:r w:rsidRPr="00F42B4B">
        <w:rPr>
          <w:rFonts w:cs="Arial"/>
          <w:b/>
          <w:bCs/>
        </w:rPr>
        <w:t xml:space="preserve">Derecho a Recibir Efectivo o Equivalentes. - </w:t>
      </w:r>
      <w:r w:rsidR="00A360CF" w:rsidRPr="00DE16F2">
        <w:rPr>
          <w:rFonts w:cs="Arial"/>
        </w:rPr>
        <w:t>El saldo se integra con la siguiente cuenta</w:t>
      </w:r>
      <w:r w:rsidR="00A360CF" w:rsidRPr="00DE16F2">
        <w:rPr>
          <w:rFonts w:cs="Arial"/>
          <w:b/>
        </w:rPr>
        <w:t>:</w:t>
      </w:r>
    </w:p>
    <w:p w:rsidR="008B00B4" w:rsidRDefault="00EB508B" w:rsidP="008B00B4">
      <w:pPr>
        <w:numPr>
          <w:ilvl w:val="0"/>
          <w:numId w:val="1"/>
        </w:numPr>
        <w:tabs>
          <w:tab w:val="left" w:pos="639"/>
          <w:tab w:val="left" w:pos="3836"/>
        </w:tabs>
        <w:spacing w:before="240" w:after="0" w:line="276" w:lineRule="auto"/>
        <w:ind w:right="-1"/>
        <w:contextualSpacing/>
        <w:jc w:val="both"/>
        <w:rPr>
          <w:rFonts w:cs="Arial"/>
        </w:rPr>
      </w:pPr>
      <w:r w:rsidRPr="008E5FC2">
        <w:rPr>
          <w:rFonts w:cs="Arial"/>
          <w:b/>
          <w:bCs/>
        </w:rPr>
        <w:t>Deudores Diversos. -</w:t>
      </w:r>
      <w:r w:rsidRPr="008E5FC2">
        <w:rPr>
          <w:rFonts w:cs="Arial"/>
        </w:rPr>
        <w:t xml:space="preserve"> El </w:t>
      </w:r>
      <w:r w:rsidRPr="008E5FC2">
        <w:rPr>
          <w:rFonts w:cs="Arial"/>
          <w:color w:val="000000" w:themeColor="text1"/>
        </w:rPr>
        <w:t xml:space="preserve">saldo </w:t>
      </w:r>
      <w:r w:rsidR="00A360CF">
        <w:rPr>
          <w:rFonts w:cs="Arial"/>
          <w:color w:val="000000" w:themeColor="text1"/>
        </w:rPr>
        <w:t xml:space="preserve">es </w:t>
      </w:r>
      <w:r w:rsidR="00A360CF" w:rsidRPr="00130799">
        <w:rPr>
          <w:rFonts w:cs="Arial"/>
          <w:color w:val="000000" w:themeColor="text1"/>
        </w:rPr>
        <w:t xml:space="preserve">por </w:t>
      </w:r>
      <w:r w:rsidR="004D2D73" w:rsidRPr="00130799">
        <w:rPr>
          <w:rFonts w:cs="Arial"/>
          <w:color w:val="000000" w:themeColor="text1"/>
        </w:rPr>
        <w:t>35,789.11</w:t>
      </w:r>
      <w:r w:rsidR="00A360CF" w:rsidRPr="00130799">
        <w:rPr>
          <w:rFonts w:cs="Arial"/>
          <w:color w:val="000000" w:themeColor="text1"/>
        </w:rPr>
        <w:t>,</w:t>
      </w:r>
      <w:r w:rsidR="00A360CF">
        <w:rPr>
          <w:rFonts w:cs="Arial"/>
          <w:color w:val="000000" w:themeColor="text1"/>
          <w:sz w:val="22"/>
          <w:szCs w:val="22"/>
        </w:rPr>
        <w:t xml:space="preserve"> </w:t>
      </w:r>
      <w:r w:rsidR="00A96815">
        <w:rPr>
          <w:rFonts w:cs="Arial"/>
          <w:color w:val="000000" w:themeColor="text1"/>
          <w:sz w:val="22"/>
          <w:szCs w:val="22"/>
        </w:rPr>
        <w:t xml:space="preserve">el cual </w:t>
      </w:r>
      <w:r w:rsidR="008B00B4">
        <w:rPr>
          <w:rFonts w:cs="Arial"/>
        </w:rPr>
        <w:t>corresponde a una retención que</w:t>
      </w:r>
      <w:r w:rsidR="00A96815">
        <w:rPr>
          <w:rFonts w:cs="Arial"/>
        </w:rPr>
        <w:t xml:space="preserve"> se encue</w:t>
      </w:r>
      <w:r w:rsidR="00C9043E" w:rsidRPr="008B00B4">
        <w:rPr>
          <w:rFonts w:cs="Arial"/>
        </w:rPr>
        <w:t>ntra en aclaraciones con el</w:t>
      </w:r>
      <w:r w:rsidR="008B6DB9">
        <w:rPr>
          <w:rFonts w:cs="Arial"/>
        </w:rPr>
        <w:t xml:space="preserve"> Departamento de Personal por un crédito al consumo de </w:t>
      </w:r>
      <w:r w:rsidR="008E5FC2" w:rsidRPr="008B00B4">
        <w:rPr>
          <w:rFonts w:cs="Arial"/>
        </w:rPr>
        <w:t>ISSEMYM</w:t>
      </w:r>
      <w:r w:rsidR="008B00B4" w:rsidRPr="008B00B4">
        <w:rPr>
          <w:rFonts w:cs="Arial"/>
        </w:rPr>
        <w:t xml:space="preserve"> y </w:t>
      </w:r>
      <w:r w:rsidR="008B00B4">
        <w:rPr>
          <w:rFonts w:cs="Arial"/>
        </w:rPr>
        <w:t>a un</w:t>
      </w:r>
      <w:r w:rsidR="008B00B4" w:rsidRPr="008B00B4">
        <w:rPr>
          <w:rFonts w:cs="Arial"/>
        </w:rPr>
        <w:t xml:space="preserve"> importe de gastos a comprobar de un servidor público </w:t>
      </w:r>
      <w:r w:rsidR="00CE5798">
        <w:rPr>
          <w:rFonts w:cs="Arial"/>
        </w:rPr>
        <w:t xml:space="preserve">para el cumplimiento de sus funciones </w:t>
      </w:r>
      <w:r w:rsidR="00130799">
        <w:rPr>
          <w:rFonts w:cs="Arial"/>
        </w:rPr>
        <w:t>(</w:t>
      </w:r>
      <w:r w:rsidR="00CE5798">
        <w:rPr>
          <w:rFonts w:cs="Arial"/>
        </w:rPr>
        <w:t>mantenimiento de vehículos oficiales</w:t>
      </w:r>
      <w:r w:rsidR="00130799">
        <w:rPr>
          <w:rFonts w:cs="Arial"/>
        </w:rPr>
        <w:t>)</w:t>
      </w:r>
      <w:r w:rsidR="00CE5798">
        <w:rPr>
          <w:rFonts w:cs="Arial"/>
        </w:rPr>
        <w:t>.</w:t>
      </w:r>
    </w:p>
    <w:p w:rsidR="00DE3D57" w:rsidRPr="008B00B4" w:rsidRDefault="00DE3D57" w:rsidP="00DE3D57">
      <w:pPr>
        <w:tabs>
          <w:tab w:val="left" w:pos="639"/>
          <w:tab w:val="left" w:pos="3836"/>
        </w:tabs>
        <w:spacing w:before="240" w:after="0" w:line="276" w:lineRule="auto"/>
        <w:ind w:left="502" w:right="-1"/>
        <w:contextualSpacing/>
        <w:jc w:val="both"/>
        <w:rPr>
          <w:rFonts w:cs="Arial"/>
        </w:rPr>
      </w:pPr>
    </w:p>
    <w:p w:rsidR="0002608C" w:rsidRPr="00F42B4B" w:rsidRDefault="00DE3D57" w:rsidP="0002608C">
      <w:pPr>
        <w:spacing w:after="0" w:line="276" w:lineRule="auto"/>
        <w:ind w:right="-1"/>
        <w:jc w:val="center"/>
        <w:rPr>
          <w:rFonts w:cs="Arial"/>
          <w:b/>
        </w:rPr>
      </w:pPr>
      <w:r w:rsidRPr="00DE3D57">
        <w:rPr>
          <w:noProof/>
          <w:lang w:eastAsia="es-MX"/>
        </w:rPr>
        <w:drawing>
          <wp:inline distT="0" distB="0" distL="0" distR="0">
            <wp:extent cx="5695950" cy="17366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4871" cy="1739400"/>
                    </a:xfrm>
                    <a:prstGeom prst="rect">
                      <a:avLst/>
                    </a:prstGeom>
                    <a:noFill/>
                    <a:ln>
                      <a:noFill/>
                    </a:ln>
                  </pic:spPr>
                </pic:pic>
              </a:graphicData>
            </a:graphic>
          </wp:inline>
        </w:drawing>
      </w:r>
    </w:p>
    <w:p w:rsidR="00DE3D57" w:rsidRDefault="00DE3D57" w:rsidP="00EB508B">
      <w:pPr>
        <w:spacing w:after="0" w:line="276" w:lineRule="auto"/>
        <w:ind w:right="-1"/>
        <w:jc w:val="both"/>
        <w:rPr>
          <w:rFonts w:cs="Arial"/>
          <w:b/>
        </w:rPr>
      </w:pPr>
    </w:p>
    <w:p w:rsidR="00EB508B" w:rsidRPr="00F42B4B" w:rsidRDefault="00EB508B" w:rsidP="00EB508B">
      <w:pPr>
        <w:spacing w:after="0" w:line="276" w:lineRule="auto"/>
        <w:ind w:right="-1"/>
        <w:jc w:val="both"/>
        <w:rPr>
          <w:rFonts w:cs="Arial"/>
          <w:b/>
        </w:rPr>
      </w:pPr>
      <w:r w:rsidRPr="00F42B4B">
        <w:rPr>
          <w:rFonts w:cs="Arial"/>
          <w:b/>
        </w:rPr>
        <w:t>Activo No Circulante</w:t>
      </w:r>
    </w:p>
    <w:p w:rsidR="00EB508B" w:rsidRPr="00F42B4B" w:rsidRDefault="00EB508B" w:rsidP="00EB508B">
      <w:pPr>
        <w:spacing w:after="0" w:line="276" w:lineRule="auto"/>
        <w:ind w:right="-1"/>
        <w:jc w:val="both"/>
        <w:rPr>
          <w:rFonts w:cs="Arial"/>
          <w:b/>
          <w:sz w:val="12"/>
        </w:rPr>
      </w:pPr>
    </w:p>
    <w:p w:rsidR="00EB508B" w:rsidRPr="00DE16F2" w:rsidRDefault="00EB508B" w:rsidP="00EB508B">
      <w:pPr>
        <w:tabs>
          <w:tab w:val="left" w:pos="3836"/>
        </w:tabs>
        <w:spacing w:line="276" w:lineRule="auto"/>
        <w:ind w:right="-1"/>
        <w:jc w:val="both"/>
        <w:rPr>
          <w:rFonts w:cs="Arial"/>
          <w:b/>
        </w:rPr>
      </w:pPr>
      <w:r w:rsidRPr="00DE16F2">
        <w:rPr>
          <w:rFonts w:cs="Arial"/>
          <w:b/>
        </w:rPr>
        <w:t xml:space="preserve">Inversiones Financieras a Largo Plazo. - </w:t>
      </w:r>
      <w:r w:rsidRPr="00DE16F2">
        <w:rPr>
          <w:rFonts w:cs="Arial"/>
        </w:rPr>
        <w:t>El saldo se integra con la siguiente cuenta</w:t>
      </w:r>
      <w:r w:rsidRPr="00DE16F2">
        <w:rPr>
          <w:rFonts w:cs="Arial"/>
          <w:b/>
        </w:rPr>
        <w:t>:</w:t>
      </w:r>
      <w:r w:rsidRPr="00DE16F2">
        <w:t xml:space="preserve"> </w:t>
      </w:r>
    </w:p>
    <w:p w:rsidR="00EB508B" w:rsidRPr="00E04BA8" w:rsidRDefault="00EB508B" w:rsidP="00E04BA8">
      <w:pPr>
        <w:pStyle w:val="Prrafodelista"/>
        <w:numPr>
          <w:ilvl w:val="0"/>
          <w:numId w:val="1"/>
        </w:numPr>
        <w:spacing w:line="276" w:lineRule="auto"/>
        <w:ind w:right="-1"/>
        <w:jc w:val="both"/>
        <w:rPr>
          <w:rFonts w:ascii="HelveticaNeueLT Std" w:eastAsia="HelveticaNeueLT Std" w:hAnsi="HelveticaNeueLT Std" w:cs="HelveticaNeueLT Std"/>
          <w:b/>
          <w:bCs/>
          <w:color w:val="000000" w:themeColor="text1"/>
          <w:sz w:val="20"/>
          <w:szCs w:val="20"/>
        </w:rPr>
      </w:pPr>
      <w:r w:rsidRPr="00DE16F2">
        <w:rPr>
          <w:rFonts w:ascii="HelveticaNeueLT Std" w:eastAsiaTheme="minorEastAsia" w:hAnsi="HelveticaNeueLT Std" w:cs="Arial"/>
          <w:b/>
          <w:bCs/>
          <w:color w:val="000000" w:themeColor="text1"/>
          <w:sz w:val="20"/>
          <w:szCs w:val="20"/>
          <w:lang w:eastAsia="en-US"/>
        </w:rPr>
        <w:t>Fideicomisos, Mandatos y Contratos Análogos. -</w:t>
      </w:r>
      <w:r w:rsidRPr="00DE16F2">
        <w:rPr>
          <w:rFonts w:ascii="HelveticaNeueLT Std" w:eastAsiaTheme="minorEastAsia" w:hAnsi="HelveticaNeueLT Std" w:cs="Arial"/>
          <w:color w:val="000000" w:themeColor="text1"/>
          <w:sz w:val="20"/>
          <w:szCs w:val="20"/>
          <w:lang w:eastAsia="en-US"/>
        </w:rPr>
        <w:t xml:space="preserve"> El saldo de esta cuenta al mes que se analiza es por </w:t>
      </w:r>
      <w:r w:rsidR="00E04BA8" w:rsidRPr="00130799">
        <w:rPr>
          <w:rFonts w:ascii="HelveticaNeueLT Std" w:eastAsia="HelveticaNeueLT Std" w:hAnsi="HelveticaNeueLT Std" w:cs="HelveticaNeueLT Std"/>
          <w:sz w:val="20"/>
          <w:szCs w:val="20"/>
          <w:lang w:eastAsia="en-US"/>
        </w:rPr>
        <w:t>5,065,487,114.69</w:t>
      </w:r>
      <w:r w:rsidRPr="00130799">
        <w:rPr>
          <w:rFonts w:ascii="HelveticaNeueLT Std" w:eastAsiaTheme="minorEastAsia" w:hAnsi="HelveticaNeueLT Std" w:cs="Arial"/>
          <w:color w:val="000000" w:themeColor="text1"/>
          <w:sz w:val="20"/>
          <w:szCs w:val="20"/>
          <w:lang w:eastAsia="en-US"/>
        </w:rPr>
        <w:t xml:space="preserve">, que refleja los recursos transferidos al Fideicomiso de Cobranza, que corresponden </w:t>
      </w:r>
      <w:r w:rsidR="00A360CF" w:rsidRPr="00130799">
        <w:rPr>
          <w:rFonts w:ascii="HelveticaNeueLT Std" w:eastAsiaTheme="minorEastAsia" w:hAnsi="HelveticaNeueLT Std" w:cs="Arial"/>
          <w:color w:val="000000" w:themeColor="text1"/>
          <w:sz w:val="20"/>
          <w:szCs w:val="20"/>
          <w:lang w:eastAsia="en-US"/>
        </w:rPr>
        <w:t>a</w:t>
      </w:r>
      <w:r w:rsidRPr="00130799">
        <w:rPr>
          <w:rFonts w:ascii="HelveticaNeueLT Std" w:eastAsiaTheme="minorEastAsia" w:hAnsi="HelveticaNeueLT Std" w:cs="Arial"/>
          <w:color w:val="000000" w:themeColor="text1"/>
          <w:sz w:val="20"/>
          <w:szCs w:val="20"/>
          <w:lang w:eastAsia="en-US"/>
        </w:rPr>
        <w:t xml:space="preserve"> las siguientes cantidades, al RPP por </w:t>
      </w:r>
      <w:r w:rsidR="00E04BA8" w:rsidRPr="00130799">
        <w:rPr>
          <w:rFonts w:ascii="HelveticaNeueLT Std" w:eastAsia="HelveticaNeueLT Std" w:hAnsi="HelveticaNeueLT Std" w:cs="HelveticaNeueLT Std"/>
          <w:sz w:val="20"/>
          <w:szCs w:val="20"/>
          <w:lang w:eastAsia="en-US"/>
        </w:rPr>
        <w:t>5,054,541,009.04</w:t>
      </w:r>
      <w:r w:rsidRPr="00130799">
        <w:rPr>
          <w:rFonts w:ascii="HelveticaNeueLT Std" w:eastAsiaTheme="minorEastAsia" w:hAnsi="HelveticaNeueLT Std" w:cs="Arial"/>
          <w:color w:val="000000" w:themeColor="text1"/>
          <w:sz w:val="20"/>
          <w:szCs w:val="20"/>
          <w:lang w:eastAsia="en-US"/>
        </w:rPr>
        <w:t xml:space="preserve">, y al RPC por </w:t>
      </w:r>
      <w:r w:rsidR="00E04BA8" w:rsidRPr="00130799">
        <w:rPr>
          <w:rFonts w:ascii="HelveticaNeueLT Std" w:eastAsia="HelveticaNeueLT Std" w:hAnsi="HelveticaNeueLT Std" w:cs="HelveticaNeueLT Std"/>
          <w:sz w:val="20"/>
          <w:szCs w:val="20"/>
          <w:lang w:eastAsia="en-US"/>
        </w:rPr>
        <w:t>10,946,105.65</w:t>
      </w:r>
      <w:r w:rsidRPr="00130799">
        <w:rPr>
          <w:rFonts w:ascii="HelveticaNeueLT Std" w:eastAsia="HelveticaNeueLT Std" w:hAnsi="HelveticaNeueLT Std" w:cs="HelveticaNeueLT Std"/>
          <w:sz w:val="20"/>
          <w:szCs w:val="20"/>
          <w:lang w:eastAsia="en-US"/>
        </w:rPr>
        <w:t>.</w:t>
      </w:r>
    </w:p>
    <w:p w:rsidR="00E04BA8" w:rsidRDefault="00E04BA8" w:rsidP="00E04BA8">
      <w:pPr>
        <w:pStyle w:val="Prrafodelista"/>
        <w:spacing w:line="276" w:lineRule="auto"/>
        <w:ind w:left="502" w:right="-1"/>
        <w:jc w:val="both"/>
        <w:rPr>
          <w:rFonts w:ascii="HelveticaNeueLT Std" w:eastAsiaTheme="minorEastAsia" w:hAnsi="HelveticaNeueLT Std" w:cs="Arial"/>
          <w:b/>
          <w:bCs/>
          <w:color w:val="000000" w:themeColor="text1"/>
          <w:sz w:val="20"/>
          <w:szCs w:val="20"/>
          <w:lang w:eastAsia="en-US"/>
        </w:rPr>
      </w:pPr>
    </w:p>
    <w:p w:rsidR="00E04BA8" w:rsidRDefault="00E04BA8" w:rsidP="00E04BA8">
      <w:pPr>
        <w:pStyle w:val="Prrafodelista"/>
        <w:spacing w:line="276" w:lineRule="auto"/>
        <w:ind w:left="502" w:right="-1"/>
        <w:jc w:val="both"/>
        <w:rPr>
          <w:rFonts w:ascii="HelveticaNeueLT Std" w:eastAsiaTheme="minorEastAsia" w:hAnsi="HelveticaNeueLT Std" w:cs="Arial"/>
          <w:b/>
          <w:bCs/>
          <w:color w:val="000000" w:themeColor="text1"/>
          <w:sz w:val="20"/>
          <w:szCs w:val="20"/>
          <w:lang w:eastAsia="en-US"/>
        </w:rPr>
      </w:pPr>
    </w:p>
    <w:p w:rsidR="00E04BA8" w:rsidRDefault="00E04BA8" w:rsidP="00E04BA8">
      <w:pPr>
        <w:pStyle w:val="Prrafodelista"/>
        <w:spacing w:line="276" w:lineRule="auto"/>
        <w:ind w:left="502" w:right="-1"/>
        <w:jc w:val="both"/>
        <w:rPr>
          <w:rFonts w:ascii="HelveticaNeueLT Std" w:eastAsiaTheme="minorEastAsia" w:hAnsi="HelveticaNeueLT Std" w:cs="Arial"/>
          <w:b/>
          <w:bCs/>
          <w:color w:val="000000" w:themeColor="text1"/>
          <w:sz w:val="20"/>
          <w:szCs w:val="20"/>
          <w:lang w:eastAsia="en-US"/>
        </w:rPr>
      </w:pPr>
    </w:p>
    <w:p w:rsidR="00E04BA8" w:rsidRPr="00DE16F2" w:rsidRDefault="00E04BA8" w:rsidP="00E04BA8">
      <w:pPr>
        <w:pStyle w:val="Prrafodelista"/>
        <w:spacing w:line="276" w:lineRule="auto"/>
        <w:ind w:left="502" w:right="-1"/>
        <w:jc w:val="both"/>
        <w:rPr>
          <w:rFonts w:ascii="HelveticaNeueLT Std" w:eastAsia="HelveticaNeueLT Std" w:hAnsi="HelveticaNeueLT Std" w:cs="HelveticaNeueLT Std"/>
          <w:b/>
          <w:bCs/>
          <w:color w:val="000000" w:themeColor="text1"/>
          <w:sz w:val="20"/>
          <w:szCs w:val="20"/>
        </w:rPr>
      </w:pPr>
    </w:p>
    <w:p w:rsidR="00EB508B" w:rsidRPr="00F42B4B" w:rsidRDefault="00EB508B" w:rsidP="00EB508B">
      <w:pPr>
        <w:spacing w:line="276" w:lineRule="auto"/>
        <w:ind w:right="-1"/>
        <w:jc w:val="both"/>
        <w:rPr>
          <w:rFonts w:cs="Arial"/>
          <w:b/>
          <w:color w:val="000000" w:themeColor="text1"/>
          <w:sz w:val="4"/>
        </w:rPr>
      </w:pPr>
    </w:p>
    <w:p w:rsidR="00EB508B" w:rsidRPr="00F42B4B" w:rsidRDefault="00EB508B" w:rsidP="00EB508B">
      <w:pPr>
        <w:pStyle w:val="Prrafodelista"/>
        <w:spacing w:line="276" w:lineRule="auto"/>
        <w:ind w:left="502" w:right="-1"/>
        <w:jc w:val="both"/>
        <w:rPr>
          <w:rFonts w:cs="Arial"/>
          <w:b/>
          <w:color w:val="000000" w:themeColor="text1"/>
          <w:sz w:val="4"/>
        </w:rPr>
      </w:pPr>
    </w:p>
    <w:p w:rsidR="00D807A5" w:rsidRPr="00F42B4B" w:rsidRDefault="00EB508B" w:rsidP="00D807A5">
      <w:pPr>
        <w:spacing w:line="276" w:lineRule="auto"/>
        <w:ind w:right="-1"/>
        <w:jc w:val="both"/>
        <w:rPr>
          <w:rFonts w:cs="Arial"/>
          <w:b/>
        </w:rPr>
      </w:pPr>
      <w:r w:rsidRPr="00F42B4B">
        <w:rPr>
          <w:rFonts w:cs="Arial"/>
          <w:b/>
        </w:rPr>
        <w:t>Bienes Inmuebles, Infraestructura y Construcciones en Proceso</w:t>
      </w:r>
      <w:r w:rsidR="00D807A5">
        <w:rPr>
          <w:rFonts w:cs="Arial"/>
          <w:b/>
        </w:rPr>
        <w:t>.-</w:t>
      </w:r>
      <w:r w:rsidR="00D807A5" w:rsidRPr="00D807A5">
        <w:rPr>
          <w:rFonts w:cs="Arial"/>
        </w:rPr>
        <w:t xml:space="preserve"> </w:t>
      </w:r>
      <w:r w:rsidR="00D807A5">
        <w:rPr>
          <w:rFonts w:cs="Arial"/>
        </w:rPr>
        <w:t>S</w:t>
      </w:r>
      <w:r w:rsidR="00D807A5" w:rsidRPr="00F42B4B">
        <w:rPr>
          <w:rFonts w:cs="Arial"/>
        </w:rPr>
        <w:t>e integra por la siguiente cuenta:</w:t>
      </w:r>
    </w:p>
    <w:p w:rsidR="00EB508B" w:rsidRDefault="00EB508B" w:rsidP="00E04BA8">
      <w:pPr>
        <w:numPr>
          <w:ilvl w:val="0"/>
          <w:numId w:val="1"/>
        </w:numPr>
        <w:spacing w:after="0" w:line="276" w:lineRule="auto"/>
        <w:ind w:right="-1"/>
        <w:jc w:val="both"/>
        <w:rPr>
          <w:rFonts w:cs="Arial"/>
          <w:color w:val="000000" w:themeColor="text1"/>
        </w:rPr>
      </w:pPr>
      <w:r w:rsidRPr="00F42B4B">
        <w:rPr>
          <w:rFonts w:cs="Arial"/>
          <w:b/>
          <w:bCs/>
        </w:rPr>
        <w:t xml:space="preserve">Edificios no Habitacionales. - </w:t>
      </w:r>
      <w:r w:rsidRPr="00F42B4B">
        <w:rPr>
          <w:rFonts w:cs="Arial"/>
        </w:rPr>
        <w:t>A la fe</w:t>
      </w:r>
      <w:r w:rsidRPr="00130799">
        <w:rPr>
          <w:rFonts w:cs="Arial"/>
        </w:rPr>
        <w:t xml:space="preserve">cha de estas notas presentaron un valor histórico de </w:t>
      </w:r>
      <w:r w:rsidRPr="00130799">
        <w:rPr>
          <w:rFonts w:eastAsia="HelveticaNeueLT Std" w:cs="HelveticaNeueLT Std"/>
        </w:rPr>
        <w:t>86,325,735.19,</w:t>
      </w:r>
      <w:r w:rsidRPr="00130799">
        <w:rPr>
          <w:rFonts w:cs="Arial"/>
        </w:rPr>
        <w:t xml:space="preserve"> l</w:t>
      </w:r>
      <w:r w:rsidRPr="00130799">
        <w:rPr>
          <w:rFonts w:cs="Arial"/>
          <w:color w:val="000000" w:themeColor="text1"/>
        </w:rPr>
        <w:t xml:space="preserve">a depreciación acumulada al mes actual fue de </w:t>
      </w:r>
      <w:r w:rsidR="00E04BA8" w:rsidRPr="00130799">
        <w:rPr>
          <w:rFonts w:eastAsia="HelveticaNeueLT Std" w:cs="HelveticaNeueLT Std"/>
        </w:rPr>
        <w:t>8,441,758.47</w:t>
      </w:r>
      <w:r w:rsidRPr="00130799">
        <w:rPr>
          <w:rFonts w:eastAsia="HelveticaNeueLT Std" w:cs="HelveticaNeueLT Std"/>
        </w:rPr>
        <w:t xml:space="preserve">, se afecta contra el resultado del ejercicio por lo que se determinó un valor neto en libros de </w:t>
      </w:r>
      <w:r w:rsidR="00E04BA8" w:rsidRPr="00130799">
        <w:rPr>
          <w:rFonts w:eastAsia="HelveticaNeueLT Std" w:cs="HelveticaNeueLT Std"/>
        </w:rPr>
        <w:t>77,883,976.72</w:t>
      </w:r>
      <w:r w:rsidRPr="00130799">
        <w:rPr>
          <w:rFonts w:cs="Arial"/>
          <w:color w:val="000000" w:themeColor="text1"/>
        </w:rPr>
        <w:t>.</w:t>
      </w:r>
    </w:p>
    <w:p w:rsidR="00340A9D" w:rsidRPr="00F42B4B" w:rsidRDefault="00340A9D" w:rsidP="00340A9D">
      <w:pPr>
        <w:spacing w:after="0" w:line="276" w:lineRule="auto"/>
        <w:ind w:left="502" w:right="-1"/>
        <w:jc w:val="both"/>
        <w:rPr>
          <w:rFonts w:cs="Arial"/>
          <w:color w:val="000000" w:themeColor="text1"/>
        </w:rPr>
      </w:pPr>
    </w:p>
    <w:p w:rsidR="00EB508B" w:rsidRPr="00F42B4B" w:rsidRDefault="00EB508B" w:rsidP="00340A9D">
      <w:pPr>
        <w:spacing w:line="259" w:lineRule="auto"/>
        <w:rPr>
          <w:rFonts w:cs="Arial"/>
        </w:rPr>
      </w:pPr>
      <w:r w:rsidRPr="00F42B4B">
        <w:rPr>
          <w:rFonts w:cs="Arial"/>
          <w:b/>
          <w:bCs/>
        </w:rPr>
        <w:t xml:space="preserve">Bienes Muebles.- </w:t>
      </w:r>
      <w:r w:rsidRPr="00F42B4B">
        <w:rPr>
          <w:rFonts w:cs="Arial"/>
        </w:rPr>
        <w:t xml:space="preserve">De acuerdo con el Análisis de Movimientos del Activo No Circulante y su Depreciación:  </w:t>
      </w:r>
    </w:p>
    <w:p w:rsidR="00EB508B" w:rsidRPr="00F42B4B" w:rsidRDefault="00B365F4" w:rsidP="00EB508B">
      <w:pPr>
        <w:spacing w:after="0" w:line="276" w:lineRule="auto"/>
        <w:ind w:right="-1"/>
        <w:jc w:val="both"/>
        <w:rPr>
          <w:b/>
          <w:bCs/>
          <w:color w:val="000000" w:themeColor="text1"/>
        </w:rPr>
      </w:pPr>
      <w:r w:rsidRPr="00B365F4">
        <w:rPr>
          <w:noProof/>
          <w:lang w:eastAsia="es-MX"/>
        </w:rPr>
        <w:drawing>
          <wp:inline distT="0" distB="0" distL="0" distR="0">
            <wp:extent cx="6389370" cy="1936660"/>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9370" cy="1936660"/>
                    </a:xfrm>
                    <a:prstGeom prst="rect">
                      <a:avLst/>
                    </a:prstGeom>
                    <a:noFill/>
                    <a:ln>
                      <a:noFill/>
                    </a:ln>
                  </pic:spPr>
                </pic:pic>
              </a:graphicData>
            </a:graphic>
          </wp:inline>
        </w:drawing>
      </w:r>
    </w:p>
    <w:p w:rsidR="00EB508B" w:rsidRPr="00F42B4B" w:rsidRDefault="00EB508B" w:rsidP="00EB508B">
      <w:pPr>
        <w:spacing w:after="0" w:line="276" w:lineRule="auto"/>
        <w:ind w:right="-1"/>
        <w:jc w:val="both"/>
        <w:rPr>
          <w:rFonts w:cs="Arial"/>
        </w:rPr>
      </w:pPr>
      <w:r w:rsidRPr="00F42B4B">
        <w:rPr>
          <w:rFonts w:cs="Arial"/>
          <w:b/>
        </w:rPr>
        <w:t xml:space="preserve">Nota: </w:t>
      </w:r>
      <w:r w:rsidRPr="00F42B4B">
        <w:rPr>
          <w:rFonts w:cs="Arial"/>
        </w:rPr>
        <w:t>Las bajas de los bienes de equipo de cómputo y muebles de oficina son por donación y bienes obsoletos o en mal estado.</w:t>
      </w:r>
    </w:p>
    <w:p w:rsidR="00EB508B" w:rsidRPr="00F42B4B" w:rsidRDefault="00EB508B" w:rsidP="00EB508B">
      <w:pPr>
        <w:spacing w:after="0" w:line="276" w:lineRule="auto"/>
        <w:ind w:right="-1"/>
        <w:rPr>
          <w:rFonts w:cs="Arial"/>
          <w:b/>
        </w:rPr>
      </w:pPr>
    </w:p>
    <w:p w:rsidR="00EB508B" w:rsidRPr="00F42B4B" w:rsidRDefault="00EB508B" w:rsidP="00EB508B">
      <w:pPr>
        <w:spacing w:after="0" w:line="276" w:lineRule="auto"/>
        <w:ind w:right="-1"/>
        <w:rPr>
          <w:rFonts w:cs="Arial"/>
          <w:b/>
        </w:rPr>
      </w:pPr>
      <w:r w:rsidRPr="00F42B4B">
        <w:rPr>
          <w:rFonts w:cs="Arial"/>
          <w:b/>
        </w:rPr>
        <w:t>Activos Diferidos.-</w:t>
      </w:r>
      <w:r w:rsidRPr="00F42B4B">
        <w:rPr>
          <w:rFonts w:cs="Arial"/>
        </w:rPr>
        <w:t xml:space="preserve"> El saldo de </w:t>
      </w:r>
      <w:r w:rsidRPr="00F42B4B">
        <w:rPr>
          <w:rFonts w:cs="Arial"/>
          <w:color w:val="000000" w:themeColor="text1"/>
        </w:rPr>
        <w:t xml:space="preserve">61,839.00, </w:t>
      </w:r>
      <w:r w:rsidRPr="00F42B4B">
        <w:rPr>
          <w:rFonts w:cs="Arial"/>
        </w:rPr>
        <w:t>se integra por la siguiente cuenta:</w:t>
      </w:r>
    </w:p>
    <w:p w:rsidR="00EB508B" w:rsidRPr="00F42B4B" w:rsidRDefault="00EB508B" w:rsidP="00EB508B">
      <w:pPr>
        <w:spacing w:after="0" w:line="276" w:lineRule="auto"/>
        <w:ind w:right="-1"/>
        <w:jc w:val="both"/>
        <w:rPr>
          <w:rFonts w:cs="Arial"/>
        </w:rPr>
      </w:pPr>
    </w:p>
    <w:p w:rsidR="00EB508B" w:rsidRPr="00F42B4B" w:rsidRDefault="00EB508B" w:rsidP="008B00B4">
      <w:pPr>
        <w:pStyle w:val="Prrafodelista"/>
        <w:numPr>
          <w:ilvl w:val="0"/>
          <w:numId w:val="1"/>
        </w:numPr>
        <w:spacing w:line="276" w:lineRule="auto"/>
        <w:ind w:right="-1"/>
        <w:jc w:val="both"/>
        <w:outlineLvl w:val="0"/>
        <w:rPr>
          <w:rFonts w:ascii="HelveticaNeueLT Std" w:eastAsiaTheme="minorEastAsia" w:hAnsi="HelveticaNeueLT Std" w:cs="Arial"/>
          <w:sz w:val="20"/>
          <w:szCs w:val="20"/>
          <w:lang w:eastAsia="en-US"/>
        </w:rPr>
      </w:pPr>
      <w:r w:rsidRPr="00F42B4B">
        <w:rPr>
          <w:rFonts w:ascii="HelveticaNeueLT Std" w:eastAsiaTheme="minorEastAsia" w:hAnsi="HelveticaNeueLT Std" w:cs="Arial"/>
          <w:b/>
          <w:bCs/>
          <w:sz w:val="20"/>
          <w:szCs w:val="20"/>
          <w:lang w:eastAsia="en-US"/>
        </w:rPr>
        <w:t>Otros Activos Diferidos. -</w:t>
      </w:r>
      <w:r w:rsidRPr="00F42B4B">
        <w:rPr>
          <w:rFonts w:ascii="HelveticaNeueLT Std" w:eastAsiaTheme="minorEastAsia" w:hAnsi="HelveticaNeueLT Std" w:cs="Arial"/>
          <w:sz w:val="20"/>
          <w:szCs w:val="20"/>
          <w:lang w:eastAsia="en-US"/>
        </w:rPr>
        <w:t xml:space="preserve"> Su saldo representa los depósitos en garantía que se han otorgado a la Comisión Federal de Electricidad (CFE) para prestar el servicio de energía eléctrica.</w:t>
      </w:r>
    </w:p>
    <w:p w:rsidR="00EB508B" w:rsidRPr="00F42B4B" w:rsidRDefault="00EB508B" w:rsidP="00EB508B">
      <w:pPr>
        <w:spacing w:after="0" w:line="276" w:lineRule="auto"/>
        <w:ind w:right="-1"/>
        <w:jc w:val="both"/>
        <w:rPr>
          <w:rFonts w:cs="Arial"/>
          <w:b/>
        </w:rPr>
      </w:pPr>
    </w:p>
    <w:p w:rsidR="00EB508B" w:rsidRPr="00F42B4B" w:rsidRDefault="00EB508B" w:rsidP="00EB508B">
      <w:pPr>
        <w:spacing w:line="276" w:lineRule="auto"/>
        <w:ind w:right="-1"/>
        <w:jc w:val="both"/>
        <w:outlineLvl w:val="0"/>
        <w:rPr>
          <w:rFonts w:cs="Arial"/>
          <w:b/>
        </w:rPr>
      </w:pPr>
      <w:r w:rsidRPr="00F42B4B">
        <w:rPr>
          <w:rFonts w:cs="Arial"/>
          <w:b/>
        </w:rPr>
        <w:t>Pasivo Circulante</w:t>
      </w:r>
    </w:p>
    <w:p w:rsidR="00BF43E6" w:rsidRDefault="00EB508B" w:rsidP="00F15200">
      <w:pPr>
        <w:spacing w:line="276" w:lineRule="auto"/>
        <w:ind w:right="-1"/>
        <w:jc w:val="both"/>
        <w:outlineLvl w:val="0"/>
        <w:rPr>
          <w:rFonts w:eastAsiaTheme="minorEastAsia" w:cs="Arial"/>
        </w:rPr>
      </w:pPr>
      <w:r w:rsidRPr="00F15200">
        <w:rPr>
          <w:rFonts w:eastAsiaTheme="minorEastAsia" w:cs="Arial"/>
          <w:b/>
          <w:bCs/>
        </w:rPr>
        <w:t>Cuentas por Pagar a Corto Plazo</w:t>
      </w:r>
      <w:r w:rsidRPr="00F15200">
        <w:rPr>
          <w:rFonts w:cs="Arial"/>
          <w:b/>
          <w:bCs/>
        </w:rPr>
        <w:t>.-</w:t>
      </w:r>
      <w:r w:rsidRPr="00F15200">
        <w:rPr>
          <w:rFonts w:cs="Arial"/>
          <w:b/>
          <w:bCs/>
          <w:sz w:val="22"/>
          <w:szCs w:val="22"/>
        </w:rPr>
        <w:t xml:space="preserve"> </w:t>
      </w:r>
      <w:r w:rsidRPr="00F15200">
        <w:rPr>
          <w:rFonts w:eastAsiaTheme="minorEastAsia" w:cs="Arial"/>
        </w:rPr>
        <w:t xml:space="preserve">El saldo de este rubro por </w:t>
      </w:r>
      <w:r w:rsidR="00490223" w:rsidRPr="00F15200">
        <w:rPr>
          <w:rFonts w:eastAsiaTheme="minorEastAsia" w:cs="Arial"/>
        </w:rPr>
        <w:t>4,589,268.97</w:t>
      </w:r>
      <w:r w:rsidRPr="00F15200">
        <w:rPr>
          <w:rFonts w:eastAsiaTheme="minorEastAsia" w:cs="Arial"/>
        </w:rPr>
        <w:t>, se integra de la forma y con la antigüedad de saldos siguientes:</w:t>
      </w:r>
    </w:p>
    <w:p w:rsidR="00947284" w:rsidRDefault="00947284" w:rsidP="00947284">
      <w:pPr>
        <w:spacing w:line="276" w:lineRule="auto"/>
        <w:ind w:right="-1"/>
        <w:jc w:val="center"/>
        <w:outlineLvl w:val="0"/>
        <w:rPr>
          <w:rFonts w:eastAsiaTheme="minorEastAsia" w:cs="Arial"/>
        </w:rPr>
      </w:pPr>
      <w:r w:rsidRPr="00947284">
        <w:rPr>
          <w:noProof/>
          <w:lang w:eastAsia="es-MX"/>
        </w:rPr>
        <w:drawing>
          <wp:inline distT="0" distB="0" distL="0" distR="0">
            <wp:extent cx="6038850"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571500"/>
                    </a:xfrm>
                    <a:prstGeom prst="rect">
                      <a:avLst/>
                    </a:prstGeom>
                    <a:noFill/>
                    <a:ln>
                      <a:noFill/>
                    </a:ln>
                  </pic:spPr>
                </pic:pic>
              </a:graphicData>
            </a:graphic>
          </wp:inline>
        </w:drawing>
      </w:r>
    </w:p>
    <w:p w:rsidR="00EB508B" w:rsidRPr="00F42B4B" w:rsidRDefault="00EB508B" w:rsidP="00EB508B">
      <w:pPr>
        <w:spacing w:line="276" w:lineRule="auto"/>
        <w:ind w:right="-1"/>
        <w:outlineLvl w:val="0"/>
        <w:rPr>
          <w:rFonts w:cs="Arial"/>
        </w:rPr>
      </w:pPr>
      <w:r w:rsidRPr="00F42B4B">
        <w:rPr>
          <w:rFonts w:cs="Arial"/>
        </w:rPr>
        <w:t xml:space="preserve">El importe a más de 365 días se debe a la cancelación de cheques en tránsito </w:t>
      </w:r>
      <w:r w:rsidR="003A53F6">
        <w:rPr>
          <w:rFonts w:cs="Arial"/>
        </w:rPr>
        <w:t xml:space="preserve">(por devolución de ingresos indebidos), </w:t>
      </w:r>
      <w:r w:rsidRPr="00F42B4B">
        <w:rPr>
          <w:rFonts w:cs="Arial"/>
        </w:rPr>
        <w:t>los cuales deben de permanecer en cuentas por pagar de acuerdo con la normatividad vigente.</w:t>
      </w:r>
    </w:p>
    <w:p w:rsidR="00EB508B" w:rsidRPr="008A556F" w:rsidRDefault="00EB508B" w:rsidP="00490223">
      <w:pPr>
        <w:pStyle w:val="Prrafodelista"/>
        <w:numPr>
          <w:ilvl w:val="0"/>
          <w:numId w:val="1"/>
        </w:numPr>
        <w:spacing w:line="276" w:lineRule="auto"/>
        <w:ind w:right="-1"/>
        <w:jc w:val="both"/>
        <w:outlineLvl w:val="0"/>
        <w:rPr>
          <w:rFonts w:eastAsiaTheme="minorEastAsia" w:cs="Arial"/>
          <w:b/>
          <w:bCs/>
        </w:rPr>
      </w:pPr>
      <w:r w:rsidRPr="00467384">
        <w:rPr>
          <w:rFonts w:ascii="HelveticaNeueLT Std" w:eastAsiaTheme="minorEastAsia" w:hAnsi="HelveticaNeueLT Std" w:cs="Arial"/>
          <w:b/>
          <w:bCs/>
          <w:sz w:val="20"/>
          <w:szCs w:val="20"/>
          <w:lang w:eastAsia="en-US"/>
        </w:rPr>
        <w:t xml:space="preserve">Proveedores por Pagar a Corto Plazo. </w:t>
      </w:r>
      <w:r w:rsidRPr="00467384">
        <w:rPr>
          <w:rFonts w:ascii="HelveticaNeueLT Std" w:eastAsiaTheme="minorEastAsia" w:hAnsi="HelveticaNeueLT Std" w:cs="Arial"/>
          <w:sz w:val="20"/>
          <w:szCs w:val="20"/>
          <w:lang w:eastAsia="en-US"/>
        </w:rPr>
        <w:t xml:space="preserve">- El saldo de </w:t>
      </w:r>
      <w:r w:rsidR="00490223" w:rsidRPr="00CD53CF">
        <w:rPr>
          <w:rFonts w:ascii="HelveticaNeueLT Std" w:eastAsia="HelveticaNeueLT Std" w:hAnsi="HelveticaNeueLT Std" w:cs="HelveticaNeueLT Std"/>
          <w:sz w:val="20"/>
          <w:szCs w:val="20"/>
          <w:lang w:eastAsia="en-US"/>
        </w:rPr>
        <w:t>2,756,983.30</w:t>
      </w:r>
      <w:r w:rsidRPr="00CD53CF">
        <w:rPr>
          <w:rFonts w:ascii="HelveticaNeueLT Std" w:eastAsiaTheme="minorEastAsia" w:hAnsi="HelveticaNeueLT Std" w:cs="Arial"/>
          <w:sz w:val="20"/>
          <w:szCs w:val="20"/>
          <w:lang w:eastAsia="en-US"/>
        </w:rPr>
        <w:t xml:space="preserve">, </w:t>
      </w:r>
      <w:r w:rsidRPr="00467384">
        <w:rPr>
          <w:rFonts w:ascii="HelveticaNeueLT Std" w:eastAsiaTheme="minorEastAsia" w:hAnsi="HelveticaNeueLT Std" w:cs="Arial"/>
          <w:sz w:val="20"/>
          <w:szCs w:val="20"/>
          <w:lang w:eastAsia="en-US"/>
        </w:rPr>
        <w:t xml:space="preserve">representa el importe de las obligaciones de pago, principalmente por los siguientes proveedores; Axtel S.A.B. de C.V., </w:t>
      </w:r>
      <w:r w:rsidR="00EA46B7" w:rsidRPr="00467384">
        <w:rPr>
          <w:rFonts w:ascii="HelveticaNeueLT Std" w:eastAsiaTheme="minorEastAsia" w:hAnsi="HelveticaNeueLT Std" w:cs="Arial"/>
          <w:sz w:val="20"/>
          <w:szCs w:val="20"/>
          <w:lang w:eastAsia="en-US"/>
        </w:rPr>
        <w:t xml:space="preserve">KPMG Cárdenas Dosal S.C., </w:t>
      </w:r>
      <w:r w:rsidR="00467384">
        <w:rPr>
          <w:rFonts w:ascii="HelveticaNeueLT Std" w:eastAsiaTheme="minorEastAsia" w:hAnsi="HelveticaNeueLT Std" w:cs="Arial"/>
          <w:sz w:val="20"/>
          <w:szCs w:val="20"/>
          <w:lang w:eastAsia="en-US"/>
        </w:rPr>
        <w:t xml:space="preserve">y </w:t>
      </w:r>
      <w:r w:rsidR="00EA46B7" w:rsidRPr="00467384">
        <w:rPr>
          <w:rFonts w:ascii="HelveticaNeueLT Std" w:eastAsiaTheme="minorEastAsia" w:hAnsi="HelveticaNeueLT Std" w:cs="Arial"/>
          <w:sz w:val="20"/>
          <w:szCs w:val="20"/>
          <w:lang w:eastAsia="en-US"/>
        </w:rPr>
        <w:t xml:space="preserve">Tech-Pro S.A. de C.V. </w:t>
      </w:r>
    </w:p>
    <w:p w:rsidR="008A556F" w:rsidRPr="00F42B4B" w:rsidRDefault="008A556F" w:rsidP="008A556F">
      <w:pPr>
        <w:pStyle w:val="Prrafodelista"/>
        <w:spacing w:line="276" w:lineRule="auto"/>
        <w:ind w:left="502" w:right="-1"/>
        <w:jc w:val="both"/>
        <w:outlineLvl w:val="0"/>
        <w:rPr>
          <w:rFonts w:eastAsiaTheme="minorEastAsia" w:cs="Arial"/>
          <w:b/>
          <w:bCs/>
        </w:rPr>
      </w:pPr>
    </w:p>
    <w:p w:rsidR="00EB508B" w:rsidRPr="00091600" w:rsidRDefault="00EB508B" w:rsidP="00490223">
      <w:pPr>
        <w:pStyle w:val="Prrafodelista"/>
        <w:numPr>
          <w:ilvl w:val="0"/>
          <w:numId w:val="1"/>
        </w:numPr>
        <w:ind w:right="-1"/>
        <w:jc w:val="both"/>
        <w:rPr>
          <w:rFonts w:cs="Arial"/>
        </w:rPr>
      </w:pPr>
      <w:r w:rsidRPr="00C9043E">
        <w:rPr>
          <w:rFonts w:ascii="HelveticaNeueLT Std" w:eastAsiaTheme="minorEastAsia" w:hAnsi="HelveticaNeueLT Std" w:cs="Arial"/>
          <w:b/>
          <w:bCs/>
          <w:sz w:val="20"/>
          <w:szCs w:val="20"/>
          <w:lang w:eastAsia="en-US"/>
        </w:rPr>
        <w:t>Retenciones y Contribuciones por Pagar a Corto Plazo</w:t>
      </w:r>
      <w:r w:rsidRPr="00C9043E">
        <w:rPr>
          <w:rFonts w:eastAsiaTheme="minorEastAsia" w:cs="Arial"/>
          <w:b/>
          <w:bCs/>
        </w:rPr>
        <w:t xml:space="preserve">. - </w:t>
      </w:r>
      <w:r w:rsidRPr="00C9043E">
        <w:rPr>
          <w:rFonts w:ascii="HelveticaNeueLT Std" w:eastAsiaTheme="minorEastAsia" w:hAnsi="HelveticaNeueLT Std" w:cs="Arial"/>
          <w:sz w:val="20"/>
          <w:szCs w:val="20"/>
          <w:lang w:eastAsia="en-US"/>
        </w:rPr>
        <w:t xml:space="preserve">El saldo </w:t>
      </w:r>
      <w:r w:rsidRPr="00CD53CF">
        <w:rPr>
          <w:rFonts w:ascii="HelveticaNeueLT Std" w:eastAsiaTheme="minorEastAsia" w:hAnsi="HelveticaNeueLT Std" w:cs="Arial"/>
          <w:sz w:val="20"/>
          <w:szCs w:val="20"/>
          <w:lang w:eastAsia="en-US"/>
        </w:rPr>
        <w:t xml:space="preserve">de </w:t>
      </w:r>
      <w:r w:rsidR="00490223" w:rsidRPr="00CD53CF">
        <w:rPr>
          <w:rFonts w:ascii="HelveticaNeueLT Std" w:eastAsia="HelveticaNeueLT Std" w:hAnsi="HelveticaNeueLT Std" w:cs="HelveticaNeueLT Std"/>
          <w:sz w:val="20"/>
          <w:szCs w:val="20"/>
          <w:lang w:eastAsia="en-US"/>
        </w:rPr>
        <w:t>1,186,859.77</w:t>
      </w:r>
      <w:r w:rsidRPr="00C9043E">
        <w:rPr>
          <w:rFonts w:ascii="HelveticaNeueLT Std" w:eastAsiaTheme="minorEastAsia" w:hAnsi="HelveticaNeueLT Std" w:cs="Arial"/>
          <w:sz w:val="20"/>
          <w:szCs w:val="20"/>
          <w:lang w:eastAsia="en-US"/>
        </w:rPr>
        <w:t>, representa el importe de las retenciones pendientes de pago principalmente retenciones de Impuesto Sobre la Renta (I.S.R.).</w:t>
      </w:r>
      <w:r w:rsidR="00C9043E" w:rsidRPr="00C9043E">
        <w:rPr>
          <w:rFonts w:ascii="HelveticaNeueLT Std" w:eastAsiaTheme="minorEastAsia" w:hAnsi="HelveticaNeueLT Std" w:cs="Arial"/>
          <w:sz w:val="20"/>
          <w:szCs w:val="20"/>
          <w:lang w:eastAsia="en-US"/>
        </w:rPr>
        <w:t xml:space="preserve"> La variación </w:t>
      </w:r>
      <w:r w:rsidR="008B6DB9">
        <w:rPr>
          <w:rFonts w:ascii="HelveticaNeueLT Std" w:eastAsiaTheme="minorEastAsia" w:hAnsi="HelveticaNeueLT Std" w:cs="Arial"/>
          <w:sz w:val="20"/>
          <w:szCs w:val="20"/>
          <w:lang w:eastAsia="en-US"/>
        </w:rPr>
        <w:t xml:space="preserve">de </w:t>
      </w:r>
      <w:r w:rsidR="000A43FC">
        <w:rPr>
          <w:rFonts w:ascii="HelveticaNeueLT Std" w:eastAsiaTheme="minorEastAsia" w:hAnsi="HelveticaNeueLT Std" w:cs="Arial"/>
          <w:sz w:val="20"/>
          <w:szCs w:val="20"/>
          <w:lang w:eastAsia="en-US"/>
        </w:rPr>
        <w:t xml:space="preserve">43% </w:t>
      </w:r>
      <w:r w:rsidR="00C9043E" w:rsidRPr="00C9043E">
        <w:rPr>
          <w:rFonts w:ascii="HelveticaNeueLT Std" w:eastAsiaTheme="minorEastAsia" w:hAnsi="HelveticaNeueLT Std" w:cs="Arial"/>
          <w:sz w:val="20"/>
          <w:szCs w:val="20"/>
          <w:lang w:eastAsia="en-US"/>
        </w:rPr>
        <w:t>en relación al mes pasado correpon</w:t>
      </w:r>
      <w:r w:rsidR="00C9043E">
        <w:rPr>
          <w:rFonts w:ascii="HelveticaNeueLT Std" w:eastAsiaTheme="minorEastAsia" w:hAnsi="HelveticaNeueLT Std" w:cs="Arial"/>
          <w:sz w:val="20"/>
          <w:szCs w:val="20"/>
          <w:lang w:eastAsia="en-US"/>
        </w:rPr>
        <w:t xml:space="preserve">de </w:t>
      </w:r>
      <w:r w:rsidR="008B6DB9">
        <w:rPr>
          <w:rFonts w:ascii="HelveticaNeueLT Std" w:eastAsiaTheme="minorEastAsia" w:hAnsi="HelveticaNeueLT Std" w:cs="Arial"/>
          <w:sz w:val="20"/>
          <w:szCs w:val="20"/>
          <w:lang w:eastAsia="en-US"/>
        </w:rPr>
        <w:t xml:space="preserve">a retenciones de </w:t>
      </w:r>
      <w:r w:rsidR="00C9043E">
        <w:rPr>
          <w:rFonts w:ascii="HelveticaNeueLT Std" w:eastAsiaTheme="minorEastAsia" w:hAnsi="HelveticaNeueLT Std" w:cs="Arial"/>
          <w:sz w:val="20"/>
          <w:szCs w:val="20"/>
          <w:lang w:eastAsia="en-US"/>
        </w:rPr>
        <w:t>Cuotas ISSEMYM</w:t>
      </w:r>
      <w:r w:rsidR="008B6DB9">
        <w:rPr>
          <w:rFonts w:ascii="HelveticaNeueLT Std" w:eastAsiaTheme="minorEastAsia" w:hAnsi="HelveticaNeueLT Std" w:cs="Arial"/>
          <w:sz w:val="20"/>
          <w:szCs w:val="20"/>
          <w:lang w:eastAsia="en-US"/>
        </w:rPr>
        <w:t>,</w:t>
      </w:r>
      <w:r w:rsidR="006A4D9A">
        <w:rPr>
          <w:rFonts w:ascii="HelveticaNeueLT Std" w:eastAsiaTheme="minorEastAsia" w:hAnsi="HelveticaNeueLT Std" w:cs="Arial"/>
          <w:sz w:val="20"/>
          <w:szCs w:val="20"/>
          <w:lang w:eastAsia="en-US"/>
        </w:rPr>
        <w:t xml:space="preserve"> que se pagaron dentro del periodo mensual que se comenta</w:t>
      </w:r>
      <w:r w:rsidR="00C9043E">
        <w:rPr>
          <w:rFonts w:ascii="HelveticaNeueLT Std" w:eastAsiaTheme="minorEastAsia" w:hAnsi="HelveticaNeueLT Std" w:cs="Arial"/>
          <w:sz w:val="20"/>
          <w:szCs w:val="20"/>
          <w:lang w:eastAsia="en-US"/>
        </w:rPr>
        <w:t>.</w:t>
      </w:r>
    </w:p>
    <w:p w:rsidR="00091600" w:rsidRPr="00C9043E" w:rsidRDefault="00091600" w:rsidP="00091600">
      <w:pPr>
        <w:pStyle w:val="Prrafodelista"/>
        <w:ind w:left="502" w:right="-1"/>
        <w:jc w:val="both"/>
        <w:rPr>
          <w:rFonts w:cs="Arial"/>
        </w:rPr>
      </w:pPr>
    </w:p>
    <w:p w:rsidR="006A4D9A" w:rsidRPr="006A4D9A" w:rsidRDefault="00EB508B" w:rsidP="006A4D9A">
      <w:pPr>
        <w:pStyle w:val="Prrafodelista"/>
        <w:numPr>
          <w:ilvl w:val="0"/>
          <w:numId w:val="1"/>
        </w:numPr>
        <w:ind w:right="-1"/>
        <w:jc w:val="both"/>
        <w:rPr>
          <w:rFonts w:cs="Arial"/>
        </w:rPr>
      </w:pPr>
      <w:r w:rsidRPr="00F42B4B">
        <w:rPr>
          <w:rFonts w:ascii="HelveticaNeueLT Std" w:eastAsiaTheme="minorEastAsia" w:hAnsi="HelveticaNeueLT Std" w:cs="Arial"/>
          <w:b/>
          <w:bCs/>
          <w:sz w:val="20"/>
          <w:szCs w:val="20"/>
          <w:lang w:eastAsia="en-US"/>
        </w:rPr>
        <w:t xml:space="preserve">Otras Cuentas por Pagar a Corto Plazo. </w:t>
      </w:r>
      <w:r w:rsidRPr="00F42B4B">
        <w:rPr>
          <w:rFonts w:ascii="HelveticaNeueLT Std" w:eastAsiaTheme="minorEastAsia" w:hAnsi="HelveticaNeueLT Std" w:cs="Arial"/>
          <w:sz w:val="20"/>
          <w:szCs w:val="20"/>
          <w:lang w:eastAsia="en-US"/>
        </w:rPr>
        <w:t xml:space="preserve">- El saldo </w:t>
      </w:r>
      <w:r w:rsidRPr="00CD53CF">
        <w:rPr>
          <w:rFonts w:ascii="HelveticaNeueLT Std" w:eastAsiaTheme="minorEastAsia" w:hAnsi="HelveticaNeueLT Std" w:cs="Arial"/>
          <w:sz w:val="20"/>
          <w:szCs w:val="20"/>
          <w:lang w:eastAsia="en-US"/>
        </w:rPr>
        <w:t xml:space="preserve">de </w:t>
      </w:r>
      <w:r w:rsidR="00490223" w:rsidRPr="00CD53CF">
        <w:rPr>
          <w:rFonts w:ascii="HelveticaNeueLT Std" w:eastAsia="HelveticaNeueLT Std" w:hAnsi="HelveticaNeueLT Std" w:cs="HelveticaNeueLT Std"/>
          <w:sz w:val="20"/>
          <w:szCs w:val="20"/>
          <w:lang w:eastAsia="en-US"/>
        </w:rPr>
        <w:t>645,425.90</w:t>
      </w:r>
      <w:r w:rsidRPr="00CD53CF">
        <w:rPr>
          <w:rFonts w:ascii="HelveticaNeueLT Std" w:eastAsiaTheme="minorEastAsia" w:hAnsi="HelveticaNeueLT Std" w:cs="Arial"/>
          <w:sz w:val="20"/>
          <w:szCs w:val="20"/>
          <w:lang w:eastAsia="en-US"/>
        </w:rPr>
        <w:t>,</w:t>
      </w:r>
      <w:r w:rsidRPr="00F42B4B">
        <w:rPr>
          <w:rFonts w:ascii="HelveticaNeueLT Std" w:eastAsiaTheme="minorEastAsia" w:hAnsi="HelveticaNeueLT Std" w:cs="Arial"/>
          <w:sz w:val="20"/>
          <w:szCs w:val="20"/>
          <w:lang w:eastAsia="en-US"/>
        </w:rPr>
        <w:t xml:space="preserve"> en este mes representa principalmente,  cheques en tránsito cancelados por devoluciones de ingresos indebidos.</w:t>
      </w:r>
      <w:r w:rsidR="008E5FC2">
        <w:rPr>
          <w:rFonts w:ascii="HelveticaNeueLT Std" w:eastAsiaTheme="minorEastAsia" w:hAnsi="HelveticaNeueLT Std" w:cs="Arial"/>
          <w:sz w:val="20"/>
          <w:szCs w:val="20"/>
          <w:lang w:eastAsia="en-US"/>
        </w:rPr>
        <w:t xml:space="preserve"> </w:t>
      </w:r>
      <w:r w:rsidR="008E5FC2" w:rsidRPr="006A4D9A">
        <w:rPr>
          <w:rFonts w:ascii="HelveticaNeueLT Std" w:eastAsiaTheme="minorEastAsia" w:hAnsi="HelveticaNeueLT Std" w:cs="Arial"/>
          <w:sz w:val="20"/>
          <w:szCs w:val="20"/>
          <w:lang w:eastAsia="en-US"/>
        </w:rPr>
        <w:t xml:space="preserve">La variación </w:t>
      </w:r>
      <w:r w:rsidR="008B6DB9">
        <w:rPr>
          <w:rFonts w:ascii="HelveticaNeueLT Std" w:eastAsiaTheme="minorEastAsia" w:hAnsi="HelveticaNeueLT Std" w:cs="Arial"/>
          <w:sz w:val="20"/>
          <w:szCs w:val="20"/>
          <w:lang w:eastAsia="en-US"/>
        </w:rPr>
        <w:t xml:space="preserve">de </w:t>
      </w:r>
      <w:r w:rsidR="000A43FC">
        <w:rPr>
          <w:rFonts w:ascii="HelveticaNeueLT Std" w:eastAsiaTheme="minorEastAsia" w:hAnsi="HelveticaNeueLT Std" w:cs="Arial"/>
          <w:sz w:val="20"/>
          <w:szCs w:val="20"/>
          <w:lang w:eastAsia="en-US"/>
        </w:rPr>
        <w:t xml:space="preserve">63.5% </w:t>
      </w:r>
      <w:r w:rsidR="008E5FC2" w:rsidRPr="006A4D9A">
        <w:rPr>
          <w:rFonts w:ascii="HelveticaNeueLT Std" w:eastAsiaTheme="minorEastAsia" w:hAnsi="HelveticaNeueLT Std" w:cs="Arial"/>
          <w:sz w:val="20"/>
          <w:szCs w:val="20"/>
          <w:lang w:eastAsia="en-US"/>
        </w:rPr>
        <w:t>en relación al mes pasado correponde a</w:t>
      </w:r>
      <w:r w:rsidR="008B6DB9">
        <w:rPr>
          <w:rFonts w:ascii="HelveticaNeueLT Std" w:eastAsiaTheme="minorEastAsia" w:hAnsi="HelveticaNeueLT Std" w:cs="Arial"/>
          <w:sz w:val="20"/>
          <w:szCs w:val="20"/>
          <w:lang w:eastAsia="en-US"/>
        </w:rPr>
        <w:t xml:space="preserve"> contribuciones </w:t>
      </w:r>
      <w:r w:rsidR="008E5FC2" w:rsidRPr="006A4D9A">
        <w:rPr>
          <w:rFonts w:ascii="HelveticaNeueLT Std" w:eastAsiaTheme="minorEastAsia" w:hAnsi="HelveticaNeueLT Std" w:cs="Arial"/>
          <w:sz w:val="20"/>
          <w:szCs w:val="20"/>
          <w:lang w:eastAsia="en-US"/>
        </w:rPr>
        <w:t>de Cuotas de ISSEMYM</w:t>
      </w:r>
      <w:r w:rsidR="008B6DB9">
        <w:rPr>
          <w:rFonts w:ascii="HelveticaNeueLT Std" w:eastAsiaTheme="minorEastAsia" w:hAnsi="HelveticaNeueLT Std" w:cs="Arial"/>
          <w:sz w:val="20"/>
          <w:szCs w:val="20"/>
          <w:lang w:eastAsia="en-US"/>
        </w:rPr>
        <w:t>,</w:t>
      </w:r>
      <w:r w:rsidR="006A4D9A" w:rsidRPr="006A4D9A">
        <w:rPr>
          <w:rFonts w:ascii="HelveticaNeueLT Std" w:eastAsiaTheme="minorEastAsia" w:hAnsi="HelveticaNeueLT Std" w:cs="Arial"/>
          <w:sz w:val="20"/>
          <w:szCs w:val="20"/>
          <w:lang w:eastAsia="en-US"/>
        </w:rPr>
        <w:t xml:space="preserve"> que se pagaron dentro del periodo mensual que se comenta.</w:t>
      </w:r>
    </w:p>
    <w:p w:rsidR="00EB508B" w:rsidRPr="00F42B4B" w:rsidRDefault="00EB508B" w:rsidP="00EB508B">
      <w:pPr>
        <w:pStyle w:val="Prrafodelista"/>
        <w:rPr>
          <w:rFonts w:ascii="HelveticaNeueLT Std" w:eastAsiaTheme="minorEastAsia" w:hAnsi="HelveticaNeueLT Std" w:cs="Arial"/>
          <w:b/>
          <w:sz w:val="20"/>
          <w:szCs w:val="20"/>
          <w:lang w:eastAsia="en-US"/>
        </w:rPr>
      </w:pPr>
    </w:p>
    <w:p w:rsidR="00C95B25" w:rsidRPr="00C95B25" w:rsidRDefault="00EB508B" w:rsidP="00C95B25">
      <w:pPr>
        <w:pStyle w:val="Prrafodelista"/>
        <w:numPr>
          <w:ilvl w:val="0"/>
          <w:numId w:val="1"/>
        </w:numPr>
        <w:jc w:val="both"/>
        <w:rPr>
          <w:rFonts w:ascii="HelveticaNeueLT Std" w:eastAsiaTheme="minorEastAsia" w:hAnsi="HelveticaNeueLT Std" w:cs="Arial"/>
          <w:color w:val="000000" w:themeColor="text1"/>
          <w:sz w:val="20"/>
          <w:szCs w:val="20"/>
          <w:lang w:eastAsia="en-US"/>
        </w:rPr>
      </w:pPr>
      <w:r w:rsidRPr="00C95B25">
        <w:rPr>
          <w:rFonts w:ascii="HelveticaNeueLT Std" w:eastAsiaTheme="minorEastAsia" w:hAnsi="HelveticaNeueLT Std" w:cs="Arial"/>
          <w:b/>
          <w:sz w:val="20"/>
          <w:szCs w:val="20"/>
          <w:lang w:eastAsia="en-US"/>
        </w:rPr>
        <w:t xml:space="preserve"> </w:t>
      </w:r>
      <w:r w:rsidR="003D1F6A" w:rsidRPr="00C95B25">
        <w:rPr>
          <w:rFonts w:ascii="HelveticaNeueLT Std" w:eastAsiaTheme="minorEastAsia" w:hAnsi="HelveticaNeueLT Std" w:cs="Arial"/>
          <w:b/>
          <w:sz w:val="20"/>
          <w:szCs w:val="20"/>
          <w:lang w:eastAsia="en-US"/>
        </w:rPr>
        <w:t>Porción a Corto Plazo de la Deuda Pública Interna</w:t>
      </w:r>
      <w:r w:rsidRPr="00C95B25">
        <w:rPr>
          <w:rFonts w:ascii="HelveticaNeueLT Std" w:eastAsiaTheme="minorEastAsia" w:hAnsi="HelveticaNeueLT Std" w:cs="Arial"/>
          <w:b/>
          <w:sz w:val="20"/>
          <w:szCs w:val="20"/>
          <w:lang w:eastAsia="en-US"/>
        </w:rPr>
        <w:t xml:space="preserve">.- </w:t>
      </w:r>
      <w:r w:rsidR="008B6DB9">
        <w:rPr>
          <w:rFonts w:ascii="HelveticaNeueLT Std" w:eastAsiaTheme="minorEastAsia" w:hAnsi="HelveticaNeueLT Std" w:cs="Arial"/>
          <w:sz w:val="20"/>
          <w:szCs w:val="20"/>
          <w:lang w:eastAsia="en-US"/>
        </w:rPr>
        <w:t xml:space="preserve">La </w:t>
      </w:r>
      <w:r w:rsidR="00C95B25">
        <w:rPr>
          <w:rFonts w:ascii="HelveticaNeueLT Std" w:eastAsiaTheme="minorEastAsia" w:hAnsi="HelveticaNeueLT Std" w:cs="Arial"/>
          <w:color w:val="000000" w:themeColor="text1"/>
          <w:sz w:val="20"/>
          <w:szCs w:val="20"/>
          <w:lang w:eastAsia="en-US"/>
        </w:rPr>
        <w:t xml:space="preserve">variación de </w:t>
      </w:r>
      <w:r w:rsidR="00C95B25" w:rsidRPr="00560D30">
        <w:rPr>
          <w:rFonts w:ascii="HelveticaNeueLT Std" w:eastAsiaTheme="minorEastAsia" w:hAnsi="HelveticaNeueLT Std" w:cs="Arial"/>
          <w:color w:val="000000" w:themeColor="text1"/>
          <w:sz w:val="20"/>
          <w:szCs w:val="20"/>
          <w:lang w:eastAsia="en-US"/>
        </w:rPr>
        <w:t>92,067,167.51</w:t>
      </w:r>
      <w:r w:rsidRPr="00C95B25">
        <w:rPr>
          <w:rFonts w:ascii="HelveticaNeueLT Std" w:eastAsiaTheme="minorEastAsia" w:hAnsi="HelveticaNeueLT Std" w:cs="Arial"/>
          <w:color w:val="000000" w:themeColor="text1"/>
          <w:sz w:val="20"/>
          <w:szCs w:val="20"/>
          <w:lang w:eastAsia="en-US"/>
        </w:rPr>
        <w:t xml:space="preserve"> </w:t>
      </w:r>
      <w:r w:rsidR="00C95B25">
        <w:rPr>
          <w:rFonts w:ascii="HelveticaNeueLT Std" w:eastAsiaTheme="minorEastAsia" w:hAnsi="HelveticaNeueLT Std" w:cs="Arial"/>
          <w:color w:val="000000" w:themeColor="text1"/>
          <w:sz w:val="20"/>
          <w:szCs w:val="20"/>
          <w:lang w:eastAsia="en-US"/>
        </w:rPr>
        <w:t>en relación al mes anterior</w:t>
      </w:r>
      <w:r w:rsidR="008B6DB9">
        <w:rPr>
          <w:rFonts w:ascii="HelveticaNeueLT Std" w:eastAsiaTheme="minorEastAsia" w:hAnsi="HelveticaNeueLT Std" w:cs="Arial"/>
          <w:color w:val="000000" w:themeColor="text1"/>
          <w:sz w:val="20"/>
          <w:szCs w:val="20"/>
          <w:lang w:eastAsia="en-US"/>
        </w:rPr>
        <w:t>,</w:t>
      </w:r>
      <w:r w:rsidR="00C95B25">
        <w:rPr>
          <w:rFonts w:ascii="HelveticaNeueLT Std" w:eastAsiaTheme="minorEastAsia" w:hAnsi="HelveticaNeueLT Std" w:cs="Arial"/>
          <w:color w:val="000000" w:themeColor="text1"/>
          <w:sz w:val="20"/>
          <w:szCs w:val="20"/>
          <w:lang w:eastAsia="en-US"/>
        </w:rPr>
        <w:t xml:space="preserve"> </w:t>
      </w:r>
      <w:r w:rsidR="00C95B25" w:rsidRPr="00C95B25">
        <w:rPr>
          <w:rFonts w:ascii="HelveticaNeueLT Std" w:eastAsiaTheme="minorEastAsia" w:hAnsi="HelveticaNeueLT Std" w:cs="Arial"/>
          <w:color w:val="000000" w:themeColor="text1"/>
          <w:sz w:val="20"/>
          <w:szCs w:val="20"/>
          <w:lang w:eastAsia="en-US"/>
        </w:rPr>
        <w:t>se debe al pago de</w:t>
      </w:r>
      <w:r w:rsidR="008B6DB9">
        <w:rPr>
          <w:rFonts w:ascii="HelveticaNeueLT Std" w:eastAsiaTheme="minorEastAsia" w:hAnsi="HelveticaNeueLT Std" w:cs="Arial"/>
          <w:color w:val="000000" w:themeColor="text1"/>
          <w:sz w:val="20"/>
          <w:szCs w:val="20"/>
          <w:lang w:eastAsia="en-US"/>
        </w:rPr>
        <w:t>l bono</w:t>
      </w:r>
      <w:r w:rsidR="00C95B25" w:rsidRPr="00C95B25">
        <w:rPr>
          <w:rFonts w:ascii="HelveticaNeueLT Std" w:eastAsiaTheme="minorEastAsia" w:hAnsi="HelveticaNeueLT Std" w:cs="Arial"/>
          <w:color w:val="000000" w:themeColor="text1"/>
          <w:sz w:val="20"/>
          <w:szCs w:val="20"/>
          <w:lang w:eastAsia="en-US"/>
        </w:rPr>
        <w:t xml:space="preserve"> por la amortización de la emisión de Certificados Bursátiles Fiduciarios Serie</w:t>
      </w:r>
      <w:r w:rsidR="008B6DB9">
        <w:rPr>
          <w:rFonts w:ascii="HelveticaNeueLT Std" w:eastAsiaTheme="minorEastAsia" w:hAnsi="HelveticaNeueLT Std" w:cs="Arial"/>
          <w:color w:val="000000" w:themeColor="text1"/>
          <w:sz w:val="20"/>
          <w:szCs w:val="20"/>
          <w:lang w:eastAsia="en-US"/>
        </w:rPr>
        <w:t xml:space="preserve"> Subordinada</w:t>
      </w:r>
      <w:r w:rsidR="00C95B25" w:rsidRPr="00C95B25">
        <w:rPr>
          <w:rFonts w:ascii="HelveticaNeueLT Std" w:eastAsiaTheme="minorEastAsia" w:hAnsi="HelveticaNeueLT Std" w:cs="Arial"/>
          <w:color w:val="000000" w:themeColor="text1"/>
          <w:sz w:val="20"/>
          <w:szCs w:val="20"/>
          <w:lang w:eastAsia="en-US"/>
        </w:rPr>
        <w:t xml:space="preserve"> </w:t>
      </w:r>
      <w:r w:rsidR="002030A5">
        <w:rPr>
          <w:rFonts w:ascii="HelveticaNeueLT Std" w:eastAsiaTheme="minorEastAsia" w:hAnsi="HelveticaNeueLT Std" w:cs="Arial"/>
          <w:color w:val="000000" w:themeColor="text1"/>
          <w:sz w:val="20"/>
          <w:szCs w:val="20"/>
          <w:lang w:eastAsia="en-US"/>
        </w:rPr>
        <w:t>“</w:t>
      </w:r>
      <w:r w:rsidR="00C95B25" w:rsidRPr="00C95B25">
        <w:rPr>
          <w:rFonts w:ascii="HelveticaNeueLT Std" w:eastAsiaTheme="minorEastAsia" w:hAnsi="HelveticaNeueLT Std" w:cs="Arial"/>
          <w:color w:val="000000" w:themeColor="text1"/>
          <w:sz w:val="20"/>
          <w:szCs w:val="20"/>
          <w:lang w:eastAsia="en-US"/>
        </w:rPr>
        <w:t>C</w:t>
      </w:r>
      <w:r w:rsidR="002030A5">
        <w:rPr>
          <w:rFonts w:ascii="HelveticaNeueLT Std" w:eastAsiaTheme="minorEastAsia" w:hAnsi="HelveticaNeueLT Std" w:cs="Arial"/>
          <w:color w:val="000000" w:themeColor="text1"/>
          <w:sz w:val="20"/>
          <w:szCs w:val="20"/>
          <w:lang w:eastAsia="en-US"/>
        </w:rPr>
        <w:t>”</w:t>
      </w:r>
      <w:r w:rsidR="008B6DB9">
        <w:rPr>
          <w:rFonts w:ascii="HelveticaNeueLT Std" w:eastAsiaTheme="minorEastAsia" w:hAnsi="HelveticaNeueLT Std" w:cs="Arial"/>
          <w:color w:val="000000" w:themeColor="text1"/>
          <w:sz w:val="20"/>
          <w:szCs w:val="20"/>
          <w:lang w:eastAsia="en-US"/>
        </w:rPr>
        <w:t xml:space="preserve"> del Fideicomiso de Cobranza</w:t>
      </w:r>
      <w:r w:rsidR="00C95B25" w:rsidRPr="00C95B25">
        <w:rPr>
          <w:rFonts w:ascii="HelveticaNeueLT Std" w:eastAsiaTheme="minorEastAsia" w:hAnsi="HelveticaNeueLT Std" w:cs="Arial"/>
          <w:color w:val="000000" w:themeColor="text1"/>
          <w:sz w:val="20"/>
          <w:szCs w:val="20"/>
          <w:lang w:eastAsia="en-US"/>
        </w:rPr>
        <w:t>.</w:t>
      </w:r>
    </w:p>
    <w:p w:rsidR="00EB508B" w:rsidRPr="001760E2" w:rsidRDefault="00EB508B" w:rsidP="00EB508B">
      <w:pPr>
        <w:spacing w:line="276" w:lineRule="auto"/>
        <w:ind w:right="-1"/>
        <w:jc w:val="both"/>
        <w:outlineLvl w:val="0"/>
        <w:rPr>
          <w:rFonts w:cs="Arial"/>
          <w:b/>
          <w:bCs/>
          <w:color w:val="000000" w:themeColor="text1"/>
          <w:highlight w:val="yellow"/>
        </w:rPr>
      </w:pPr>
    </w:p>
    <w:p w:rsidR="00EB508B" w:rsidRPr="002E3F40" w:rsidRDefault="00EB508B" w:rsidP="00EB508B">
      <w:pPr>
        <w:spacing w:line="276" w:lineRule="auto"/>
        <w:ind w:right="-1"/>
        <w:jc w:val="both"/>
        <w:outlineLvl w:val="0"/>
        <w:rPr>
          <w:rFonts w:eastAsiaTheme="minorEastAsia" w:cs="Arial"/>
          <w:b/>
          <w:bCs/>
        </w:rPr>
      </w:pPr>
      <w:r w:rsidRPr="002E3F40">
        <w:rPr>
          <w:rFonts w:eastAsiaTheme="minorEastAsia" w:cs="Arial"/>
          <w:b/>
          <w:bCs/>
        </w:rPr>
        <w:t>Pasivo No Circulante</w:t>
      </w:r>
    </w:p>
    <w:p w:rsidR="00EB508B" w:rsidRPr="002E3F40" w:rsidRDefault="00EB508B" w:rsidP="00EB508B">
      <w:pPr>
        <w:spacing w:line="276" w:lineRule="auto"/>
        <w:ind w:right="-1"/>
        <w:jc w:val="both"/>
        <w:outlineLvl w:val="0"/>
        <w:rPr>
          <w:rFonts w:eastAsiaTheme="minorEastAsia" w:cs="Arial"/>
          <w:b/>
          <w:bCs/>
        </w:rPr>
      </w:pPr>
      <w:r w:rsidRPr="002E3F40">
        <w:rPr>
          <w:rFonts w:eastAsiaTheme="minorEastAsia" w:cs="Arial"/>
          <w:b/>
          <w:bCs/>
        </w:rPr>
        <w:t xml:space="preserve">Documentos por Pagar a Largo Plazo. - </w:t>
      </w:r>
      <w:r w:rsidRPr="002E3F40">
        <w:rPr>
          <w:rFonts w:eastAsiaTheme="minorEastAsia" w:cs="Arial"/>
          <w:bCs/>
        </w:rPr>
        <w:t>Se integra por:</w:t>
      </w:r>
    </w:p>
    <w:p w:rsidR="00EB508B" w:rsidRDefault="00EB508B" w:rsidP="00EC6729">
      <w:pPr>
        <w:pStyle w:val="Prrafodelista"/>
        <w:numPr>
          <w:ilvl w:val="0"/>
          <w:numId w:val="1"/>
        </w:numPr>
        <w:spacing w:line="276" w:lineRule="auto"/>
        <w:ind w:right="-1"/>
        <w:jc w:val="both"/>
        <w:outlineLvl w:val="0"/>
        <w:rPr>
          <w:rFonts w:ascii="HelveticaNeueLT Std" w:eastAsiaTheme="minorEastAsia" w:hAnsi="HelveticaNeueLT Std" w:cs="Arial"/>
          <w:sz w:val="20"/>
          <w:szCs w:val="20"/>
          <w:lang w:eastAsia="en-US"/>
        </w:rPr>
      </w:pPr>
      <w:r w:rsidRPr="002E3F40">
        <w:rPr>
          <w:rFonts w:ascii="HelveticaNeueLT Std" w:eastAsiaTheme="minorEastAsia" w:hAnsi="HelveticaNeueLT Std" w:cs="Arial"/>
          <w:b/>
          <w:bCs/>
          <w:sz w:val="20"/>
          <w:szCs w:val="20"/>
          <w:lang w:eastAsia="en-US"/>
        </w:rPr>
        <w:t>Documentos Comerciales por Pagar a Largo Plazo.-</w:t>
      </w:r>
      <w:r w:rsidRPr="002E3F40">
        <w:rPr>
          <w:rFonts w:ascii="HelveticaNeueLT Std" w:eastAsiaTheme="minorEastAsia" w:hAnsi="HelveticaNeueLT Std" w:cs="Arial"/>
          <w:sz w:val="20"/>
          <w:szCs w:val="20"/>
          <w:lang w:eastAsia="en-US"/>
        </w:rPr>
        <w:t xml:space="preserve"> El saldo de </w:t>
      </w:r>
      <w:r w:rsidR="00490223" w:rsidRPr="004047EA">
        <w:rPr>
          <w:rFonts w:ascii="HelveticaNeueLT Std" w:eastAsia="HelveticaNeueLT Std" w:hAnsi="HelveticaNeueLT Std" w:cs="HelveticaNeueLT Std"/>
          <w:sz w:val="20"/>
          <w:szCs w:val="20"/>
          <w:lang w:eastAsia="en-US"/>
        </w:rPr>
        <w:t>4,879,826,797.75</w:t>
      </w:r>
      <w:r w:rsidRPr="002E3F40">
        <w:rPr>
          <w:rFonts w:ascii="HelveticaNeueLT Std" w:eastAsiaTheme="minorEastAsia" w:hAnsi="HelveticaNeueLT Std" w:cs="Arial"/>
          <w:sz w:val="20"/>
          <w:szCs w:val="20"/>
          <w:lang w:eastAsia="en-US"/>
        </w:rPr>
        <w:t>, corresponde al pasivo por el Fideicomiso de Cobranza con el contrato irrevocable número 80615, de fecha 29 de julio en el ejercicio 2010 y el contrato de Fideicomiso Irrevocable No. F/1426, de fecha 10 de marzo de 2011, en los que se comprometen los ingresos presentes y futuros por concepto de Registro Público de la Propiedad (RPP)</w:t>
      </w:r>
      <w:r w:rsidR="00EC6729">
        <w:rPr>
          <w:rFonts w:ascii="HelveticaNeueLT Std" w:eastAsiaTheme="minorEastAsia" w:hAnsi="HelveticaNeueLT Std" w:cs="Arial"/>
          <w:sz w:val="20"/>
          <w:szCs w:val="20"/>
          <w:lang w:eastAsia="en-US"/>
        </w:rPr>
        <w:t>,</w:t>
      </w:r>
      <w:r w:rsidRPr="002E3F40">
        <w:rPr>
          <w:rFonts w:ascii="HelveticaNeueLT Std" w:eastAsiaTheme="minorEastAsia" w:hAnsi="HelveticaNeueLT Std" w:cs="Arial"/>
          <w:sz w:val="20"/>
          <w:szCs w:val="20"/>
          <w:lang w:eastAsia="en-US"/>
        </w:rPr>
        <w:t xml:space="preserve"> del IFREM, de acuerdo al Decreto de Autorización No. 79 publicado en</w:t>
      </w:r>
      <w:r w:rsidR="00EC6729">
        <w:rPr>
          <w:rFonts w:ascii="HelveticaNeueLT Std" w:eastAsiaTheme="minorEastAsia" w:hAnsi="HelveticaNeueLT Std" w:cs="Arial"/>
          <w:sz w:val="20"/>
          <w:szCs w:val="20"/>
          <w:lang w:eastAsia="en-US"/>
        </w:rPr>
        <w:t xml:space="preserve"> el </w:t>
      </w:r>
      <w:r w:rsidR="00EC6729" w:rsidRPr="00EC6729">
        <w:rPr>
          <w:rFonts w:ascii="HelveticaNeueLT Std" w:eastAsiaTheme="minorEastAsia" w:hAnsi="HelveticaNeueLT Std" w:cs="Arial"/>
          <w:sz w:val="20"/>
          <w:szCs w:val="20"/>
          <w:lang w:eastAsia="en-US"/>
        </w:rPr>
        <w:t>Periódico Oficial del Estado de México "Gaceta del Gobierno"</w:t>
      </w:r>
      <w:r w:rsidRPr="002E3F40">
        <w:rPr>
          <w:rFonts w:ascii="HelveticaNeueLT Std" w:eastAsiaTheme="minorEastAsia" w:hAnsi="HelveticaNeueLT Std" w:cs="Arial"/>
          <w:sz w:val="20"/>
          <w:szCs w:val="20"/>
          <w:lang w:eastAsia="en-US"/>
        </w:rPr>
        <w:t xml:space="preserve"> de fecha 12 de mayo del 2010.</w:t>
      </w:r>
    </w:p>
    <w:p w:rsidR="00712CD2" w:rsidRPr="00712CD2" w:rsidRDefault="00712CD2" w:rsidP="00712CD2">
      <w:pPr>
        <w:spacing w:line="276" w:lineRule="auto"/>
        <w:ind w:left="142" w:right="-1"/>
        <w:jc w:val="both"/>
        <w:outlineLvl w:val="0"/>
        <w:rPr>
          <w:rFonts w:eastAsiaTheme="minorEastAsia" w:cs="Arial"/>
        </w:rPr>
      </w:pPr>
    </w:p>
    <w:p w:rsidR="00712CD2" w:rsidRPr="00311CDE" w:rsidRDefault="00712CD2" w:rsidP="00712CD2">
      <w:pPr>
        <w:numPr>
          <w:ilvl w:val="0"/>
          <w:numId w:val="6"/>
        </w:numPr>
        <w:spacing w:before="240" w:after="240" w:line="276" w:lineRule="auto"/>
        <w:ind w:right="-1"/>
        <w:contextualSpacing/>
        <w:outlineLvl w:val="0"/>
        <w:rPr>
          <w:rFonts w:eastAsia="Times New Roman" w:cs="Arial"/>
          <w:b/>
          <w:lang w:eastAsia="es-MX"/>
        </w:rPr>
      </w:pPr>
      <w:r w:rsidRPr="00311CDE">
        <w:rPr>
          <w:rFonts w:eastAsia="Times New Roman" w:cs="Arial"/>
          <w:b/>
          <w:lang w:eastAsia="es-MX"/>
        </w:rPr>
        <w:t>NOTAS AL ESTADO DE ACTIVIDADES</w:t>
      </w:r>
    </w:p>
    <w:p w:rsidR="00712CD2" w:rsidRPr="0096540A" w:rsidRDefault="00712CD2" w:rsidP="00712CD2">
      <w:pPr>
        <w:spacing w:before="240" w:after="240" w:line="276" w:lineRule="auto"/>
        <w:ind w:left="1068" w:right="-1"/>
        <w:contextualSpacing/>
        <w:outlineLvl w:val="0"/>
        <w:rPr>
          <w:rFonts w:eastAsia="Times New Roman" w:cs="Arial"/>
          <w:b/>
          <w:sz w:val="16"/>
          <w:lang w:eastAsia="es-MX"/>
        </w:rPr>
      </w:pPr>
    </w:p>
    <w:p w:rsidR="00712CD2" w:rsidRPr="00DA5FD6" w:rsidRDefault="00712CD2" w:rsidP="00712CD2">
      <w:pPr>
        <w:spacing w:line="276" w:lineRule="auto"/>
        <w:ind w:right="-1"/>
        <w:jc w:val="both"/>
        <w:outlineLvl w:val="0"/>
        <w:rPr>
          <w:rFonts w:cs="Arial"/>
          <w:b/>
        </w:rPr>
      </w:pPr>
      <w:r w:rsidRPr="00DA5FD6">
        <w:rPr>
          <w:rFonts w:cs="Arial"/>
          <w:b/>
        </w:rPr>
        <w:t>Ingresos de la Gestión:</w:t>
      </w:r>
    </w:p>
    <w:p w:rsidR="00712CD2" w:rsidRPr="00093862" w:rsidRDefault="00712CD2" w:rsidP="00712CD2">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 xml:space="preserve">Derechos.- </w:t>
      </w:r>
      <w:r w:rsidRPr="00DA5FD6">
        <w:rPr>
          <w:rFonts w:eastAsia="Times New Roman" w:cs="Arial"/>
          <w:lang w:eastAsia="es-MX"/>
        </w:rPr>
        <w:t>Los Ingresos de Gestión por los Derechos de los servicios prestados por el Instituto, en el mes fueron por la cantidad de</w:t>
      </w:r>
      <w:r>
        <w:rPr>
          <w:rFonts w:eastAsia="Times New Roman" w:cs="Arial"/>
          <w:lang w:eastAsia="es-MX"/>
        </w:rPr>
        <w:t xml:space="preserve"> </w:t>
      </w:r>
      <w:r w:rsidRPr="00093862">
        <w:rPr>
          <w:rFonts w:eastAsia="Times New Roman" w:cs="Arial"/>
          <w:lang w:eastAsia="es-MX"/>
        </w:rPr>
        <w:t>103</w:t>
      </w:r>
      <w:r>
        <w:rPr>
          <w:rFonts w:eastAsia="Times New Roman" w:cs="Arial"/>
          <w:lang w:eastAsia="es-MX"/>
        </w:rPr>
        <w:t>,</w:t>
      </w:r>
      <w:r w:rsidRPr="00093862">
        <w:rPr>
          <w:rFonts w:eastAsia="Times New Roman" w:cs="Arial"/>
          <w:lang w:eastAsia="es-MX"/>
        </w:rPr>
        <w:t>223</w:t>
      </w:r>
      <w:r>
        <w:rPr>
          <w:rFonts w:eastAsia="Times New Roman" w:cs="Arial"/>
          <w:lang w:eastAsia="es-MX"/>
        </w:rPr>
        <w:t>,</w:t>
      </w:r>
      <w:r w:rsidRPr="00093862">
        <w:rPr>
          <w:rFonts w:eastAsia="Times New Roman" w:cs="Arial"/>
          <w:lang w:eastAsia="es-MX"/>
        </w:rPr>
        <w:t>577.00 obteniendo una recaudación en los recursos del Registro Público de la Propiedad (RPP) por 10</w:t>
      </w:r>
      <w:r>
        <w:rPr>
          <w:rFonts w:eastAsia="Times New Roman" w:cs="Arial"/>
          <w:lang w:eastAsia="es-MX"/>
        </w:rPr>
        <w:t>0</w:t>
      </w:r>
      <w:r w:rsidRPr="00093862">
        <w:rPr>
          <w:rFonts w:eastAsia="Times New Roman" w:cs="Arial"/>
          <w:lang w:eastAsia="es-MX"/>
        </w:rPr>
        <w:t>,</w:t>
      </w:r>
      <w:r>
        <w:rPr>
          <w:rFonts w:eastAsia="Times New Roman" w:cs="Arial"/>
          <w:lang w:eastAsia="es-MX"/>
        </w:rPr>
        <w:t>845</w:t>
      </w:r>
      <w:r w:rsidRPr="00093862">
        <w:rPr>
          <w:rFonts w:eastAsia="Times New Roman" w:cs="Arial"/>
          <w:lang w:eastAsia="es-MX"/>
        </w:rPr>
        <w:t>,</w:t>
      </w:r>
      <w:r>
        <w:rPr>
          <w:rFonts w:eastAsia="Times New Roman" w:cs="Arial"/>
          <w:lang w:eastAsia="es-MX"/>
        </w:rPr>
        <w:t>495</w:t>
      </w:r>
      <w:r w:rsidRPr="00093862">
        <w:rPr>
          <w:rFonts w:eastAsia="Times New Roman" w:cs="Arial"/>
          <w:lang w:eastAsia="es-MX"/>
        </w:rPr>
        <w:t>.00 y los recursos del Registro Público del Comercio (RPC) por 2,3</w:t>
      </w:r>
      <w:r>
        <w:rPr>
          <w:rFonts w:eastAsia="Times New Roman" w:cs="Arial"/>
          <w:lang w:eastAsia="es-MX"/>
        </w:rPr>
        <w:t>78</w:t>
      </w:r>
      <w:r w:rsidRPr="00093862">
        <w:rPr>
          <w:rFonts w:eastAsia="Times New Roman" w:cs="Arial"/>
          <w:lang w:eastAsia="es-MX"/>
        </w:rPr>
        <w:t>,</w:t>
      </w:r>
      <w:r>
        <w:rPr>
          <w:rFonts w:eastAsia="Times New Roman" w:cs="Arial"/>
          <w:lang w:eastAsia="es-MX"/>
        </w:rPr>
        <w:t>082</w:t>
      </w:r>
      <w:r w:rsidRPr="00093862">
        <w:rPr>
          <w:rFonts w:eastAsia="Times New Roman" w:cs="Arial"/>
          <w:lang w:eastAsia="es-MX"/>
        </w:rPr>
        <w:t xml:space="preserve">.00. Al mes se lleva un total acumulado por </w:t>
      </w:r>
      <w:r>
        <w:rPr>
          <w:rFonts w:eastAsia="Times New Roman" w:cs="Arial"/>
          <w:lang w:eastAsia="es-MX"/>
        </w:rPr>
        <w:t>832</w:t>
      </w:r>
      <w:r w:rsidRPr="00093862">
        <w:rPr>
          <w:rFonts w:eastAsia="Times New Roman" w:cs="Arial"/>
          <w:lang w:eastAsia="es-MX"/>
        </w:rPr>
        <w:t>,</w:t>
      </w:r>
      <w:r>
        <w:rPr>
          <w:rFonts w:eastAsia="Times New Roman" w:cs="Arial"/>
          <w:lang w:eastAsia="es-MX"/>
        </w:rPr>
        <w:t>399</w:t>
      </w:r>
      <w:r w:rsidRPr="00093862">
        <w:rPr>
          <w:rFonts w:eastAsia="Times New Roman" w:cs="Arial"/>
          <w:lang w:eastAsia="es-MX"/>
        </w:rPr>
        <w:t>,</w:t>
      </w:r>
      <w:r>
        <w:rPr>
          <w:rFonts w:eastAsia="Times New Roman" w:cs="Arial"/>
          <w:lang w:eastAsia="es-MX"/>
        </w:rPr>
        <w:t>200</w:t>
      </w:r>
      <w:r w:rsidRPr="00093862">
        <w:rPr>
          <w:rFonts w:eastAsia="Times New Roman" w:cs="Arial"/>
          <w:lang w:eastAsia="es-MX"/>
        </w:rPr>
        <w:t>.00.</w:t>
      </w:r>
    </w:p>
    <w:p w:rsidR="00712CD2" w:rsidRPr="0096540A" w:rsidRDefault="00712CD2" w:rsidP="00712CD2">
      <w:pPr>
        <w:spacing w:after="0" w:line="276" w:lineRule="auto"/>
        <w:ind w:right="-1"/>
        <w:jc w:val="both"/>
        <w:rPr>
          <w:rFonts w:cs="Arial"/>
          <w:sz w:val="16"/>
        </w:rPr>
      </w:pPr>
    </w:p>
    <w:p w:rsidR="00712CD2" w:rsidRPr="00DA5FD6" w:rsidRDefault="00712CD2" w:rsidP="00712CD2">
      <w:pPr>
        <w:numPr>
          <w:ilvl w:val="0"/>
          <w:numId w:val="18"/>
        </w:numPr>
        <w:spacing w:after="0" w:line="276" w:lineRule="auto"/>
        <w:ind w:right="-1"/>
        <w:contextualSpacing/>
        <w:jc w:val="both"/>
        <w:rPr>
          <w:rFonts w:eastAsia="Times New Roman" w:cs="Arial"/>
          <w:sz w:val="24"/>
          <w:szCs w:val="24"/>
          <w:lang w:eastAsia="es-MX"/>
        </w:rPr>
      </w:pPr>
      <w:r w:rsidRPr="004A1CA2">
        <w:rPr>
          <w:rFonts w:eastAsia="Times New Roman" w:cs="Arial"/>
          <w:b/>
          <w:lang w:eastAsia="es-MX"/>
        </w:rPr>
        <w:t>Participaciones, Aportaciones, Convenios, Incentivos Derivados de la Colaboración Fiscal, Fondos Distintos de Aportaciones, Transferencias, Asignaciones, Subsidios y Subvencione</w:t>
      </w:r>
      <w:r>
        <w:rPr>
          <w:rFonts w:eastAsia="Times New Roman" w:cs="Arial"/>
          <w:b/>
          <w:lang w:eastAsia="es-MX"/>
        </w:rPr>
        <w:t>s, y Pensiones y Jubilaciones</w:t>
      </w:r>
      <w:r w:rsidRPr="00DA5FD6">
        <w:rPr>
          <w:rFonts w:eastAsia="Times New Roman" w:cs="Arial"/>
          <w:lang w:eastAsia="es-MX"/>
        </w:rPr>
        <w:t>. - E</w:t>
      </w:r>
      <w:r>
        <w:rPr>
          <w:rFonts w:eastAsia="Times New Roman" w:cs="Arial"/>
          <w:lang w:eastAsia="es-MX"/>
        </w:rPr>
        <w:t>l saldo corresponde</w:t>
      </w:r>
      <w:r w:rsidRPr="00DA5FD6">
        <w:rPr>
          <w:rFonts w:eastAsia="Times New Roman" w:cs="Arial"/>
          <w:lang w:eastAsia="es-MX"/>
        </w:rPr>
        <w:t xml:space="preserve"> al Programa </w:t>
      </w:r>
      <w:r>
        <w:rPr>
          <w:rFonts w:eastAsia="Times New Roman" w:cs="Arial"/>
          <w:lang w:eastAsia="es-MX"/>
        </w:rPr>
        <w:t>de Acciones</w:t>
      </w:r>
      <w:r w:rsidRPr="00DA5FD6">
        <w:rPr>
          <w:rFonts w:eastAsia="Times New Roman" w:cs="Arial"/>
          <w:lang w:eastAsia="es-MX"/>
        </w:rPr>
        <w:t xml:space="preserve"> </w:t>
      </w:r>
      <w:r>
        <w:rPr>
          <w:rFonts w:eastAsia="Times New Roman" w:cs="Arial"/>
          <w:lang w:eastAsia="es-MX"/>
        </w:rPr>
        <w:t>para el Desarrollo (</w:t>
      </w:r>
      <w:r w:rsidRPr="00DA5FD6">
        <w:rPr>
          <w:rFonts w:eastAsia="Times New Roman" w:cs="Arial"/>
          <w:lang w:eastAsia="es-MX"/>
        </w:rPr>
        <w:t>PAD</w:t>
      </w:r>
      <w:r>
        <w:rPr>
          <w:rFonts w:eastAsia="Times New Roman" w:cs="Arial"/>
          <w:lang w:eastAsia="es-MX"/>
        </w:rPr>
        <w:t xml:space="preserve">), del “Programa de Regularización de </w:t>
      </w:r>
      <w:r w:rsidRPr="00DA5FD6">
        <w:rPr>
          <w:rFonts w:eastAsia="Times New Roman" w:cs="Arial"/>
          <w:lang w:eastAsia="es-MX"/>
        </w:rPr>
        <w:t>Tenencia de la Tierra</w:t>
      </w:r>
      <w:r>
        <w:rPr>
          <w:rFonts w:eastAsia="Times New Roman" w:cs="Arial"/>
          <w:lang w:eastAsia="es-MX"/>
        </w:rPr>
        <w:t>”,</w:t>
      </w:r>
      <w:r w:rsidRPr="00DA5FD6">
        <w:rPr>
          <w:rFonts w:eastAsia="Times New Roman" w:cs="Arial"/>
          <w:lang w:eastAsia="es-MX"/>
        </w:rPr>
        <w:t xml:space="preserve"> </w:t>
      </w:r>
      <w:r>
        <w:rPr>
          <w:rFonts w:eastAsia="Times New Roman" w:cs="Arial"/>
          <w:lang w:eastAsia="es-MX"/>
        </w:rPr>
        <w:t>en este mes el devengado</w:t>
      </w:r>
      <w:r w:rsidRPr="00DA5FD6">
        <w:rPr>
          <w:rFonts w:eastAsia="Times New Roman" w:cs="Arial"/>
          <w:lang w:eastAsia="es-MX"/>
        </w:rPr>
        <w:t xml:space="preserve"> </w:t>
      </w:r>
      <w:r>
        <w:rPr>
          <w:rFonts w:eastAsia="Times New Roman" w:cs="Arial"/>
          <w:lang w:eastAsia="es-MX"/>
        </w:rPr>
        <w:t>y</w:t>
      </w:r>
      <w:r w:rsidRPr="00DA5FD6">
        <w:rPr>
          <w:rFonts w:eastAsia="Times New Roman" w:cs="Arial"/>
          <w:lang w:eastAsia="es-MX"/>
        </w:rPr>
        <w:t xml:space="preserve"> el recaudado </w:t>
      </w:r>
      <w:r>
        <w:rPr>
          <w:rFonts w:eastAsia="Times New Roman" w:cs="Arial"/>
          <w:lang w:eastAsia="es-MX"/>
        </w:rPr>
        <w:t>es de 2,875,248.91. Al mes se tiene un monto acumulado por 26,596,052.42.</w:t>
      </w:r>
    </w:p>
    <w:p w:rsidR="00712CD2" w:rsidRPr="0096540A" w:rsidRDefault="00712CD2" w:rsidP="00712CD2">
      <w:pPr>
        <w:spacing w:after="0" w:line="276" w:lineRule="auto"/>
        <w:ind w:right="-1"/>
        <w:contextualSpacing/>
        <w:jc w:val="both"/>
        <w:rPr>
          <w:rFonts w:eastAsia="Times New Roman" w:cs="Arial"/>
          <w:sz w:val="14"/>
          <w:szCs w:val="24"/>
          <w:lang w:eastAsia="es-MX"/>
        </w:rPr>
      </w:pPr>
    </w:p>
    <w:p w:rsidR="00712CD2" w:rsidRPr="00D16623" w:rsidRDefault="00712CD2" w:rsidP="00712CD2">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Otros Ingresos y Beneficios:</w:t>
      </w:r>
      <w:r w:rsidRPr="00DA5FD6">
        <w:rPr>
          <w:rFonts w:eastAsia="Times New Roman" w:cs="Arial"/>
          <w:lang w:eastAsia="es-MX"/>
        </w:rPr>
        <w:t xml:space="preserve"> En el mes</w:t>
      </w:r>
      <w:r>
        <w:rPr>
          <w:rFonts w:eastAsia="Times New Roman" w:cs="Arial"/>
          <w:lang w:eastAsia="es-MX"/>
        </w:rPr>
        <w:t xml:space="preserve"> que se comenta,</w:t>
      </w:r>
      <w:r w:rsidRPr="00DA5FD6">
        <w:rPr>
          <w:rFonts w:eastAsia="Times New Roman" w:cs="Arial"/>
          <w:lang w:eastAsia="es-MX"/>
        </w:rPr>
        <w:t xml:space="preserve"> se o</w:t>
      </w:r>
      <w:r>
        <w:rPr>
          <w:rFonts w:eastAsia="Times New Roman" w:cs="Arial"/>
          <w:lang w:eastAsia="es-MX"/>
        </w:rPr>
        <w:t xml:space="preserve">bserva un monto de 98,531,071.49, al mes se tiene un acumulado </w:t>
      </w:r>
      <w:r w:rsidRPr="00410DDD">
        <w:rPr>
          <w:rFonts w:eastAsia="Times New Roman" w:cs="Arial"/>
          <w:lang w:eastAsia="es-MX"/>
        </w:rPr>
        <w:t>por</w:t>
      </w:r>
      <w:r>
        <w:rPr>
          <w:rFonts w:eastAsia="Times New Roman" w:cs="Arial"/>
          <w:lang w:eastAsia="es-MX"/>
        </w:rPr>
        <w:t xml:space="preserve"> 477,921,222.24, </w:t>
      </w:r>
      <w:r w:rsidRPr="00D16623">
        <w:rPr>
          <w:rFonts w:eastAsia="Times New Roman" w:cs="Arial"/>
          <w:lang w:eastAsia="es-MX"/>
        </w:rPr>
        <w:t>que corresponden a:</w:t>
      </w:r>
    </w:p>
    <w:p w:rsidR="00712CD2" w:rsidRPr="0096540A" w:rsidRDefault="00712CD2" w:rsidP="00712CD2">
      <w:pPr>
        <w:spacing w:after="0" w:line="276" w:lineRule="auto"/>
        <w:ind w:right="-1"/>
        <w:jc w:val="both"/>
        <w:rPr>
          <w:rFonts w:cs="Arial"/>
          <w:sz w:val="16"/>
        </w:rPr>
      </w:pPr>
    </w:p>
    <w:p w:rsidR="00712CD2" w:rsidRPr="00DA5FD6" w:rsidRDefault="00712CD2" w:rsidP="00712CD2">
      <w:pPr>
        <w:spacing w:line="276" w:lineRule="auto"/>
        <w:ind w:left="644" w:right="-1"/>
        <w:jc w:val="both"/>
        <w:outlineLvl w:val="0"/>
        <w:rPr>
          <w:rFonts w:cs="Arial"/>
        </w:rPr>
      </w:pPr>
      <w:r w:rsidRPr="00DA5FD6">
        <w:rPr>
          <w:rFonts w:cs="Arial"/>
          <w:b/>
        </w:rPr>
        <w:lastRenderedPageBreak/>
        <w:t>Ingresos Financieros</w:t>
      </w:r>
      <w:r w:rsidRPr="00DA5FD6">
        <w:rPr>
          <w:rFonts w:cs="Arial"/>
        </w:rPr>
        <w:t xml:space="preserve">. - Se observa en el mes un saldo </w:t>
      </w:r>
      <w:r>
        <w:rPr>
          <w:rFonts w:cs="Arial"/>
        </w:rPr>
        <w:t>de 98,509,291.75,</w:t>
      </w:r>
      <w:r w:rsidRPr="00DA5FD6">
        <w:rPr>
          <w:rFonts w:cs="Arial"/>
        </w:rPr>
        <w:t xml:space="preserve"> </w:t>
      </w:r>
      <w:r>
        <w:rPr>
          <w:rFonts w:eastAsia="Times New Roman" w:cs="Arial"/>
          <w:lang w:eastAsia="es-MX"/>
        </w:rPr>
        <w:t xml:space="preserve">de los cuales se registraron </w:t>
      </w:r>
      <w:r w:rsidRPr="00384892">
        <w:rPr>
          <w:rFonts w:eastAsia="Times New Roman" w:cs="Arial"/>
          <w:lang w:eastAsia="es-MX"/>
        </w:rPr>
        <w:t>96,648,520.92</w:t>
      </w:r>
      <w:r>
        <w:rPr>
          <w:rFonts w:eastAsia="Times New Roman" w:cs="Arial"/>
          <w:lang w:eastAsia="es-MX"/>
        </w:rPr>
        <w:t>, para el p</w:t>
      </w:r>
      <w:r w:rsidRPr="00A573FF">
        <w:rPr>
          <w:rFonts w:eastAsia="Times New Roman" w:cs="Arial"/>
          <w:lang w:eastAsia="es-MX"/>
        </w:rPr>
        <w:t>ago</w:t>
      </w:r>
      <w:r>
        <w:rPr>
          <w:rFonts w:eastAsia="Times New Roman" w:cs="Arial"/>
          <w:lang w:eastAsia="es-MX"/>
        </w:rPr>
        <w:t xml:space="preserve"> del segundo periodo</w:t>
      </w:r>
      <w:r w:rsidRPr="00A573FF">
        <w:rPr>
          <w:rFonts w:eastAsia="Times New Roman" w:cs="Arial"/>
          <w:lang w:eastAsia="es-MX"/>
        </w:rPr>
        <w:t xml:space="preserve"> a l</w:t>
      </w:r>
      <w:r>
        <w:rPr>
          <w:rFonts w:eastAsia="Times New Roman" w:cs="Arial"/>
          <w:lang w:eastAsia="es-MX"/>
        </w:rPr>
        <w:t>a Fiduciaria (Bonos) Intereses,</w:t>
      </w:r>
      <w:r w:rsidRPr="00DA5FD6">
        <w:rPr>
          <w:rFonts w:cs="Arial"/>
        </w:rPr>
        <w:t xml:space="preserve"> que corresponden</w:t>
      </w:r>
      <w:r w:rsidRPr="00DA5FD6">
        <w:t xml:space="preserve"> a </w:t>
      </w:r>
      <w:r>
        <w:t xml:space="preserve">las Serie Subordinada </w:t>
      </w:r>
      <w:r w:rsidR="002030A5">
        <w:t>“</w:t>
      </w:r>
      <w:r>
        <w:t>C</w:t>
      </w:r>
      <w:r w:rsidR="002030A5">
        <w:t>”</w:t>
      </w:r>
      <w:r>
        <w:t xml:space="preserve"> del Fideicomiso de Cobranza. L</w:t>
      </w:r>
      <w:r w:rsidRPr="00DA5FD6">
        <w:rPr>
          <w:rFonts w:cs="Arial"/>
        </w:rPr>
        <w:t>os intereses de las cuentas bancarias productivas</w:t>
      </w:r>
      <w:r>
        <w:rPr>
          <w:rFonts w:cs="Arial"/>
        </w:rPr>
        <w:t xml:space="preserve"> y las cuentas de inversión</w:t>
      </w:r>
      <w:r w:rsidRPr="00DA5FD6">
        <w:rPr>
          <w:rFonts w:cs="Arial"/>
        </w:rPr>
        <w:t xml:space="preserve"> del Instituto</w:t>
      </w:r>
      <w:r>
        <w:rPr>
          <w:rFonts w:cs="Arial"/>
        </w:rPr>
        <w:t xml:space="preserve"> fueron de 1</w:t>
      </w:r>
      <w:r w:rsidRPr="00384892">
        <w:rPr>
          <w:rFonts w:cs="Arial"/>
        </w:rPr>
        <w:t>,</w:t>
      </w:r>
      <w:r>
        <w:rPr>
          <w:rFonts w:cs="Arial"/>
        </w:rPr>
        <w:t>860</w:t>
      </w:r>
      <w:r w:rsidRPr="00384892">
        <w:rPr>
          <w:rFonts w:cs="Arial"/>
        </w:rPr>
        <w:t>,</w:t>
      </w:r>
      <w:r>
        <w:rPr>
          <w:rFonts w:cs="Arial"/>
        </w:rPr>
        <w:t>770</w:t>
      </w:r>
      <w:r w:rsidRPr="00384892">
        <w:rPr>
          <w:rFonts w:cs="Arial"/>
        </w:rPr>
        <w:t>.</w:t>
      </w:r>
      <w:r>
        <w:rPr>
          <w:rFonts w:cs="Arial"/>
        </w:rPr>
        <w:t>83.</w:t>
      </w:r>
      <w:r w:rsidRPr="00384892">
        <w:rPr>
          <w:rFonts w:cs="Arial"/>
        </w:rPr>
        <w:t xml:space="preserve"> </w:t>
      </w:r>
      <w:r w:rsidRPr="00DA5FD6">
        <w:rPr>
          <w:rFonts w:cs="Arial"/>
        </w:rPr>
        <w:t>Al mes se tiene un acumulado</w:t>
      </w:r>
      <w:r>
        <w:rPr>
          <w:rFonts w:cs="Arial"/>
        </w:rPr>
        <w:t xml:space="preserve"> por 477,463,128.77</w:t>
      </w:r>
      <w:r w:rsidRPr="00DA5FD6">
        <w:rPr>
          <w:rFonts w:cs="Arial"/>
        </w:rPr>
        <w:t>.</w:t>
      </w:r>
    </w:p>
    <w:p w:rsidR="00712CD2" w:rsidRDefault="00712CD2" w:rsidP="00712CD2">
      <w:pPr>
        <w:spacing w:line="276" w:lineRule="auto"/>
        <w:ind w:left="644" w:right="-1"/>
        <w:jc w:val="both"/>
        <w:outlineLvl w:val="0"/>
        <w:rPr>
          <w:rFonts w:cs="Arial"/>
        </w:rPr>
      </w:pPr>
      <w:r w:rsidRPr="00D16623">
        <w:rPr>
          <w:rFonts w:cs="Arial"/>
          <w:b/>
        </w:rPr>
        <w:t>Otros Ingresos y Beneficios Varios</w:t>
      </w:r>
      <w:r>
        <w:rPr>
          <w:rFonts w:cs="Arial"/>
        </w:rPr>
        <w:t>. - Se observa en el mes</w:t>
      </w:r>
      <w:r w:rsidRPr="00D16623">
        <w:rPr>
          <w:rFonts w:cs="Arial"/>
        </w:rPr>
        <w:t xml:space="preserve"> </w:t>
      </w:r>
      <w:r>
        <w:rPr>
          <w:rFonts w:cs="Arial"/>
        </w:rPr>
        <w:t>un saldo</w:t>
      </w:r>
      <w:r w:rsidRPr="00D16623">
        <w:rPr>
          <w:rFonts w:cs="Arial"/>
        </w:rPr>
        <w:t xml:space="preserve">, </w:t>
      </w:r>
      <w:r>
        <w:rPr>
          <w:rFonts w:cs="Arial"/>
        </w:rPr>
        <w:t xml:space="preserve">por </w:t>
      </w:r>
      <w:r w:rsidRPr="00D16623">
        <w:rPr>
          <w:rFonts w:cs="Arial"/>
        </w:rPr>
        <w:t xml:space="preserve">la cantidad de </w:t>
      </w:r>
      <w:r>
        <w:rPr>
          <w:rFonts w:cs="Arial"/>
        </w:rPr>
        <w:t>21,779.74 correspondiente a 12,218.00 por concepto de venta de bases para concurso, 2,543.37 por depósitos en efectivo no referenciados, 1,295.52 otros ingresos varios, y 5,722.85 por los rendimientos de la remesa de los ingresos por RPC.</w:t>
      </w:r>
      <w:r w:rsidRPr="007C7CED">
        <w:rPr>
          <w:rFonts w:cs="Arial"/>
        </w:rPr>
        <w:t xml:space="preserve"> </w:t>
      </w:r>
      <w:r w:rsidRPr="00DA5FD6">
        <w:rPr>
          <w:rFonts w:cs="Arial"/>
        </w:rPr>
        <w:t xml:space="preserve">Presenta un saldo acumulado </w:t>
      </w:r>
      <w:r>
        <w:rPr>
          <w:rFonts w:cs="Arial"/>
        </w:rPr>
        <w:t>por 458,093.47.</w:t>
      </w:r>
    </w:p>
    <w:p w:rsidR="00712CD2" w:rsidRDefault="00712CD2" w:rsidP="00712CD2">
      <w:pPr>
        <w:spacing w:line="276" w:lineRule="auto"/>
        <w:ind w:right="-1"/>
        <w:jc w:val="both"/>
        <w:outlineLvl w:val="0"/>
        <w:rPr>
          <w:rFonts w:cs="Arial"/>
          <w:b/>
        </w:rPr>
      </w:pPr>
    </w:p>
    <w:p w:rsidR="00712CD2" w:rsidRDefault="00712CD2" w:rsidP="00712CD2">
      <w:pPr>
        <w:spacing w:line="276" w:lineRule="auto"/>
        <w:ind w:right="-1"/>
        <w:jc w:val="both"/>
        <w:outlineLvl w:val="0"/>
        <w:rPr>
          <w:rFonts w:cs="Arial"/>
          <w:b/>
        </w:rPr>
      </w:pPr>
      <w:r w:rsidRPr="00543156">
        <w:rPr>
          <w:rFonts w:cs="Arial"/>
          <w:b/>
        </w:rPr>
        <w:t>Gastos y Otras Pérdidas:</w:t>
      </w:r>
      <w:r>
        <w:rPr>
          <w:rFonts w:cs="Arial"/>
          <w:b/>
        </w:rPr>
        <w:t xml:space="preserve"> </w:t>
      </w:r>
    </w:p>
    <w:p w:rsidR="00712CD2" w:rsidRPr="00EB7503" w:rsidRDefault="00712CD2" w:rsidP="00712CD2">
      <w:pPr>
        <w:pStyle w:val="Prrafodelista"/>
        <w:numPr>
          <w:ilvl w:val="0"/>
          <w:numId w:val="19"/>
        </w:numPr>
        <w:spacing w:line="276" w:lineRule="auto"/>
        <w:ind w:right="-1"/>
        <w:jc w:val="both"/>
        <w:outlineLvl w:val="0"/>
        <w:rPr>
          <w:rFonts w:ascii="HelveticaNeueLT Std" w:eastAsiaTheme="minorHAnsi" w:hAnsi="HelveticaNeueLT Std" w:cs="Arial"/>
          <w:sz w:val="20"/>
          <w:szCs w:val="20"/>
          <w:lang w:eastAsia="en-US"/>
        </w:rPr>
      </w:pPr>
      <w:r w:rsidRPr="007759F0">
        <w:rPr>
          <w:rFonts w:ascii="HelveticaNeueLT Std" w:eastAsiaTheme="minorHAnsi" w:hAnsi="HelveticaNeueLT Std" w:cs="Arial"/>
          <w:b/>
          <w:sz w:val="20"/>
          <w:szCs w:val="20"/>
          <w:lang w:eastAsia="en-US"/>
        </w:rPr>
        <w:t>Gastos de Funcionamiento</w:t>
      </w:r>
      <w:r w:rsidRPr="007759F0">
        <w:rPr>
          <w:rFonts w:cs="Arial"/>
        </w:rPr>
        <w:t xml:space="preserve">. - </w:t>
      </w:r>
      <w:r w:rsidRPr="007759F0">
        <w:rPr>
          <w:rFonts w:ascii="HelveticaNeueLT Std" w:eastAsiaTheme="minorHAnsi" w:hAnsi="HelveticaNeueLT Std" w:cs="Arial"/>
          <w:sz w:val="20"/>
          <w:szCs w:val="20"/>
          <w:lang w:eastAsia="en-US"/>
        </w:rPr>
        <w:t xml:space="preserve">Para la operación del Instituto, se han erogado en este mes la cantidad de </w:t>
      </w:r>
      <w:r>
        <w:rPr>
          <w:rFonts w:ascii="HelveticaNeueLT Std" w:eastAsiaTheme="minorHAnsi" w:hAnsi="HelveticaNeueLT Std" w:cs="Arial"/>
          <w:sz w:val="20"/>
          <w:szCs w:val="20"/>
          <w:lang w:eastAsia="en-US"/>
        </w:rPr>
        <w:t>12</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414</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967</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75</w:t>
      </w:r>
      <w:r w:rsidRPr="007759F0">
        <w:rPr>
          <w:rFonts w:ascii="HelveticaNeueLT Std" w:eastAsiaTheme="minorHAnsi" w:hAnsi="HelveticaNeueLT Std" w:cs="Arial"/>
          <w:sz w:val="20"/>
          <w:szCs w:val="20"/>
          <w:lang w:eastAsia="en-US"/>
        </w:rPr>
        <w:t xml:space="preserve">, integrados </w:t>
      </w:r>
      <w:r>
        <w:rPr>
          <w:rFonts w:ascii="HelveticaNeueLT Std" w:eastAsiaTheme="minorHAnsi" w:hAnsi="HelveticaNeueLT Std" w:cs="Arial"/>
          <w:sz w:val="20"/>
          <w:szCs w:val="20"/>
          <w:lang w:eastAsia="en-US"/>
        </w:rPr>
        <w:t xml:space="preserve">principalmente </w:t>
      </w:r>
      <w:r w:rsidRPr="007759F0">
        <w:rPr>
          <w:rFonts w:ascii="HelveticaNeueLT Std" w:eastAsiaTheme="minorHAnsi" w:hAnsi="HelveticaNeueLT Std" w:cs="Arial"/>
          <w:sz w:val="20"/>
          <w:szCs w:val="20"/>
          <w:lang w:eastAsia="en-US"/>
        </w:rPr>
        <w:t xml:space="preserve">por: “Servicios Personales” (pagos de la nómina y sus colaterales) </w:t>
      </w:r>
      <w:r>
        <w:rPr>
          <w:rFonts w:ascii="HelveticaNeueLT Std" w:eastAsiaTheme="minorHAnsi" w:hAnsi="HelveticaNeueLT Std" w:cs="Arial"/>
          <w:sz w:val="20"/>
          <w:szCs w:val="20"/>
          <w:lang w:eastAsia="en-US"/>
        </w:rPr>
        <w:t>con un</w:t>
      </w:r>
      <w:r w:rsidRPr="007759F0">
        <w:rPr>
          <w:rFonts w:ascii="HelveticaNeueLT Std" w:eastAsiaTheme="minorHAnsi" w:hAnsi="HelveticaNeueLT Std" w:cs="Arial"/>
          <w:sz w:val="20"/>
          <w:szCs w:val="20"/>
          <w:lang w:eastAsia="en-US"/>
        </w:rPr>
        <w:t xml:space="preserve"> importe de </w:t>
      </w:r>
      <w:r>
        <w:rPr>
          <w:rFonts w:ascii="HelveticaNeueLT Std" w:eastAsiaTheme="minorHAnsi" w:hAnsi="HelveticaNeueLT Std" w:cs="Arial"/>
          <w:sz w:val="20"/>
          <w:szCs w:val="20"/>
          <w:lang w:eastAsia="en-US"/>
        </w:rPr>
        <w:t>9,812</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758</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04, que representa el 79.0</w:t>
      </w:r>
      <w:r w:rsidR="002B1C94">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 xml:space="preserve">por ciento, </w:t>
      </w:r>
      <w:r w:rsidRPr="00EB7503">
        <w:rPr>
          <w:rFonts w:ascii="HelveticaNeueLT Std" w:eastAsiaTheme="minorHAnsi" w:hAnsi="HelveticaNeueLT Std" w:cs="Arial"/>
          <w:sz w:val="20"/>
          <w:szCs w:val="20"/>
          <w:lang w:eastAsia="en-US"/>
        </w:rPr>
        <w:t>en el concepto de “Servicios Generales” por 2,</w:t>
      </w:r>
      <w:r>
        <w:rPr>
          <w:rFonts w:ascii="HelveticaNeueLT Std" w:eastAsiaTheme="minorHAnsi" w:hAnsi="HelveticaNeueLT Std" w:cs="Arial"/>
          <w:sz w:val="20"/>
          <w:szCs w:val="20"/>
          <w:lang w:eastAsia="en-US"/>
        </w:rPr>
        <w:t>592</w:t>
      </w:r>
      <w:r w:rsidRPr="00EB7503">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357</w:t>
      </w:r>
      <w:r w:rsidRPr="00EB7503">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65</w:t>
      </w:r>
      <w:r w:rsidRPr="00EB7503">
        <w:rPr>
          <w:rFonts w:ascii="HelveticaNeueLT Std" w:eastAsiaTheme="minorHAnsi" w:hAnsi="HelveticaNeueLT Std" w:cs="Arial"/>
          <w:sz w:val="20"/>
          <w:szCs w:val="20"/>
          <w:lang w:eastAsia="en-US"/>
        </w:rPr>
        <w:t xml:space="preserve"> que representa el </w:t>
      </w:r>
      <w:r>
        <w:rPr>
          <w:rFonts w:ascii="HelveticaNeueLT Std" w:eastAsiaTheme="minorHAnsi" w:hAnsi="HelveticaNeueLT Std" w:cs="Arial"/>
          <w:sz w:val="20"/>
          <w:szCs w:val="20"/>
          <w:lang w:eastAsia="en-US"/>
        </w:rPr>
        <w:t>20</w:t>
      </w:r>
      <w:r w:rsidRPr="00EB7503">
        <w:rPr>
          <w:rFonts w:ascii="HelveticaNeueLT Std" w:eastAsiaTheme="minorHAnsi" w:hAnsi="HelveticaNeueLT Std" w:cs="Arial"/>
          <w:sz w:val="20"/>
          <w:szCs w:val="20"/>
          <w:lang w:eastAsia="en-US"/>
        </w:rPr>
        <w:t>.</w:t>
      </w:r>
      <w:r w:rsidR="002B1C94">
        <w:rPr>
          <w:rFonts w:ascii="HelveticaNeueLT Std" w:eastAsiaTheme="minorHAnsi" w:hAnsi="HelveticaNeueLT Std" w:cs="Arial"/>
          <w:sz w:val="20"/>
          <w:szCs w:val="20"/>
          <w:lang w:eastAsia="en-US"/>
        </w:rPr>
        <w:t>9</w:t>
      </w:r>
      <w:r w:rsidRPr="00EB7503">
        <w:rPr>
          <w:rFonts w:ascii="HelveticaNeueLT Std" w:eastAsiaTheme="minorHAnsi" w:hAnsi="HelveticaNeueLT Std" w:cs="Arial"/>
          <w:sz w:val="20"/>
          <w:szCs w:val="20"/>
          <w:lang w:eastAsia="en-US"/>
        </w:rPr>
        <w:t xml:space="preserve"> por ciento</w:t>
      </w:r>
      <w:r>
        <w:rPr>
          <w:rFonts w:ascii="HelveticaNeueLT Std" w:eastAsiaTheme="minorHAnsi" w:hAnsi="HelveticaNeueLT Std" w:cs="Arial"/>
          <w:sz w:val="20"/>
          <w:szCs w:val="20"/>
          <w:lang w:eastAsia="en-US"/>
        </w:rPr>
        <w:t xml:space="preserve"> y en el concepto de “Materiales y Suministros” con un importe de 9,852.06 que representa el 0.</w:t>
      </w:r>
      <w:r w:rsidR="002B1C94">
        <w:rPr>
          <w:rFonts w:ascii="HelveticaNeueLT Std" w:eastAsiaTheme="minorHAnsi" w:hAnsi="HelveticaNeueLT Std" w:cs="Arial"/>
          <w:sz w:val="20"/>
          <w:szCs w:val="20"/>
          <w:lang w:eastAsia="en-US"/>
        </w:rPr>
        <w:t xml:space="preserve">1 </w:t>
      </w:r>
      <w:r>
        <w:rPr>
          <w:rFonts w:ascii="HelveticaNeueLT Std" w:eastAsiaTheme="minorHAnsi" w:hAnsi="HelveticaNeueLT Std" w:cs="Arial"/>
          <w:sz w:val="20"/>
          <w:szCs w:val="20"/>
          <w:lang w:eastAsia="en-US"/>
        </w:rPr>
        <w:t>por ciento</w:t>
      </w:r>
      <w:r w:rsidRPr="00EB7503">
        <w:rPr>
          <w:rFonts w:ascii="HelveticaNeueLT Std" w:eastAsiaTheme="minorHAnsi" w:hAnsi="HelveticaNeueLT Std" w:cs="Arial"/>
          <w:sz w:val="20"/>
          <w:szCs w:val="20"/>
          <w:lang w:eastAsia="en-US"/>
        </w:rPr>
        <w:t xml:space="preserve">. Este rubro </w:t>
      </w:r>
      <w:r w:rsidR="002B1C94">
        <w:rPr>
          <w:rFonts w:ascii="HelveticaNeueLT Std" w:eastAsiaTheme="minorHAnsi" w:hAnsi="HelveticaNeueLT Std" w:cs="Arial"/>
          <w:sz w:val="20"/>
          <w:szCs w:val="20"/>
          <w:lang w:eastAsia="en-US"/>
        </w:rPr>
        <w:t>muestra</w:t>
      </w:r>
      <w:r w:rsidRPr="00EB7503">
        <w:rPr>
          <w:rFonts w:ascii="HelveticaNeueLT Std" w:eastAsiaTheme="minorHAnsi" w:hAnsi="HelveticaNeueLT Std" w:cs="Arial"/>
          <w:sz w:val="20"/>
          <w:szCs w:val="20"/>
          <w:lang w:eastAsia="en-US"/>
        </w:rPr>
        <w:t xml:space="preserve"> un saldo acumulado por </w:t>
      </w:r>
      <w:r>
        <w:rPr>
          <w:rFonts w:ascii="HelveticaNeueLT Std" w:eastAsiaTheme="minorHAnsi" w:hAnsi="HelveticaNeueLT Std" w:cs="Arial"/>
          <w:sz w:val="20"/>
          <w:szCs w:val="20"/>
          <w:lang w:eastAsia="en-US"/>
        </w:rPr>
        <w:t>132</w:t>
      </w:r>
      <w:r w:rsidRPr="00EB7503">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503</w:t>
      </w:r>
      <w:r w:rsidRPr="00EB7503">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103.47</w:t>
      </w:r>
      <w:r w:rsidRPr="00EB7503">
        <w:rPr>
          <w:rFonts w:ascii="HelveticaNeueLT Std" w:eastAsiaTheme="minorHAnsi" w:hAnsi="HelveticaNeueLT Std" w:cs="Arial"/>
          <w:sz w:val="20"/>
          <w:szCs w:val="20"/>
          <w:lang w:eastAsia="en-US"/>
        </w:rPr>
        <w:t>.</w:t>
      </w:r>
    </w:p>
    <w:p w:rsidR="00712CD2" w:rsidRPr="00714562" w:rsidRDefault="00712CD2" w:rsidP="00712CD2">
      <w:pPr>
        <w:spacing w:after="0" w:line="276" w:lineRule="auto"/>
        <w:ind w:left="644" w:right="-1"/>
        <w:jc w:val="both"/>
        <w:rPr>
          <w:rFonts w:cs="Arial"/>
        </w:rPr>
      </w:pPr>
    </w:p>
    <w:p w:rsidR="00712CD2" w:rsidRDefault="00712CD2" w:rsidP="00712CD2">
      <w:pPr>
        <w:numPr>
          <w:ilvl w:val="0"/>
          <w:numId w:val="19"/>
        </w:numPr>
        <w:spacing w:after="0" w:line="276" w:lineRule="auto"/>
        <w:ind w:right="-1"/>
        <w:jc w:val="both"/>
        <w:rPr>
          <w:rFonts w:cs="Arial"/>
        </w:rPr>
      </w:pPr>
      <w:r w:rsidRPr="00DA5FD6">
        <w:rPr>
          <w:rFonts w:cs="Arial"/>
          <w:b/>
        </w:rPr>
        <w:t xml:space="preserve">Transferencias, Asignaciones, Subsidios y Otras Ayudas. </w:t>
      </w:r>
      <w:r>
        <w:rPr>
          <w:rFonts w:cs="Arial"/>
          <w:b/>
        </w:rPr>
        <w:t>–</w:t>
      </w:r>
      <w:r w:rsidRPr="00DA5FD6">
        <w:rPr>
          <w:rFonts w:cs="Arial"/>
        </w:rPr>
        <w:t xml:space="preserve"> </w:t>
      </w:r>
      <w:r>
        <w:rPr>
          <w:rFonts w:cs="Arial"/>
        </w:rPr>
        <w:t xml:space="preserve">Presenta en el mes un monto de </w:t>
      </w:r>
      <w:r w:rsidRPr="00630E3C">
        <w:rPr>
          <w:rFonts w:cs="Arial"/>
        </w:rPr>
        <w:t>96</w:t>
      </w:r>
      <w:r>
        <w:rPr>
          <w:rFonts w:cs="Arial"/>
        </w:rPr>
        <w:t>,</w:t>
      </w:r>
      <w:r w:rsidRPr="00630E3C">
        <w:rPr>
          <w:rFonts w:cs="Arial"/>
        </w:rPr>
        <w:t>264.4</w:t>
      </w:r>
      <w:r w:rsidR="002B1C94">
        <w:rPr>
          <w:rFonts w:cs="Arial"/>
        </w:rPr>
        <w:t>0</w:t>
      </w:r>
      <w:r>
        <w:rPr>
          <w:rFonts w:cs="Arial"/>
        </w:rPr>
        <w:t>,</w:t>
      </w:r>
      <w:r w:rsidRPr="00075DBF">
        <w:t xml:space="preserve"> </w:t>
      </w:r>
      <w:r>
        <w:rPr>
          <w:rFonts w:cs="Arial"/>
        </w:rPr>
        <w:t xml:space="preserve">por concepto de devoluciones de ingresos indebidos, mostrando un saldo acumulado por </w:t>
      </w:r>
      <w:r w:rsidRPr="00630E3C">
        <w:rPr>
          <w:rFonts w:cs="Arial"/>
        </w:rPr>
        <w:t>577</w:t>
      </w:r>
      <w:r>
        <w:rPr>
          <w:rFonts w:cs="Arial"/>
        </w:rPr>
        <w:t>,</w:t>
      </w:r>
      <w:r w:rsidRPr="00630E3C">
        <w:rPr>
          <w:rFonts w:cs="Arial"/>
        </w:rPr>
        <w:t>408.51</w:t>
      </w:r>
      <w:r>
        <w:rPr>
          <w:rFonts w:cs="Arial"/>
        </w:rPr>
        <w:t xml:space="preserve">. </w:t>
      </w:r>
    </w:p>
    <w:p w:rsidR="00712CD2" w:rsidRDefault="00712CD2" w:rsidP="00712CD2">
      <w:pPr>
        <w:pStyle w:val="Prrafodelista"/>
        <w:rPr>
          <w:rFonts w:cs="Arial"/>
        </w:rPr>
      </w:pPr>
    </w:p>
    <w:p w:rsidR="00712CD2" w:rsidRPr="00AA61F6" w:rsidRDefault="00712CD2" w:rsidP="00712CD2">
      <w:pPr>
        <w:numPr>
          <w:ilvl w:val="0"/>
          <w:numId w:val="19"/>
        </w:numPr>
        <w:spacing w:after="0" w:line="276" w:lineRule="auto"/>
        <w:ind w:right="-1"/>
        <w:jc w:val="both"/>
        <w:rPr>
          <w:rFonts w:cs="Arial"/>
        </w:rPr>
      </w:pPr>
      <w:r w:rsidRPr="00AA61F6">
        <w:rPr>
          <w:rFonts w:cs="Arial"/>
          <w:b/>
        </w:rPr>
        <w:t xml:space="preserve">Intereses, Comisiones y Otros Gastos de la Deuda Pública. </w:t>
      </w:r>
      <w:r>
        <w:rPr>
          <w:rFonts w:cs="Arial"/>
          <w:b/>
        </w:rPr>
        <w:t>–</w:t>
      </w:r>
      <w:r w:rsidRPr="00AA61F6">
        <w:rPr>
          <w:rFonts w:cs="Arial"/>
          <w:b/>
        </w:rPr>
        <w:t xml:space="preserve"> </w:t>
      </w:r>
      <w:r>
        <w:rPr>
          <w:rFonts w:cs="Arial"/>
        </w:rPr>
        <w:t xml:space="preserve">Se observa en el mes un monto de </w:t>
      </w:r>
      <w:r w:rsidRPr="00630E3C">
        <w:rPr>
          <w:rFonts w:cs="Arial"/>
        </w:rPr>
        <w:t>96</w:t>
      </w:r>
      <w:r>
        <w:rPr>
          <w:rFonts w:cs="Arial"/>
        </w:rPr>
        <w:t>,</w:t>
      </w:r>
      <w:r w:rsidRPr="00630E3C">
        <w:rPr>
          <w:rFonts w:cs="Arial"/>
        </w:rPr>
        <w:t>648</w:t>
      </w:r>
      <w:r>
        <w:rPr>
          <w:rFonts w:cs="Arial"/>
        </w:rPr>
        <w:t>,</w:t>
      </w:r>
      <w:r w:rsidRPr="00630E3C">
        <w:rPr>
          <w:rFonts w:cs="Arial"/>
        </w:rPr>
        <w:t>520.92</w:t>
      </w:r>
      <w:r>
        <w:rPr>
          <w:rFonts w:cs="Arial"/>
        </w:rPr>
        <w:t>, por el pago a la fiduciaria (Bonos)</w:t>
      </w:r>
      <w:r w:rsidRPr="00AA61F6">
        <w:rPr>
          <w:rFonts w:cs="Arial"/>
        </w:rPr>
        <w:t xml:space="preserve"> intereses de la deuda</w:t>
      </w:r>
      <w:r>
        <w:rPr>
          <w:rFonts w:cs="Arial"/>
        </w:rPr>
        <w:t xml:space="preserve"> de los cupones serie “C” del segundo periodo. El saldo acumulado total por </w:t>
      </w:r>
      <w:r w:rsidRPr="00630E3C">
        <w:rPr>
          <w:rFonts w:cs="Arial"/>
        </w:rPr>
        <w:t>461</w:t>
      </w:r>
      <w:r>
        <w:rPr>
          <w:rFonts w:cs="Arial"/>
        </w:rPr>
        <w:t>,</w:t>
      </w:r>
      <w:r w:rsidRPr="00630E3C">
        <w:rPr>
          <w:rFonts w:cs="Arial"/>
        </w:rPr>
        <w:t>665</w:t>
      </w:r>
      <w:r>
        <w:rPr>
          <w:rFonts w:cs="Arial"/>
        </w:rPr>
        <w:t>,</w:t>
      </w:r>
      <w:r w:rsidRPr="00630E3C">
        <w:rPr>
          <w:rFonts w:cs="Arial"/>
        </w:rPr>
        <w:t>848.24</w:t>
      </w:r>
      <w:r>
        <w:rPr>
          <w:rFonts w:cs="Arial"/>
        </w:rPr>
        <w:t xml:space="preserve">, por los (Bonos) intereses de los cupones de las Series “A”, “B” y Subordinada “C”. </w:t>
      </w:r>
    </w:p>
    <w:p w:rsidR="00712CD2" w:rsidRPr="00C2579F" w:rsidRDefault="00712CD2" w:rsidP="00712CD2">
      <w:pPr>
        <w:spacing w:after="0" w:line="276" w:lineRule="auto"/>
        <w:ind w:left="644" w:right="-1"/>
        <w:jc w:val="both"/>
        <w:rPr>
          <w:rFonts w:cs="Arial"/>
        </w:rPr>
      </w:pPr>
      <w:r w:rsidRPr="00C2579F">
        <w:rPr>
          <w:rFonts w:cs="Arial"/>
        </w:rPr>
        <w:t xml:space="preserve"> </w:t>
      </w:r>
    </w:p>
    <w:p w:rsidR="00712CD2" w:rsidRDefault="00712CD2" w:rsidP="00712CD2">
      <w:pPr>
        <w:numPr>
          <w:ilvl w:val="0"/>
          <w:numId w:val="19"/>
        </w:numPr>
        <w:spacing w:after="0" w:line="276" w:lineRule="auto"/>
        <w:ind w:right="-1"/>
        <w:jc w:val="both"/>
        <w:rPr>
          <w:rFonts w:cs="Arial"/>
        </w:rPr>
      </w:pPr>
      <w:r w:rsidRPr="000E1289">
        <w:rPr>
          <w:rFonts w:cs="Arial"/>
          <w:b/>
        </w:rPr>
        <w:t>Otros Gastos y Pérdidas Extraordinarias</w:t>
      </w:r>
      <w:r w:rsidRPr="000E1289">
        <w:rPr>
          <w:rFonts w:cs="Arial"/>
        </w:rPr>
        <w:t>. - En esta partida se refleja la depreciación de bienes muebles e inmuebles</w:t>
      </w:r>
      <w:r>
        <w:rPr>
          <w:rFonts w:cs="Arial"/>
        </w:rPr>
        <w:t xml:space="preserve"> en el mes</w:t>
      </w:r>
      <w:r w:rsidRPr="000E1289">
        <w:rPr>
          <w:rFonts w:cs="Arial"/>
        </w:rPr>
        <w:t xml:space="preserve"> por la cantidad de </w:t>
      </w:r>
      <w:r>
        <w:rPr>
          <w:rFonts w:cs="Arial"/>
        </w:rPr>
        <w:t>845</w:t>
      </w:r>
      <w:r w:rsidRPr="000E1289">
        <w:rPr>
          <w:rFonts w:cs="Arial"/>
        </w:rPr>
        <w:t>,</w:t>
      </w:r>
      <w:r>
        <w:rPr>
          <w:rFonts w:cs="Arial"/>
        </w:rPr>
        <w:t>159</w:t>
      </w:r>
      <w:r w:rsidRPr="000E1289">
        <w:rPr>
          <w:rFonts w:cs="Arial"/>
        </w:rPr>
        <w:t>.</w:t>
      </w:r>
      <w:r>
        <w:rPr>
          <w:rFonts w:cs="Arial"/>
        </w:rPr>
        <w:t>31</w:t>
      </w:r>
      <w:r w:rsidRPr="000E1289">
        <w:rPr>
          <w:rFonts w:cs="Arial"/>
        </w:rPr>
        <w:t>,</w:t>
      </w:r>
      <w:r>
        <w:rPr>
          <w:rFonts w:cs="Arial"/>
        </w:rPr>
        <w:t xml:space="preserve"> con un acumulado de </w:t>
      </w:r>
      <w:r w:rsidRPr="00245B31">
        <w:rPr>
          <w:rFonts w:cs="Arial"/>
        </w:rPr>
        <w:t>7</w:t>
      </w:r>
      <w:r>
        <w:rPr>
          <w:rFonts w:cs="Arial"/>
        </w:rPr>
        <w:t>,</w:t>
      </w:r>
      <w:r w:rsidRPr="00245B31">
        <w:rPr>
          <w:rFonts w:cs="Arial"/>
        </w:rPr>
        <w:t>882</w:t>
      </w:r>
      <w:r>
        <w:rPr>
          <w:rFonts w:cs="Arial"/>
        </w:rPr>
        <w:t>,</w:t>
      </w:r>
      <w:r w:rsidRPr="00245B31">
        <w:rPr>
          <w:rFonts w:cs="Arial"/>
        </w:rPr>
        <w:t>115.08</w:t>
      </w:r>
      <w:r>
        <w:rPr>
          <w:rFonts w:cs="Arial"/>
        </w:rPr>
        <w:t>.</w:t>
      </w:r>
      <w:r w:rsidRPr="000E1289">
        <w:rPr>
          <w:rFonts w:cs="Arial"/>
        </w:rPr>
        <w:t xml:space="preserve"> </w:t>
      </w:r>
      <w:r>
        <w:rPr>
          <w:rFonts w:cs="Arial"/>
        </w:rPr>
        <w:t>A</w:t>
      </w:r>
      <w:r w:rsidRPr="000E1289">
        <w:rPr>
          <w:rFonts w:cs="Arial"/>
        </w:rPr>
        <w:t>sí mismo un importe de 2,464,484.75, por la devolución de los remanentes del PAD del ejercicio 2019, al Gobierno del Estado de México.</w:t>
      </w:r>
      <w:r>
        <w:rPr>
          <w:rFonts w:cs="Arial"/>
        </w:rPr>
        <w:t xml:space="preserve"> Este Rubro presenta un saldo acumulado total por 10,346,599.83.</w:t>
      </w:r>
    </w:p>
    <w:p w:rsidR="00712CD2" w:rsidRPr="000E1289" w:rsidRDefault="00712CD2" w:rsidP="00712CD2">
      <w:pPr>
        <w:spacing w:after="0" w:line="276" w:lineRule="auto"/>
        <w:ind w:right="-1"/>
        <w:jc w:val="both"/>
        <w:rPr>
          <w:rFonts w:cs="Arial"/>
        </w:rPr>
      </w:pPr>
    </w:p>
    <w:p w:rsidR="00712CD2" w:rsidRPr="0096540A" w:rsidRDefault="00712CD2" w:rsidP="00712CD2">
      <w:pPr>
        <w:spacing w:after="0" w:line="276" w:lineRule="auto"/>
        <w:ind w:left="644" w:right="-1"/>
        <w:jc w:val="both"/>
        <w:rPr>
          <w:rFonts w:cs="Arial"/>
          <w:sz w:val="2"/>
        </w:rPr>
      </w:pPr>
    </w:p>
    <w:p w:rsidR="00712CD2" w:rsidRDefault="00712CD2" w:rsidP="00712CD2">
      <w:pPr>
        <w:numPr>
          <w:ilvl w:val="0"/>
          <w:numId w:val="19"/>
        </w:numPr>
        <w:spacing w:after="0" w:line="276" w:lineRule="auto"/>
        <w:ind w:right="-1"/>
        <w:jc w:val="both"/>
        <w:rPr>
          <w:rFonts w:cs="Arial"/>
        </w:rPr>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w:t>
      </w:r>
      <w:r>
        <w:rPr>
          <w:rFonts w:cs="Arial"/>
        </w:rPr>
        <w:t xml:space="preserve"> PAD, del</w:t>
      </w:r>
      <w:r w:rsidRPr="00867EA8">
        <w:rPr>
          <w:rFonts w:cs="Arial"/>
        </w:rPr>
        <w:t xml:space="preserve"> Programa </w:t>
      </w:r>
      <w:r>
        <w:rPr>
          <w:rFonts w:cs="Arial"/>
        </w:rPr>
        <w:t xml:space="preserve">de Regularización de Tenencia de la Tierra, por la cantidad de </w:t>
      </w:r>
      <w:r w:rsidRPr="00245B31">
        <w:rPr>
          <w:rFonts w:cs="Arial"/>
        </w:rPr>
        <w:t>2</w:t>
      </w:r>
      <w:r>
        <w:rPr>
          <w:rFonts w:cs="Arial"/>
        </w:rPr>
        <w:t>,</w:t>
      </w:r>
      <w:r w:rsidRPr="00245B31">
        <w:rPr>
          <w:rFonts w:cs="Arial"/>
        </w:rPr>
        <w:t>601</w:t>
      </w:r>
      <w:r>
        <w:rPr>
          <w:rFonts w:cs="Arial"/>
        </w:rPr>
        <w:t>,</w:t>
      </w:r>
      <w:r w:rsidRPr="00245B31">
        <w:rPr>
          <w:rFonts w:cs="Arial"/>
        </w:rPr>
        <w:t>492.83</w:t>
      </w:r>
      <w:r>
        <w:rPr>
          <w:rFonts w:cs="Arial"/>
        </w:rPr>
        <w:t xml:space="preserve">. Presenta un saldo acumulado por </w:t>
      </w:r>
      <w:r w:rsidRPr="00245B31">
        <w:rPr>
          <w:rFonts w:cs="Arial"/>
        </w:rPr>
        <w:t>23</w:t>
      </w:r>
      <w:r>
        <w:rPr>
          <w:rFonts w:cs="Arial"/>
        </w:rPr>
        <w:t>,</w:t>
      </w:r>
      <w:r w:rsidRPr="00245B31">
        <w:rPr>
          <w:rFonts w:cs="Arial"/>
        </w:rPr>
        <w:t>630</w:t>
      </w:r>
      <w:r>
        <w:rPr>
          <w:rFonts w:cs="Arial"/>
        </w:rPr>
        <w:t>,</w:t>
      </w:r>
      <w:r w:rsidRPr="00245B31">
        <w:rPr>
          <w:rFonts w:cs="Arial"/>
        </w:rPr>
        <w:t>375.3</w:t>
      </w:r>
      <w:r>
        <w:rPr>
          <w:rFonts w:cs="Arial"/>
        </w:rPr>
        <w:t>0.</w:t>
      </w:r>
    </w:p>
    <w:p w:rsidR="00712CD2" w:rsidRPr="00712CD2" w:rsidRDefault="00712CD2" w:rsidP="00712CD2">
      <w:pPr>
        <w:spacing w:line="259" w:lineRule="auto"/>
        <w:rPr>
          <w:rFonts w:cs="Arial"/>
        </w:rPr>
      </w:pPr>
      <w:r>
        <w:rPr>
          <w:rFonts w:cs="Arial"/>
        </w:rPr>
        <w:br w:type="page"/>
      </w:r>
    </w:p>
    <w:p w:rsidR="00712CD2" w:rsidRPr="00DC0BE0" w:rsidRDefault="00712CD2" w:rsidP="00712CD2">
      <w:pPr>
        <w:numPr>
          <w:ilvl w:val="0"/>
          <w:numId w:val="6"/>
        </w:numPr>
        <w:spacing w:before="240" w:after="240" w:line="276" w:lineRule="auto"/>
        <w:ind w:right="-1"/>
        <w:contextualSpacing/>
        <w:outlineLvl w:val="0"/>
        <w:rPr>
          <w:rFonts w:eastAsia="Times New Roman" w:cs="Arial"/>
          <w:b/>
          <w:lang w:eastAsia="es-MX"/>
        </w:rPr>
      </w:pPr>
      <w:r w:rsidRPr="00DC0BE0">
        <w:rPr>
          <w:rFonts w:eastAsia="Times New Roman" w:cs="Arial"/>
          <w:b/>
          <w:lang w:eastAsia="es-MX"/>
        </w:rPr>
        <w:lastRenderedPageBreak/>
        <w:t>NOTAS AL ESTADO DE VARIACIONES EN LA HACIENDA PÚBLICA/PATRIMONIO</w:t>
      </w:r>
    </w:p>
    <w:p w:rsidR="00712CD2" w:rsidRPr="0020562B" w:rsidRDefault="00712CD2" w:rsidP="00712CD2">
      <w:pPr>
        <w:spacing w:before="240" w:after="240" w:line="276" w:lineRule="auto"/>
        <w:ind w:left="1068" w:right="-1"/>
        <w:contextualSpacing/>
        <w:outlineLvl w:val="0"/>
        <w:rPr>
          <w:rFonts w:eastAsia="Times New Roman" w:cs="Arial"/>
          <w:b/>
          <w:lang w:eastAsia="es-MX"/>
        </w:rPr>
      </w:pPr>
    </w:p>
    <w:p w:rsidR="00712CD2" w:rsidRDefault="00712CD2" w:rsidP="00712CD2">
      <w:pPr>
        <w:spacing w:line="276" w:lineRule="auto"/>
        <w:ind w:right="-1"/>
        <w:jc w:val="both"/>
        <w:outlineLvl w:val="0"/>
        <w:rPr>
          <w:rFonts w:cs="Arial"/>
        </w:rPr>
      </w:pPr>
      <w:r w:rsidRPr="00DA5FD6">
        <w:rPr>
          <w:rFonts w:cs="Arial"/>
          <w:b/>
        </w:rPr>
        <w:t xml:space="preserve">Hacienda </w:t>
      </w:r>
      <w:r>
        <w:rPr>
          <w:rFonts w:cs="Arial"/>
          <w:b/>
        </w:rPr>
        <w:t>Pública/Patrimonio Contribuido</w:t>
      </w:r>
      <w:r w:rsidRPr="00DA5FD6">
        <w:rPr>
          <w:rFonts w:cs="Arial"/>
          <w:b/>
        </w:rPr>
        <w:t>. -</w:t>
      </w:r>
      <w:r w:rsidRPr="00DA5FD6">
        <w:rPr>
          <w:rFonts w:cs="Arial"/>
        </w:rPr>
        <w:t xml:space="preserve"> En el Estado de Variaciones en la Hacienda Pública, el patrimonio contribuido</w:t>
      </w:r>
      <w:r>
        <w:rPr>
          <w:rFonts w:cs="Arial"/>
        </w:rPr>
        <w:t xml:space="preserve"> neto de 2019</w:t>
      </w:r>
      <w:r w:rsidRPr="00DA5FD6">
        <w:rPr>
          <w:rFonts w:cs="Arial"/>
        </w:rPr>
        <w:t xml:space="preserve"> del Instituto </w:t>
      </w:r>
      <w:r>
        <w:rPr>
          <w:rFonts w:cs="Arial"/>
        </w:rPr>
        <w:t xml:space="preserve">por la cantidad de </w:t>
      </w:r>
      <w:r w:rsidRPr="000E1289">
        <w:rPr>
          <w:rFonts w:cs="Arial"/>
        </w:rPr>
        <w:t>2,410,250.11</w:t>
      </w:r>
      <w:r>
        <w:rPr>
          <w:rFonts w:cs="Arial"/>
        </w:rPr>
        <w:t xml:space="preserve">, </w:t>
      </w:r>
      <w:r w:rsidRPr="00DA5FD6">
        <w:rPr>
          <w:rFonts w:cs="Arial"/>
        </w:rPr>
        <w:t xml:space="preserve">se </w:t>
      </w:r>
      <w:r>
        <w:rPr>
          <w:rFonts w:cs="Arial"/>
        </w:rPr>
        <w:t>conserva</w:t>
      </w:r>
      <w:r w:rsidRPr="00DA5FD6">
        <w:rPr>
          <w:rFonts w:cs="Arial"/>
        </w:rPr>
        <w:t xml:space="preserve"> por las aportaciones de</w:t>
      </w:r>
      <w:r>
        <w:rPr>
          <w:rFonts w:cs="Arial"/>
        </w:rPr>
        <w:t>l Gobierno del Estado de México.</w:t>
      </w:r>
    </w:p>
    <w:p w:rsidR="00712CD2" w:rsidRPr="00963F7E" w:rsidRDefault="00712CD2" w:rsidP="00712CD2">
      <w:pPr>
        <w:spacing w:line="276" w:lineRule="auto"/>
        <w:ind w:right="-1"/>
        <w:jc w:val="both"/>
        <w:outlineLvl w:val="0"/>
        <w:rPr>
          <w:rFonts w:cs="Arial"/>
        </w:rPr>
      </w:pPr>
      <w:r w:rsidRPr="00963F7E">
        <w:rPr>
          <w:rFonts w:cs="Arial"/>
          <w:b/>
        </w:rPr>
        <w:t>Hacienda Pública / Patrimonio Generado de Ejercicios Anteriores. -</w:t>
      </w:r>
      <w:r>
        <w:rPr>
          <w:rFonts w:cs="Arial"/>
          <w:b/>
        </w:rPr>
        <w:t xml:space="preserve"> </w:t>
      </w:r>
      <w:r>
        <w:rPr>
          <w:rFonts w:cs="Arial"/>
        </w:rPr>
        <w:t xml:space="preserve">En este mes se detecta que el Patrimonio Neto Final es de </w:t>
      </w:r>
      <w:r w:rsidRPr="00963F7E">
        <w:rPr>
          <w:rFonts w:cs="Arial"/>
        </w:rPr>
        <w:t>5,974,321.01</w:t>
      </w:r>
      <w:r>
        <w:rPr>
          <w:rFonts w:cs="Arial"/>
        </w:rPr>
        <w:t>, por los Resultados de Ejercicios Anteriores.</w:t>
      </w:r>
    </w:p>
    <w:p w:rsidR="00712CD2" w:rsidRDefault="00712CD2" w:rsidP="00712CD2">
      <w:pPr>
        <w:spacing w:line="276" w:lineRule="auto"/>
        <w:ind w:right="-1"/>
        <w:jc w:val="both"/>
        <w:rPr>
          <w:rFonts w:cs="Arial"/>
        </w:rPr>
      </w:pPr>
      <w:r w:rsidRPr="00DA5FD6">
        <w:rPr>
          <w:rFonts w:cs="Arial"/>
          <w:b/>
        </w:rPr>
        <w:t>Resultado del Ejercicio: (Ahorro/Desahorro). -</w:t>
      </w:r>
      <w:r w:rsidRPr="00DA5FD6">
        <w:rPr>
          <w:rFonts w:cs="Arial"/>
        </w:rPr>
        <w:t xml:space="preserve"> Se observa en la Hacienda Pública/Patrimonio Generado del Ejercicio, un </w:t>
      </w:r>
      <w:r>
        <w:rPr>
          <w:rFonts w:cs="Arial"/>
        </w:rPr>
        <w:t>ahorro por 708</w:t>
      </w:r>
      <w:r w:rsidRPr="000F2F11">
        <w:rPr>
          <w:rFonts w:cs="Arial"/>
        </w:rPr>
        <w:t>,</w:t>
      </w:r>
      <w:r>
        <w:rPr>
          <w:rFonts w:cs="Arial"/>
        </w:rPr>
        <w:t>193</w:t>
      </w:r>
      <w:r w:rsidRPr="000F2F11">
        <w:rPr>
          <w:rFonts w:cs="Arial"/>
        </w:rPr>
        <w:t>,</w:t>
      </w:r>
      <w:r>
        <w:rPr>
          <w:rFonts w:cs="Arial"/>
        </w:rPr>
        <w:t>139</w:t>
      </w:r>
      <w:r w:rsidRPr="000F2F11">
        <w:rPr>
          <w:rFonts w:cs="Arial"/>
        </w:rPr>
        <w:t>.</w:t>
      </w:r>
      <w:r>
        <w:rPr>
          <w:rFonts w:cs="Arial"/>
        </w:rPr>
        <w:t>31</w:t>
      </w:r>
      <w:r w:rsidRPr="000F2F11">
        <w:rPr>
          <w:rFonts w:cs="Arial"/>
        </w:rPr>
        <w:t xml:space="preserve">, </w:t>
      </w:r>
      <w:r w:rsidRPr="00DA5FD6">
        <w:rPr>
          <w:rFonts w:cs="Arial"/>
        </w:rPr>
        <w:t xml:space="preserve">debido principalmente a </w:t>
      </w:r>
      <w:r>
        <w:rPr>
          <w:rFonts w:cs="Arial"/>
        </w:rPr>
        <w:t>que los ingresos generados son mayores que los gastos de acuerdo con el estado de actividades</w:t>
      </w:r>
      <w:r w:rsidRPr="00DA5FD6">
        <w:rPr>
          <w:rFonts w:cs="Arial"/>
        </w:rPr>
        <w:t>.</w:t>
      </w:r>
    </w:p>
    <w:p w:rsidR="00712CD2" w:rsidRPr="00C1138F" w:rsidRDefault="00712CD2" w:rsidP="00712CD2">
      <w:pPr>
        <w:numPr>
          <w:ilvl w:val="0"/>
          <w:numId w:val="6"/>
        </w:numPr>
        <w:spacing w:before="240" w:after="240" w:line="276" w:lineRule="auto"/>
        <w:ind w:right="-1"/>
        <w:contextualSpacing/>
        <w:outlineLvl w:val="0"/>
        <w:rPr>
          <w:rFonts w:eastAsia="Times New Roman" w:cs="Arial"/>
          <w:b/>
          <w:lang w:eastAsia="es-MX"/>
        </w:rPr>
      </w:pPr>
      <w:r w:rsidRPr="00C1138F">
        <w:rPr>
          <w:rFonts w:eastAsia="Times New Roman" w:cs="Arial"/>
          <w:b/>
          <w:lang w:eastAsia="es-MX"/>
        </w:rPr>
        <w:t>NOTAS AL ESTADO DE FLUJOS DE EFECTIVO</w:t>
      </w:r>
    </w:p>
    <w:p w:rsidR="00712CD2" w:rsidRDefault="00712CD2" w:rsidP="00712CD2">
      <w:pPr>
        <w:spacing w:line="276" w:lineRule="auto"/>
        <w:ind w:right="-1"/>
        <w:jc w:val="both"/>
        <w:rPr>
          <w:rFonts w:cs="Arial"/>
        </w:rPr>
      </w:pPr>
      <w:r w:rsidRPr="00C1138F">
        <w:rPr>
          <w:rFonts w:cs="Arial"/>
        </w:rPr>
        <w:t>En este Estado se observa lo siguiente:</w:t>
      </w:r>
    </w:p>
    <w:p w:rsidR="00712CD2" w:rsidRDefault="00712CD2" w:rsidP="00712CD2">
      <w:pPr>
        <w:spacing w:line="276" w:lineRule="auto"/>
        <w:ind w:right="-1"/>
        <w:jc w:val="center"/>
        <w:rPr>
          <w:rFonts w:cs="Arial"/>
        </w:rPr>
      </w:pPr>
      <w:r w:rsidRPr="003B1938">
        <w:rPr>
          <w:noProof/>
          <w:lang w:eastAsia="es-MX"/>
        </w:rPr>
        <w:drawing>
          <wp:inline distT="0" distB="0" distL="0" distR="0" wp14:anchorId="71A42F6E" wp14:editId="42BC88F2">
            <wp:extent cx="3866785" cy="1051165"/>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1909" cy="1060713"/>
                    </a:xfrm>
                    <a:prstGeom prst="rect">
                      <a:avLst/>
                    </a:prstGeom>
                    <a:noFill/>
                    <a:ln>
                      <a:noFill/>
                    </a:ln>
                  </pic:spPr>
                </pic:pic>
              </a:graphicData>
            </a:graphic>
          </wp:inline>
        </w:drawing>
      </w:r>
    </w:p>
    <w:p w:rsidR="00712CD2" w:rsidRPr="0033425E" w:rsidRDefault="00712CD2" w:rsidP="00712CD2">
      <w:pPr>
        <w:spacing w:line="276" w:lineRule="auto"/>
        <w:ind w:right="-1"/>
        <w:jc w:val="both"/>
        <w:rPr>
          <w:highlight w:val="yellow"/>
        </w:rPr>
      </w:pPr>
      <w:r w:rsidRPr="00C1138F">
        <w:t>La Conciliación de los Flujos de Efectivo Netos de las Actividades de Operación y la cuenta de Ahorro/Desahorro antes de Rubros Extraordinarios, queda como sigue:</w:t>
      </w:r>
    </w:p>
    <w:p w:rsidR="00712CD2" w:rsidRPr="003B1938" w:rsidRDefault="00712CD2" w:rsidP="00712CD2">
      <w:pPr>
        <w:spacing w:line="276" w:lineRule="auto"/>
        <w:ind w:right="-1"/>
        <w:jc w:val="center"/>
      </w:pPr>
      <w:r w:rsidRPr="003B1938">
        <w:rPr>
          <w:noProof/>
          <w:lang w:eastAsia="es-MX"/>
        </w:rPr>
        <w:drawing>
          <wp:inline distT="0" distB="0" distL="0" distR="0" wp14:anchorId="55DE7AAA" wp14:editId="5314A1ED">
            <wp:extent cx="3853815" cy="259664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270" cy="2598976"/>
                    </a:xfrm>
                    <a:prstGeom prst="rect">
                      <a:avLst/>
                    </a:prstGeom>
                    <a:noFill/>
                    <a:ln>
                      <a:noFill/>
                    </a:ln>
                  </pic:spPr>
                </pic:pic>
              </a:graphicData>
            </a:graphic>
          </wp:inline>
        </w:drawing>
      </w:r>
    </w:p>
    <w:p w:rsidR="00712CD2" w:rsidRPr="00A07A22" w:rsidRDefault="00712CD2" w:rsidP="00712CD2">
      <w:pPr>
        <w:spacing w:line="276" w:lineRule="auto"/>
        <w:ind w:right="-1"/>
        <w:jc w:val="both"/>
      </w:pPr>
      <w:r w:rsidRPr="00C1138F">
        <w:rPr>
          <w:rFonts w:cs="Arial"/>
        </w:rPr>
        <w:t xml:space="preserve">El efectivo y equivalentes en este mes para que el Instituto de la Función Registral del Estado de México cubra sus obligaciones de pago, fue de </w:t>
      </w:r>
      <w:r>
        <w:rPr>
          <w:rFonts w:cs="Arial"/>
        </w:rPr>
        <w:t>368</w:t>
      </w:r>
      <w:r w:rsidRPr="00C1138F">
        <w:rPr>
          <w:rFonts w:cs="Arial"/>
        </w:rPr>
        <w:t>,</w:t>
      </w:r>
      <w:r>
        <w:rPr>
          <w:rFonts w:cs="Arial"/>
        </w:rPr>
        <w:t>800</w:t>
      </w:r>
      <w:r w:rsidRPr="00C1138F">
        <w:rPr>
          <w:rFonts w:cs="Arial"/>
        </w:rPr>
        <w:t>,</w:t>
      </w:r>
      <w:r>
        <w:rPr>
          <w:rFonts w:cs="Arial"/>
        </w:rPr>
        <w:t>085</w:t>
      </w:r>
      <w:r w:rsidRPr="00C1138F">
        <w:rPr>
          <w:rFonts w:cs="Arial"/>
        </w:rPr>
        <w:t>.</w:t>
      </w:r>
      <w:r>
        <w:rPr>
          <w:rFonts w:cs="Arial"/>
        </w:rPr>
        <w:t>78</w:t>
      </w:r>
      <w:r w:rsidRPr="00C1138F">
        <w:rPr>
          <w:rFonts w:cs="Arial"/>
        </w:rPr>
        <w:t>.</w:t>
      </w:r>
    </w:p>
    <w:p w:rsidR="00644F96" w:rsidRPr="00C24A06" w:rsidRDefault="00644F96" w:rsidP="00644F96">
      <w:pPr>
        <w:numPr>
          <w:ilvl w:val="0"/>
          <w:numId w:val="6"/>
        </w:numPr>
        <w:spacing w:before="240" w:after="240" w:line="276" w:lineRule="auto"/>
        <w:ind w:right="-1"/>
        <w:contextualSpacing/>
        <w:outlineLvl w:val="0"/>
        <w:rPr>
          <w:rFonts w:eastAsia="Calibri" w:cs="Arial"/>
          <w:b/>
        </w:rPr>
      </w:pPr>
      <w:r w:rsidRPr="00C24A06">
        <w:rPr>
          <w:rFonts w:cs="Arial"/>
          <w:b/>
        </w:rPr>
        <w:t>CONCILIACIÓN ENTRE LOS INGRESOS PRESUPUESTARIOS Y CONTABLES, ASÍ COMO ENTRE LOS EGRESOS PRESUPUESTARIOS Y LOS GASTOS CONTABLES</w:t>
      </w:r>
    </w:p>
    <w:p w:rsidR="00644F96" w:rsidRPr="00C356F8" w:rsidRDefault="00644F96" w:rsidP="00644F96">
      <w:pPr>
        <w:jc w:val="center"/>
        <w:rPr>
          <w:highlight w:val="yellow"/>
        </w:rPr>
      </w:pPr>
      <w:r w:rsidRPr="00BC5126">
        <w:rPr>
          <w:noProof/>
          <w:lang w:eastAsia="es-MX"/>
        </w:rPr>
        <w:drawing>
          <wp:inline distT="0" distB="0" distL="0" distR="0" wp14:anchorId="72054EAC" wp14:editId="50A813D8">
            <wp:extent cx="6276975" cy="38576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p>
    <w:p w:rsidR="00644F96" w:rsidRPr="00A64450" w:rsidRDefault="00644F96" w:rsidP="00644F96">
      <w:pPr>
        <w:spacing w:after="0" w:line="276" w:lineRule="auto"/>
        <w:ind w:right="-1"/>
        <w:rPr>
          <w:noProof/>
          <w:lang w:eastAsia="es-MX"/>
        </w:rPr>
      </w:pPr>
    </w:p>
    <w:p w:rsidR="00644F96" w:rsidRPr="00D116D5" w:rsidRDefault="00D116D5" w:rsidP="00D116D5">
      <w:pPr>
        <w:jc w:val="both"/>
        <w:rPr>
          <w:rFonts w:cs="Arial"/>
          <w:highlight w:val="yellow"/>
        </w:rPr>
      </w:pPr>
      <w:r w:rsidRPr="00D116D5">
        <w:rPr>
          <w:rFonts w:cs="Arial"/>
          <w:b/>
        </w:rPr>
        <w:t xml:space="preserve">Conciliación entre los Ingresos Presupuestarios y Contables.- </w:t>
      </w:r>
      <w:r w:rsidRPr="00D116D5">
        <w:rPr>
          <w:rFonts w:cs="Arial"/>
        </w:rPr>
        <w:t>En el renglón de Otros Ingresos Presupuestarios no Contables por $646,034,405.43</w:t>
      </w:r>
      <w:r>
        <w:rPr>
          <w:rFonts w:cs="Arial"/>
        </w:rPr>
        <w:t xml:space="preserve"> </w:t>
      </w:r>
      <w:r w:rsidRPr="00D116D5">
        <w:rPr>
          <w:rFonts w:cs="Arial"/>
        </w:rPr>
        <w:t>se integran de; 356,539,353.74, para el pago de Amortización de Capital de los Certificados Bursátiles Series "A" , "B" y subordinada "C", correspondientes al presente ejercicio del 2020</w:t>
      </w:r>
      <w:r>
        <w:rPr>
          <w:rFonts w:cs="Arial"/>
        </w:rPr>
        <w:t>,</w:t>
      </w:r>
      <w:r w:rsidRPr="00D116D5">
        <w:rPr>
          <w:rFonts w:cs="Arial"/>
        </w:rPr>
        <w:t xml:space="preserve"> y los 289,495,051.69 de los Remanentes e intereses del Fideicomiso de Cobranza.</w:t>
      </w:r>
    </w:p>
    <w:p w:rsidR="00644F96" w:rsidRPr="00D116D5" w:rsidRDefault="00644F96" w:rsidP="00D116D5">
      <w:pPr>
        <w:jc w:val="both"/>
        <w:rPr>
          <w:rFonts w:cs="Arial"/>
          <w:highlight w:val="yellow"/>
        </w:rPr>
      </w:pPr>
    </w:p>
    <w:p w:rsidR="00644F96" w:rsidRPr="00D116D5" w:rsidRDefault="00644F96" w:rsidP="00D116D5">
      <w:pPr>
        <w:tabs>
          <w:tab w:val="left" w:pos="5985"/>
          <w:tab w:val="left" w:pos="8445"/>
        </w:tabs>
        <w:jc w:val="both"/>
        <w:rPr>
          <w:rFonts w:cs="Arial"/>
        </w:rPr>
      </w:pPr>
      <w:r w:rsidRPr="00D116D5">
        <w:rPr>
          <w:rFonts w:cs="Arial"/>
        </w:rPr>
        <w:tab/>
      </w:r>
      <w:r w:rsidRPr="00D116D5">
        <w:rPr>
          <w:rFonts w:cs="Arial"/>
        </w:rPr>
        <w:tab/>
      </w:r>
    </w:p>
    <w:p w:rsidR="00644F96" w:rsidRPr="00D116D5" w:rsidRDefault="00644F96" w:rsidP="00644F96">
      <w:pPr>
        <w:tabs>
          <w:tab w:val="left" w:pos="8445"/>
        </w:tabs>
        <w:rPr>
          <w:rFonts w:cs="Arial"/>
        </w:rPr>
      </w:pPr>
    </w:p>
    <w:p w:rsidR="00644F96" w:rsidRDefault="00644F96" w:rsidP="00644F96">
      <w:pPr>
        <w:tabs>
          <w:tab w:val="left" w:pos="1215"/>
        </w:tabs>
        <w:jc w:val="center"/>
        <w:rPr>
          <w:rFonts w:cs="Arial"/>
          <w:b/>
        </w:rPr>
      </w:pPr>
      <w:r w:rsidRPr="00E44EA4">
        <w:rPr>
          <w:noProof/>
          <w:lang w:eastAsia="es-MX"/>
        </w:rPr>
        <w:drawing>
          <wp:inline distT="0" distB="0" distL="0" distR="0" wp14:anchorId="5B0E2CF2" wp14:editId="49DF13D5">
            <wp:extent cx="6189134" cy="525780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439" cy="5259758"/>
                    </a:xfrm>
                    <a:prstGeom prst="rect">
                      <a:avLst/>
                    </a:prstGeom>
                    <a:noFill/>
                    <a:ln>
                      <a:noFill/>
                    </a:ln>
                  </pic:spPr>
                </pic:pic>
              </a:graphicData>
            </a:graphic>
          </wp:inline>
        </w:drawing>
      </w:r>
    </w:p>
    <w:p w:rsidR="00644F96" w:rsidRPr="003016F6" w:rsidRDefault="00644F96" w:rsidP="003016F6">
      <w:pPr>
        <w:spacing w:line="240" w:lineRule="auto"/>
        <w:jc w:val="both"/>
        <w:rPr>
          <w:rFonts w:ascii="Arial" w:eastAsia="Times New Roman" w:hAnsi="Arial" w:cs="Arial"/>
          <w:color w:val="000000"/>
          <w:lang w:eastAsia="es-MX"/>
        </w:rPr>
      </w:pPr>
      <w:r w:rsidRPr="00E4694C">
        <w:rPr>
          <w:rFonts w:cs="Arial"/>
          <w:b/>
        </w:rPr>
        <w:t>Conciliación entre los Egreso</w:t>
      </w:r>
      <w:r>
        <w:rPr>
          <w:rFonts w:cs="Arial"/>
          <w:b/>
        </w:rPr>
        <w:t>s Presupuestarios y los Gastos C</w:t>
      </w:r>
      <w:r w:rsidRPr="00E4694C">
        <w:rPr>
          <w:rFonts w:cs="Arial"/>
          <w:b/>
        </w:rPr>
        <w:t>ontables</w:t>
      </w:r>
      <w:r>
        <w:rPr>
          <w:rFonts w:cs="Arial"/>
        </w:rPr>
        <w:t>.-</w:t>
      </w:r>
      <w:r w:rsidRPr="00177121">
        <w:rPr>
          <w:rFonts w:cs="Arial"/>
        </w:rPr>
        <w:t xml:space="preserve"> </w:t>
      </w:r>
      <w:r w:rsidRPr="00BC5126">
        <w:rPr>
          <w:rFonts w:cs="Arial"/>
        </w:rPr>
        <w:t xml:space="preserve">El renglón de Otros Egresos Presupuestales No Contables </w:t>
      </w:r>
      <w:r w:rsidR="00D116D5">
        <w:rPr>
          <w:rFonts w:cs="Arial"/>
        </w:rPr>
        <w:t>por</w:t>
      </w:r>
      <w:r w:rsidRPr="00BC5126">
        <w:rPr>
          <w:rFonts w:cs="Arial"/>
        </w:rPr>
        <w:t xml:space="preserve"> </w:t>
      </w:r>
      <w:r w:rsidR="00E1098A" w:rsidRPr="00E1098A">
        <w:rPr>
          <w:rFonts w:cs="Arial"/>
        </w:rPr>
        <w:t xml:space="preserve"> </w:t>
      </w:r>
      <w:r w:rsidR="00B727FD" w:rsidRPr="00B727FD">
        <w:rPr>
          <w:rFonts w:cs="Arial"/>
        </w:rPr>
        <w:t xml:space="preserve"> 569,030,535.49</w:t>
      </w:r>
      <w:r w:rsidRPr="00BC5126">
        <w:rPr>
          <w:rFonts w:cs="Arial"/>
        </w:rPr>
        <w:t>, se integra</w:t>
      </w:r>
      <w:r w:rsidR="003016F6">
        <w:rPr>
          <w:rFonts w:cs="Arial"/>
        </w:rPr>
        <w:t>n</w:t>
      </w:r>
      <w:r w:rsidRPr="00BC5126">
        <w:rPr>
          <w:rFonts w:cs="Arial"/>
        </w:rPr>
        <w:t xml:space="preserve"> de: </w:t>
      </w:r>
      <w:r w:rsidR="003016F6" w:rsidRPr="003016F6">
        <w:rPr>
          <w:rFonts w:cs="Arial"/>
        </w:rPr>
        <w:t>360,689,972.45</w:t>
      </w:r>
      <w:r w:rsidRPr="00BC5126">
        <w:rPr>
          <w:rFonts w:cs="Arial"/>
        </w:rPr>
        <w:t>, de las Transferencias al Fideicomiso de Cobranza y</w:t>
      </w:r>
      <w:r w:rsidR="003016F6">
        <w:rPr>
          <w:rFonts w:cs="Arial"/>
        </w:rPr>
        <w:t xml:space="preserve"> </w:t>
      </w:r>
      <w:r w:rsidR="003016F6" w:rsidRPr="003016F6">
        <w:rPr>
          <w:rFonts w:ascii="Arial" w:eastAsia="Times New Roman" w:hAnsi="Arial" w:cs="Arial"/>
          <w:color w:val="000000"/>
          <w:lang w:eastAsia="es-MX"/>
        </w:rPr>
        <w:t>188,837,626.24</w:t>
      </w:r>
      <w:r w:rsidR="003016F6" w:rsidRPr="003016F6">
        <w:t xml:space="preserve"> </w:t>
      </w:r>
      <w:r w:rsidR="003016F6">
        <w:t xml:space="preserve">de </w:t>
      </w:r>
      <w:r w:rsidR="003016F6" w:rsidRPr="003016F6">
        <w:rPr>
          <w:rFonts w:ascii="Arial" w:eastAsia="Times New Roman" w:hAnsi="Arial" w:cs="Arial"/>
          <w:color w:val="000000"/>
          <w:lang w:eastAsia="es-MX"/>
        </w:rPr>
        <w:t>Transferencias internas otorgadas a fideicomisos publicos financieros</w:t>
      </w:r>
      <w:r w:rsidR="003016F6">
        <w:rPr>
          <w:rFonts w:ascii="Arial" w:eastAsia="Times New Roman" w:hAnsi="Arial" w:cs="Arial"/>
          <w:color w:val="000000"/>
          <w:lang w:eastAsia="es-MX"/>
        </w:rPr>
        <w:t xml:space="preserve"> para el pago de bono de la Serie Subordinada </w:t>
      </w:r>
      <w:r w:rsidR="001A0205">
        <w:rPr>
          <w:rFonts w:ascii="Arial" w:eastAsia="Times New Roman" w:hAnsi="Arial" w:cs="Arial"/>
          <w:color w:val="000000"/>
          <w:lang w:eastAsia="es-MX"/>
        </w:rPr>
        <w:t>“</w:t>
      </w:r>
      <w:r w:rsidR="003016F6">
        <w:rPr>
          <w:rFonts w:ascii="Arial" w:eastAsia="Times New Roman" w:hAnsi="Arial" w:cs="Arial"/>
          <w:color w:val="000000"/>
          <w:lang w:eastAsia="es-MX"/>
        </w:rPr>
        <w:t>C</w:t>
      </w:r>
      <w:r w:rsidR="001A0205">
        <w:rPr>
          <w:rFonts w:ascii="Arial" w:eastAsia="Times New Roman" w:hAnsi="Arial" w:cs="Arial"/>
          <w:color w:val="000000"/>
          <w:lang w:eastAsia="es-MX"/>
        </w:rPr>
        <w:t>”</w:t>
      </w:r>
      <w:r w:rsidR="003016F6">
        <w:rPr>
          <w:rFonts w:ascii="Arial" w:eastAsia="Times New Roman" w:hAnsi="Arial" w:cs="Arial"/>
          <w:color w:val="000000"/>
          <w:lang w:eastAsia="es-MX"/>
        </w:rPr>
        <w:t xml:space="preserve">, así como </w:t>
      </w:r>
      <w:r w:rsidR="003016F6" w:rsidRPr="003016F6">
        <w:rPr>
          <w:rFonts w:ascii="Arial" w:eastAsia="Times New Roman" w:hAnsi="Arial" w:cs="Arial"/>
          <w:color w:val="000000"/>
          <w:lang w:eastAsia="es-MX"/>
        </w:rPr>
        <w:t>19,504,115.78</w:t>
      </w:r>
      <w:r w:rsidRPr="00BC5126">
        <w:rPr>
          <w:rFonts w:cs="Arial"/>
        </w:rPr>
        <w:t>,</w:t>
      </w:r>
      <w:r w:rsidR="00B727FD">
        <w:rPr>
          <w:rFonts w:cs="Arial"/>
        </w:rPr>
        <w:t xml:space="preserve"> menos </w:t>
      </w:r>
      <w:r w:rsidR="00B727FD" w:rsidRPr="00B727FD">
        <w:rPr>
          <w:rFonts w:cs="Arial"/>
        </w:rPr>
        <w:t>1,178.98</w:t>
      </w:r>
      <w:r w:rsidR="007F7404">
        <w:rPr>
          <w:rFonts w:cs="Arial"/>
        </w:rPr>
        <w:t xml:space="preserve"> </w:t>
      </w:r>
      <w:r w:rsidRPr="00BC5126">
        <w:rPr>
          <w:rFonts w:cs="Arial"/>
        </w:rPr>
        <w:t xml:space="preserve"> </w:t>
      </w:r>
      <w:r w:rsidR="007F7404">
        <w:rPr>
          <w:rFonts w:cs="Arial"/>
        </w:rPr>
        <w:t xml:space="preserve">de una variación en </w:t>
      </w:r>
      <w:r w:rsidRPr="00BC5126">
        <w:rPr>
          <w:rFonts w:cs="Arial"/>
        </w:rPr>
        <w:t xml:space="preserve">el </w:t>
      </w:r>
      <w:r w:rsidR="007F7404">
        <w:rPr>
          <w:rFonts w:cs="Arial"/>
        </w:rPr>
        <w:t xml:space="preserve">Capítulo 3000, del </w:t>
      </w:r>
      <w:r w:rsidRPr="00BC5126">
        <w:rPr>
          <w:rFonts w:cs="Arial"/>
        </w:rPr>
        <w:t xml:space="preserve">recurso comprometido de acuerdo al Avance Presupuestal al mes que se analiza, los cuales corresponden a; 12,310,236.07 del saldo de los recursos por el Programa de Acciones para el Desarrollo (PAD), Programa “Regularización Tenencia de la Tierra”, y </w:t>
      </w:r>
      <w:r w:rsidR="003016F6" w:rsidRPr="003016F6">
        <w:rPr>
          <w:rFonts w:cs="Arial"/>
        </w:rPr>
        <w:t>7,193,879.71</w:t>
      </w:r>
      <w:r w:rsidR="003016F6">
        <w:rPr>
          <w:rFonts w:cs="Arial"/>
        </w:rPr>
        <w:t xml:space="preserve">, </w:t>
      </w:r>
      <w:r w:rsidRPr="00BC5126">
        <w:rPr>
          <w:rFonts w:cs="Arial"/>
        </w:rPr>
        <w:t>de los demás capítulos. En el rubro de Otros Gastos Contables No Presupuestales el importe de 2,464,484.75</w:t>
      </w:r>
      <w:r w:rsidR="00A57941">
        <w:rPr>
          <w:rFonts w:cs="Arial"/>
        </w:rPr>
        <w:t xml:space="preserve"> por la transferencia al GEM,</w:t>
      </w:r>
      <w:r w:rsidRPr="00BC5126">
        <w:rPr>
          <w:rFonts w:cs="Arial"/>
        </w:rPr>
        <w:t xml:space="preserve"> de los remanentes del Programa de Regularización de Tenencia de la Tierra 2019, que incluye los intereses generados</w:t>
      </w:r>
      <w:r>
        <w:rPr>
          <w:rFonts w:cs="Arial"/>
        </w:rPr>
        <w:t>.</w:t>
      </w:r>
    </w:p>
    <w:p w:rsidR="00644F96" w:rsidRDefault="00644F96">
      <w:pPr>
        <w:spacing w:line="259" w:lineRule="auto"/>
        <w:rPr>
          <w:rFonts w:cs="Arial"/>
        </w:rPr>
      </w:pPr>
      <w:r>
        <w:rPr>
          <w:rFonts w:cs="Arial"/>
        </w:rPr>
        <w:br w:type="page"/>
      </w:r>
    </w:p>
    <w:p w:rsidR="00B56882" w:rsidRPr="003E7D79" w:rsidRDefault="00B56882" w:rsidP="00B56882">
      <w:pPr>
        <w:jc w:val="both"/>
        <w:rPr>
          <w:rFonts w:cs="Arial"/>
          <w:highlight w:val="yellow"/>
        </w:rPr>
      </w:pPr>
    </w:p>
    <w:p w:rsidR="00B56882" w:rsidRPr="003C2837" w:rsidRDefault="00B56882" w:rsidP="001A0205">
      <w:pPr>
        <w:numPr>
          <w:ilvl w:val="0"/>
          <w:numId w:val="15"/>
        </w:numPr>
        <w:tabs>
          <w:tab w:val="left" w:pos="3836"/>
        </w:tabs>
        <w:spacing w:after="0" w:line="276" w:lineRule="auto"/>
        <w:ind w:right="-1"/>
        <w:contextualSpacing/>
        <w:outlineLvl w:val="0"/>
        <w:rPr>
          <w:rFonts w:eastAsia="Times New Roman" w:cs="Arial"/>
          <w:b/>
          <w:lang w:eastAsia="es-MX"/>
        </w:rPr>
      </w:pPr>
      <w:r w:rsidRPr="003C2837">
        <w:rPr>
          <w:rFonts w:eastAsia="Times New Roman" w:cs="Arial"/>
          <w:b/>
          <w:lang w:eastAsia="es-MX"/>
        </w:rPr>
        <w:t>NOTAS DE MEMORIA (CUENTAS DE ORDEN)</w:t>
      </w:r>
    </w:p>
    <w:p w:rsidR="00B56882" w:rsidRPr="003C2837" w:rsidRDefault="00B56882" w:rsidP="00B56882">
      <w:pPr>
        <w:tabs>
          <w:tab w:val="left" w:pos="3836"/>
        </w:tabs>
        <w:spacing w:after="0" w:line="276" w:lineRule="auto"/>
        <w:ind w:left="714" w:right="-1"/>
        <w:contextualSpacing/>
        <w:outlineLvl w:val="0"/>
        <w:rPr>
          <w:rFonts w:eastAsia="Times New Roman" w:cs="Arial"/>
          <w:b/>
          <w:lang w:eastAsia="es-MX"/>
        </w:rPr>
      </w:pPr>
    </w:p>
    <w:p w:rsidR="00B56882" w:rsidRDefault="00B56882" w:rsidP="00B56882">
      <w:pPr>
        <w:tabs>
          <w:tab w:val="left" w:pos="8064"/>
        </w:tabs>
        <w:spacing w:line="276" w:lineRule="auto"/>
        <w:ind w:right="-1"/>
        <w:jc w:val="both"/>
        <w:outlineLvl w:val="0"/>
        <w:rPr>
          <w:rFonts w:cs="Arial"/>
        </w:rPr>
      </w:pPr>
      <w:r w:rsidRPr="003C2837">
        <w:rPr>
          <w:rFonts w:cs="Arial"/>
        </w:rPr>
        <w:t>Las Cuentas de Orden Contables y Presupuestarias se integran de la siguiente forma:</w:t>
      </w:r>
    </w:p>
    <w:p w:rsidR="00B56882" w:rsidRDefault="00B56882" w:rsidP="00B56882">
      <w:pPr>
        <w:tabs>
          <w:tab w:val="left" w:pos="8064"/>
        </w:tabs>
        <w:spacing w:line="276" w:lineRule="auto"/>
        <w:ind w:right="-1"/>
        <w:jc w:val="both"/>
        <w:outlineLvl w:val="0"/>
        <w:rPr>
          <w:rFonts w:cs="Arial"/>
        </w:rPr>
      </w:pPr>
      <w:r w:rsidRPr="00041E01">
        <w:rPr>
          <w:noProof/>
          <w:lang w:eastAsia="es-MX"/>
        </w:rPr>
        <w:drawing>
          <wp:anchor distT="0" distB="0" distL="114300" distR="114300" simplePos="0" relativeHeight="251659264" behindDoc="0" locked="0" layoutInCell="1" allowOverlap="1" wp14:anchorId="76C1993B" wp14:editId="7C205E79">
            <wp:simplePos x="807720" y="1866900"/>
            <wp:positionH relativeFrom="column">
              <wp:align>left</wp:align>
            </wp:positionH>
            <wp:positionV relativeFrom="paragraph">
              <wp:align>top</wp:align>
            </wp:positionV>
            <wp:extent cx="6386830" cy="11811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6830" cy="1181100"/>
                    </a:xfrm>
                    <a:prstGeom prst="rect">
                      <a:avLst/>
                    </a:prstGeom>
                    <a:noFill/>
                    <a:ln>
                      <a:noFill/>
                    </a:ln>
                  </pic:spPr>
                </pic:pic>
              </a:graphicData>
            </a:graphic>
          </wp:anchor>
        </w:drawing>
      </w:r>
      <w:r>
        <w:rPr>
          <w:rFonts w:cs="Arial"/>
        </w:rPr>
        <w:br w:type="textWrapping" w:clear="all"/>
      </w:r>
      <w:r w:rsidRPr="00041E01">
        <w:rPr>
          <w:noProof/>
          <w:lang w:eastAsia="es-MX"/>
        </w:rPr>
        <w:drawing>
          <wp:inline distT="0" distB="0" distL="0" distR="0" wp14:anchorId="00D5337C" wp14:editId="0E24C257">
            <wp:extent cx="6389370" cy="45935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370" cy="4593525"/>
                    </a:xfrm>
                    <a:prstGeom prst="rect">
                      <a:avLst/>
                    </a:prstGeom>
                    <a:noFill/>
                    <a:ln>
                      <a:noFill/>
                    </a:ln>
                  </pic:spPr>
                </pic:pic>
              </a:graphicData>
            </a:graphic>
          </wp:inline>
        </w:drawing>
      </w:r>
    </w:p>
    <w:p w:rsidR="00B56882" w:rsidRDefault="00B56882" w:rsidP="00B56882">
      <w:pPr>
        <w:tabs>
          <w:tab w:val="left" w:pos="8064"/>
        </w:tabs>
        <w:spacing w:line="276" w:lineRule="auto"/>
        <w:ind w:right="-1"/>
        <w:jc w:val="both"/>
        <w:outlineLvl w:val="0"/>
        <w:rPr>
          <w:rFonts w:cs="Arial"/>
        </w:rPr>
      </w:pPr>
    </w:p>
    <w:p w:rsidR="00B56882" w:rsidRPr="003C2837" w:rsidRDefault="00B56882" w:rsidP="00B56882">
      <w:pPr>
        <w:tabs>
          <w:tab w:val="left" w:pos="8652"/>
        </w:tabs>
        <w:spacing w:line="276" w:lineRule="auto"/>
        <w:ind w:right="-1"/>
        <w:jc w:val="both"/>
        <w:outlineLvl w:val="0"/>
        <w:rPr>
          <w:rFonts w:cs="Arial"/>
        </w:rPr>
      </w:pPr>
      <w:r w:rsidRPr="003C2837">
        <w:rPr>
          <w:rFonts w:cs="Arial"/>
        </w:rPr>
        <w:t xml:space="preserve">La comunicación de la asignación del </w:t>
      </w:r>
      <w:r w:rsidRPr="00B90DB9">
        <w:rPr>
          <w:rFonts w:cs="Arial"/>
        </w:rPr>
        <w:t>Presupuesto Autorizado para el Ejercicio Fiscal 2020</w:t>
      </w:r>
      <w:r w:rsidRPr="003C2837">
        <w:rPr>
          <w:rFonts w:cs="Arial"/>
        </w:rPr>
        <w:t>, se realizó mediante oficio No. 20704001L-0041/2020, de fecha 21 de enero de 2020, emitido por la Secretaría de Finanzas, con el cual se aprueba la asignación presupuestal autorizada por la LX Legislatura local al Instituto de la Función Registral del Estado de México, que asciende a la cantidad de 2,921,299,039.00</w:t>
      </w:r>
      <w:r w:rsidRPr="003C2837">
        <w:rPr>
          <w:rFonts w:cs="Arial"/>
          <w:b/>
        </w:rPr>
        <w:t xml:space="preserve">, </w:t>
      </w:r>
      <w:r w:rsidRPr="003C2837">
        <w:rPr>
          <w:rFonts w:cs="Arial"/>
        </w:rPr>
        <w:t>distribuida de la siguiente manera:</w:t>
      </w:r>
    </w:p>
    <w:p w:rsidR="00B56882" w:rsidRPr="003C2837" w:rsidRDefault="00B56882" w:rsidP="00B56882">
      <w:pPr>
        <w:tabs>
          <w:tab w:val="left" w:pos="8652"/>
        </w:tabs>
        <w:spacing w:line="276" w:lineRule="auto"/>
        <w:ind w:right="-1"/>
        <w:jc w:val="both"/>
        <w:outlineLvl w:val="0"/>
        <w:rPr>
          <w:rFonts w:cs="Arial"/>
        </w:rPr>
      </w:pPr>
      <w:r w:rsidRPr="003C2837">
        <w:rPr>
          <w:rFonts w:cs="Arial"/>
        </w:rPr>
        <w:t xml:space="preserve">                   </w:t>
      </w:r>
      <w:r w:rsidRPr="003C2837">
        <w:rPr>
          <w:noProof/>
          <w:lang w:eastAsia="es-MX"/>
        </w:rPr>
        <w:drawing>
          <wp:inline distT="0" distB="0" distL="0" distR="0" wp14:anchorId="3340301D" wp14:editId="4082A9D4">
            <wp:extent cx="5020945" cy="1744980"/>
            <wp:effectExtent l="0" t="0" r="8255"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853" cy="1754679"/>
                    </a:xfrm>
                    <a:prstGeom prst="rect">
                      <a:avLst/>
                    </a:prstGeom>
                    <a:noFill/>
                    <a:ln>
                      <a:noFill/>
                    </a:ln>
                  </pic:spPr>
                </pic:pic>
              </a:graphicData>
            </a:graphic>
          </wp:inline>
        </w:drawing>
      </w:r>
      <w:r w:rsidRPr="003C2837">
        <w:rPr>
          <w:rFonts w:cs="Arial"/>
        </w:rPr>
        <w:t xml:space="preserve"> </w:t>
      </w:r>
    </w:p>
    <w:p w:rsidR="00B56882" w:rsidRPr="003C2837" w:rsidRDefault="00B56882" w:rsidP="00B56882">
      <w:pPr>
        <w:spacing w:line="276" w:lineRule="auto"/>
        <w:ind w:right="-1"/>
        <w:jc w:val="both"/>
        <w:outlineLvl w:val="0"/>
        <w:rPr>
          <w:rFonts w:cs="Arial"/>
        </w:rPr>
      </w:pPr>
      <w:r w:rsidRPr="003C2837">
        <w:rPr>
          <w:rFonts w:cs="Arial"/>
        </w:rPr>
        <w:t xml:space="preserve">Se tuvo una asignación presupuestal de 35,940,611.37, autorizada con el oficio </w:t>
      </w:r>
      <w:r w:rsidRPr="00B90DB9">
        <w:rPr>
          <w:rFonts w:cs="Arial"/>
        </w:rPr>
        <w:t>No. 20704000L-APAD-0001/20,</w:t>
      </w:r>
      <w:r w:rsidRPr="003C2837">
        <w:rPr>
          <w:rFonts w:cs="Arial"/>
        </w:rPr>
        <w:t xml:space="preserve"> del 8 de enero de 2020, signado por el Subsecretario de Planeación y Presupuesto, para el Programa de Acciones para el Desarrollo (PAD), requeridos para continuar con el Programa de Regularización de Tenencia de la Tierra en el Estado de México, como sigue:</w:t>
      </w:r>
    </w:p>
    <w:p w:rsidR="00B56882" w:rsidRPr="003C2837" w:rsidRDefault="00B56882" w:rsidP="00B56882">
      <w:pPr>
        <w:spacing w:line="276" w:lineRule="auto"/>
        <w:ind w:right="-1"/>
        <w:jc w:val="both"/>
        <w:outlineLvl w:val="0"/>
        <w:rPr>
          <w:rFonts w:cs="Arial"/>
        </w:rPr>
      </w:pPr>
      <w:r w:rsidRPr="003C2837">
        <w:rPr>
          <w:rFonts w:cs="Arial"/>
        </w:rPr>
        <w:t xml:space="preserve">                  </w:t>
      </w:r>
      <w:r w:rsidRPr="003C2837">
        <w:rPr>
          <w:noProof/>
          <w:lang w:eastAsia="es-MX"/>
        </w:rPr>
        <w:drawing>
          <wp:inline distT="0" distB="0" distL="0" distR="0" wp14:anchorId="6FBA11AD" wp14:editId="50451255">
            <wp:extent cx="5058410" cy="1851660"/>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1381" cy="1863729"/>
                    </a:xfrm>
                    <a:prstGeom prst="rect">
                      <a:avLst/>
                    </a:prstGeom>
                    <a:noFill/>
                    <a:ln>
                      <a:noFill/>
                    </a:ln>
                  </pic:spPr>
                </pic:pic>
              </a:graphicData>
            </a:graphic>
          </wp:inline>
        </w:drawing>
      </w:r>
    </w:p>
    <w:p w:rsidR="00B56882" w:rsidRDefault="00B56882" w:rsidP="00B56882">
      <w:pPr>
        <w:tabs>
          <w:tab w:val="left" w:pos="488"/>
          <w:tab w:val="right" w:pos="10063"/>
        </w:tabs>
        <w:spacing w:line="276" w:lineRule="auto"/>
        <w:ind w:right="-1"/>
        <w:outlineLvl w:val="0"/>
      </w:pPr>
      <w:r w:rsidRPr="003C2837">
        <w:t>El presupuesto se ha modificado para el Ejercicio 2020, de acuerdo con las siguientes adecuaciones</w:t>
      </w:r>
    </w:p>
    <w:p w:rsidR="00B56882" w:rsidRDefault="00B56882" w:rsidP="00B56882">
      <w:pPr>
        <w:tabs>
          <w:tab w:val="left" w:pos="488"/>
          <w:tab w:val="right" w:pos="10063"/>
        </w:tabs>
        <w:spacing w:line="276" w:lineRule="auto"/>
        <w:ind w:right="-1"/>
        <w:outlineLvl w:val="0"/>
      </w:pPr>
      <w:r w:rsidRPr="00E51D7D">
        <w:rPr>
          <w:noProof/>
          <w:lang w:eastAsia="es-MX"/>
        </w:rPr>
        <w:drawing>
          <wp:inline distT="0" distB="0" distL="0" distR="0" wp14:anchorId="04DD23B8" wp14:editId="32AFFF58">
            <wp:extent cx="6388735" cy="13944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2671" cy="1395319"/>
                    </a:xfrm>
                    <a:prstGeom prst="rect">
                      <a:avLst/>
                    </a:prstGeom>
                    <a:noFill/>
                    <a:ln>
                      <a:noFill/>
                    </a:ln>
                  </pic:spPr>
                </pic:pic>
              </a:graphicData>
            </a:graphic>
          </wp:inline>
        </w:drawing>
      </w:r>
    </w:p>
    <w:p w:rsidR="009E6C86" w:rsidRDefault="009E6C86" w:rsidP="009E6C86">
      <w:pPr>
        <w:spacing w:line="259" w:lineRule="auto"/>
        <w:rPr>
          <w:b/>
        </w:rPr>
      </w:pPr>
      <w:r w:rsidRPr="004B2812">
        <w:rPr>
          <w:b/>
        </w:rPr>
        <w:t>Estado Comparativo del Ejercicio del Presupuesto de Egresos:</w:t>
      </w:r>
    </w:p>
    <w:p w:rsidR="009E6C86" w:rsidRDefault="009E6C86" w:rsidP="009E6C86">
      <w:pPr>
        <w:spacing w:line="259" w:lineRule="auto"/>
        <w:rPr>
          <w:b/>
        </w:rPr>
      </w:pPr>
      <w:r w:rsidRPr="00593F48">
        <w:rPr>
          <w:noProof/>
          <w:lang w:eastAsia="es-MX"/>
        </w:rPr>
        <w:drawing>
          <wp:inline distT="0" distB="0" distL="0" distR="0" wp14:anchorId="064233B9" wp14:editId="34C6FF73">
            <wp:extent cx="6389370" cy="2068161"/>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370" cy="2068161"/>
                    </a:xfrm>
                    <a:prstGeom prst="rect">
                      <a:avLst/>
                    </a:prstGeom>
                    <a:noFill/>
                    <a:ln>
                      <a:noFill/>
                    </a:ln>
                  </pic:spPr>
                </pic:pic>
              </a:graphicData>
            </a:graphic>
          </wp:inline>
        </w:drawing>
      </w:r>
    </w:p>
    <w:p w:rsidR="009E6C86" w:rsidRPr="00EC6A9E" w:rsidRDefault="009E6C86" w:rsidP="009E6C86">
      <w:pPr>
        <w:tabs>
          <w:tab w:val="left" w:pos="488"/>
        </w:tabs>
        <w:spacing w:line="276" w:lineRule="auto"/>
        <w:ind w:right="-1"/>
        <w:jc w:val="both"/>
        <w:outlineLvl w:val="0"/>
        <w:rPr>
          <w:rFonts w:cs="Arial"/>
        </w:rPr>
      </w:pPr>
      <w:r w:rsidRPr="00EC6A9E">
        <w:rPr>
          <w:rFonts w:cs="Arial"/>
        </w:rPr>
        <w:t xml:space="preserve">El presupuesto de </w:t>
      </w:r>
      <w:r w:rsidRPr="000239D3">
        <w:rPr>
          <w:rFonts w:cs="Arial"/>
        </w:rPr>
        <w:t>egresos aprobado anual fue</w:t>
      </w:r>
      <w:r w:rsidRPr="00EC6A9E">
        <w:rPr>
          <w:rFonts w:cs="Arial"/>
        </w:rPr>
        <w:t xml:space="preserve"> de 2,921,299,039.00, el presu</w:t>
      </w:r>
      <w:r>
        <w:rPr>
          <w:rFonts w:cs="Arial"/>
        </w:rPr>
        <w:t>puesto modificado al mes es de 2</w:t>
      </w:r>
      <w:r w:rsidRPr="00EC6A9E">
        <w:rPr>
          <w:rFonts w:cs="Arial"/>
        </w:rPr>
        <w:t>,</w:t>
      </w:r>
      <w:r>
        <w:rPr>
          <w:rFonts w:cs="Arial"/>
        </w:rPr>
        <w:t>374,090,883.37</w:t>
      </w:r>
      <w:r w:rsidRPr="00EC6A9E">
        <w:rPr>
          <w:rFonts w:cs="Arial"/>
        </w:rPr>
        <w:t xml:space="preserve"> y se ha ejercido al mes que se analiza la cantidad de </w:t>
      </w:r>
      <w:r w:rsidRPr="00593F48">
        <w:rPr>
          <w:rFonts w:cs="Arial"/>
        </w:rPr>
        <w:t>1,558,309,318.45</w:t>
      </w:r>
      <w:r w:rsidRPr="00EC6A9E">
        <w:rPr>
          <w:rFonts w:cs="Arial"/>
        </w:rPr>
        <w:t xml:space="preserve">, por lo tanto, se observa una variación absoluta contra el presupuesto modificado autorizado de </w:t>
      </w:r>
      <w:r w:rsidRPr="00593F48">
        <w:rPr>
          <w:rFonts w:cs="Arial"/>
        </w:rPr>
        <w:t>815,781,564.92</w:t>
      </w:r>
      <w:r w:rsidRPr="00EC6A9E">
        <w:rPr>
          <w:rFonts w:cs="Arial"/>
        </w:rPr>
        <w:t>,</w:t>
      </w:r>
      <w:r>
        <w:rPr>
          <w:rFonts w:cs="Arial"/>
        </w:rPr>
        <w:t xml:space="preserve"> que representa el 34.4 por ciento,</w:t>
      </w:r>
      <w:r w:rsidRPr="00EC6A9E">
        <w:rPr>
          <w:rFonts w:cs="Arial"/>
        </w:rPr>
        <w:t xml:space="preserve"> principalmente por lo siguiente:</w:t>
      </w:r>
    </w:p>
    <w:p w:rsidR="00B56882" w:rsidRPr="009E6C86" w:rsidRDefault="00B56882" w:rsidP="00B56882">
      <w:pPr>
        <w:spacing w:line="276" w:lineRule="auto"/>
        <w:ind w:right="-1"/>
        <w:jc w:val="both"/>
        <w:rPr>
          <w:rFonts w:cs="Arial"/>
        </w:rPr>
      </w:pPr>
      <w:r w:rsidRPr="009E6C86">
        <w:rPr>
          <w:rFonts w:cs="Arial"/>
          <w:b/>
        </w:rPr>
        <w:t>En el Capítulo 1000 “Servicios Personales</w:t>
      </w:r>
      <w:r w:rsidRPr="009E6C86">
        <w:rPr>
          <w:rFonts w:cs="Arial"/>
        </w:rPr>
        <w:t>”.</w:t>
      </w:r>
      <w:r w:rsidRPr="009E6C86">
        <w:rPr>
          <w:rFonts w:cs="Arial"/>
          <w:b/>
        </w:rPr>
        <w:t xml:space="preserve"> </w:t>
      </w:r>
      <w:r w:rsidR="00AF3356" w:rsidRPr="009E6C86">
        <w:rPr>
          <w:rFonts w:cs="Arial"/>
          <w:b/>
        </w:rPr>
        <w:t>–</w:t>
      </w:r>
      <w:r w:rsidRPr="009E6C86">
        <w:rPr>
          <w:rFonts w:cs="Arial"/>
        </w:rPr>
        <w:t xml:space="preserve"> </w:t>
      </w:r>
      <w:r w:rsidR="00AF3356" w:rsidRPr="009E6C86">
        <w:rPr>
          <w:rFonts w:cs="Arial"/>
        </w:rPr>
        <w:t>La variación absoluta es del 5.2 por ciento y</w:t>
      </w:r>
      <w:r w:rsidRPr="009E6C86">
        <w:rPr>
          <w:rFonts w:cs="Arial"/>
        </w:rPr>
        <w:t xml:space="preserve"> obedece a los movimientos de personal por bajas de servidores públicos, cuyas plazas se encontraban presu</w:t>
      </w:r>
      <w:r w:rsidR="00AF3356" w:rsidRPr="009E6C86">
        <w:rPr>
          <w:rFonts w:cs="Arial"/>
        </w:rPr>
        <w:t>puestadas con el rango más alto</w:t>
      </w:r>
      <w:r w:rsidRPr="009E6C86">
        <w:rPr>
          <w:rFonts w:cs="Arial"/>
        </w:rPr>
        <w:t>.</w:t>
      </w:r>
    </w:p>
    <w:p w:rsidR="00B56882" w:rsidRPr="009E6C86" w:rsidRDefault="00B56882" w:rsidP="00B56882">
      <w:pPr>
        <w:spacing w:line="276" w:lineRule="auto"/>
        <w:ind w:right="-1"/>
        <w:jc w:val="both"/>
        <w:rPr>
          <w:rFonts w:cs="Arial"/>
        </w:rPr>
      </w:pPr>
      <w:r w:rsidRPr="009E6C86">
        <w:rPr>
          <w:rFonts w:cs="Arial"/>
          <w:b/>
        </w:rPr>
        <w:t>En el Capítulo 2000 “Materiales y Suministros”.-</w:t>
      </w:r>
      <w:r w:rsidRPr="009E6C86">
        <w:rPr>
          <w:rFonts w:cs="Arial"/>
        </w:rPr>
        <w:t xml:space="preserve"> </w:t>
      </w:r>
      <w:r w:rsidR="00AF3356" w:rsidRPr="009E6C86">
        <w:rPr>
          <w:rFonts w:cs="Arial"/>
        </w:rPr>
        <w:t xml:space="preserve">La variación absoluta es del 59.3 por ciento, </w:t>
      </w:r>
      <w:r w:rsidRPr="009E6C86">
        <w:rPr>
          <w:rFonts w:cs="Arial"/>
        </w:rPr>
        <w:t xml:space="preserve">obedece a que se encuentra en proceso la substanciación de algunos procedimientos adquisitivos correspondiente al </w:t>
      </w:r>
      <w:r w:rsidR="00AF3356" w:rsidRPr="009E6C86">
        <w:rPr>
          <w:rFonts w:cs="Arial"/>
        </w:rPr>
        <w:t xml:space="preserve">tercer </w:t>
      </w:r>
      <w:r w:rsidRPr="009E6C86">
        <w:rPr>
          <w:rFonts w:cs="Arial"/>
        </w:rPr>
        <w:t>cuatrimestre. Adicional a lo anterior, derivado de la situación que impera</w:t>
      </w:r>
      <w:r w:rsidR="00AF3356" w:rsidRPr="009E6C86">
        <w:rPr>
          <w:rFonts w:cs="Arial"/>
        </w:rPr>
        <w:t xml:space="preserve"> en</w:t>
      </w:r>
      <w:r w:rsidRPr="009E6C86">
        <w:rPr>
          <w:rFonts w:cs="Arial"/>
        </w:rPr>
        <w:t xml:space="preserve"> nuestro país y el mundo, frente a la</w:t>
      </w:r>
      <w:r w:rsidR="00D111E8" w:rsidRPr="009E6C86">
        <w:rPr>
          <w:rFonts w:cs="Arial"/>
        </w:rPr>
        <w:t xml:space="preserve"> pandemia generada por el Covid-</w:t>
      </w:r>
      <w:r w:rsidRPr="009E6C86">
        <w:rPr>
          <w:rFonts w:cs="Arial"/>
        </w:rPr>
        <w:t>19, el Gobierno de México ha ordenado permanecer en casa (cuarentena) a efecto de evitar contagio y propagación de mayores casos de contracción del virus, lo cual genera una desaceleración del gasto público de este Instituto.</w:t>
      </w:r>
    </w:p>
    <w:p w:rsidR="00B56882" w:rsidRPr="009E6C86" w:rsidRDefault="00B56882" w:rsidP="00B56882">
      <w:pPr>
        <w:spacing w:line="276" w:lineRule="auto"/>
        <w:ind w:right="-1"/>
        <w:jc w:val="both"/>
        <w:rPr>
          <w:rFonts w:cs="Arial"/>
        </w:rPr>
      </w:pPr>
      <w:r w:rsidRPr="009E6C86">
        <w:rPr>
          <w:rFonts w:cs="Arial"/>
          <w:b/>
        </w:rPr>
        <w:t>En el Capítulo 3000 “Servicios Generales”. -</w:t>
      </w:r>
      <w:r w:rsidRPr="009E6C86">
        <w:rPr>
          <w:rFonts w:cs="Arial"/>
        </w:rPr>
        <w:t xml:space="preserve"> </w:t>
      </w:r>
      <w:r w:rsidR="00D111E8" w:rsidRPr="009E6C86">
        <w:rPr>
          <w:rFonts w:cs="Arial"/>
        </w:rPr>
        <w:t xml:space="preserve">La variación absoluta es del 40.9 por ciento, </w:t>
      </w:r>
      <w:r w:rsidRPr="009E6C86">
        <w:rPr>
          <w:rFonts w:cs="Arial"/>
        </w:rPr>
        <w:t>obedece a que se encuentra en proceso la contratación de servicios que fortaleceran la infraestructura tecnológica de este Instituto. Adicional a lo anterior, derivado de la situación que impera</w:t>
      </w:r>
      <w:r w:rsidR="00D111E8" w:rsidRPr="009E6C86">
        <w:rPr>
          <w:rFonts w:cs="Arial"/>
        </w:rPr>
        <w:t xml:space="preserve"> en</w:t>
      </w:r>
      <w:r w:rsidRPr="009E6C86">
        <w:rPr>
          <w:rFonts w:cs="Arial"/>
        </w:rPr>
        <w:t xml:space="preserve"> nuestro país y el mundo, frente a la pandemia generada por el Covid</w:t>
      </w:r>
      <w:r w:rsidR="00D111E8" w:rsidRPr="009E6C86">
        <w:rPr>
          <w:rFonts w:cs="Arial"/>
        </w:rPr>
        <w:t>-</w:t>
      </w:r>
      <w:r w:rsidRPr="009E6C86">
        <w:rPr>
          <w:rFonts w:cs="Arial"/>
        </w:rPr>
        <w:t>19, el Gobierno de México ha ordenado permanecer en casa (cuarentena) a efecto de evitar contagio y propagación de mayores casos de contracción del virus, lo cual genera una desaceleración del gasto público de este Instituto.</w:t>
      </w:r>
    </w:p>
    <w:p w:rsidR="00B56882" w:rsidRPr="009E6C86" w:rsidRDefault="00B56882" w:rsidP="00B56882">
      <w:pPr>
        <w:spacing w:line="276" w:lineRule="auto"/>
        <w:ind w:right="-1"/>
        <w:jc w:val="both"/>
        <w:rPr>
          <w:rFonts w:cs="Arial"/>
        </w:rPr>
      </w:pPr>
      <w:r w:rsidRPr="009E6C86">
        <w:rPr>
          <w:rFonts w:cs="Arial"/>
          <w:b/>
        </w:rPr>
        <w:t xml:space="preserve">En el Capítulo 4000 “Transferencias, Asignaciones, Subsidios y Otras Ayudas”.- </w:t>
      </w:r>
      <w:r w:rsidR="00D111E8" w:rsidRPr="009E6C86">
        <w:rPr>
          <w:rFonts w:cs="Arial"/>
        </w:rPr>
        <w:t xml:space="preserve">La variación absoluta es del 57.2 por ciento, </w:t>
      </w:r>
      <w:r w:rsidRPr="009E6C86">
        <w:rPr>
          <w:rFonts w:cs="Arial"/>
        </w:rPr>
        <w:t>en el capítulo “Transferencias, asignaciones, subsidios y otras ayudas”, 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rsidR="00B56882" w:rsidRPr="009E6C86" w:rsidRDefault="00B56882" w:rsidP="00B56882">
      <w:pPr>
        <w:spacing w:line="276" w:lineRule="auto"/>
        <w:ind w:right="-1"/>
        <w:jc w:val="both"/>
        <w:rPr>
          <w:rFonts w:cs="Arial"/>
        </w:rPr>
      </w:pPr>
      <w:r w:rsidRPr="009E6C86">
        <w:rPr>
          <w:rFonts w:cs="Arial"/>
          <w:b/>
        </w:rPr>
        <w:t xml:space="preserve">En el Capítulo 5000 “Bienes Muebles, Inmuebles e Intangibles”.- </w:t>
      </w:r>
      <w:r w:rsidR="00D111E8" w:rsidRPr="009E6C86">
        <w:rPr>
          <w:rFonts w:cs="Arial"/>
        </w:rPr>
        <w:t xml:space="preserve">La variación absoluta es del 100.0 por ciento, </w:t>
      </w:r>
      <w:r w:rsidRPr="009E6C86">
        <w:rPr>
          <w:rFonts w:cs="Arial"/>
        </w:rPr>
        <w:t xml:space="preserve">obedece a que se encuentra en proceso la adquisición de infraestructura tecnológica de este Instituto. Adicional a lo anterior, derivado de la situación que impera </w:t>
      </w:r>
      <w:r w:rsidR="00D111E8" w:rsidRPr="009E6C86">
        <w:rPr>
          <w:rFonts w:cs="Arial"/>
        </w:rPr>
        <w:t xml:space="preserve">en </w:t>
      </w:r>
      <w:r w:rsidRPr="009E6C86">
        <w:rPr>
          <w:rFonts w:cs="Arial"/>
        </w:rPr>
        <w:t>nuestro país y el mundo, frente a la pandemia generada por el Covid</w:t>
      </w:r>
      <w:r w:rsidR="00D111E8" w:rsidRPr="009E6C86">
        <w:rPr>
          <w:rFonts w:cs="Arial"/>
        </w:rPr>
        <w:t>-</w:t>
      </w:r>
      <w:r w:rsidRPr="009E6C86">
        <w:rPr>
          <w:rFonts w:cs="Arial"/>
        </w:rPr>
        <w:t>19, el Gobierno de México ha ordenado permanecer en casa (cuarentena) a efecto de evitar contagio y propagación de mayores casos de contracción del virus, lo cual genera una desaceleración del gasto público de este Instituto.</w:t>
      </w:r>
    </w:p>
    <w:p w:rsidR="00B56882" w:rsidRPr="008D7E53" w:rsidRDefault="00B56882" w:rsidP="00B56882">
      <w:pPr>
        <w:spacing w:line="276" w:lineRule="auto"/>
        <w:ind w:right="-1"/>
        <w:jc w:val="both"/>
      </w:pPr>
      <w:r w:rsidRPr="009E6C86">
        <w:rPr>
          <w:rFonts w:cs="Arial"/>
          <w:b/>
        </w:rPr>
        <w:t xml:space="preserve">En el Capítulo 9000 “Deuda Pública”.- </w:t>
      </w:r>
      <w:r w:rsidR="00D111E8" w:rsidRPr="009E6C86">
        <w:rPr>
          <w:rFonts w:cs="Arial"/>
        </w:rPr>
        <w:t xml:space="preserve">La variación absoluta es del 2.8 por ciento, en </w:t>
      </w:r>
      <w:r w:rsidRPr="009E6C86">
        <w:rPr>
          <w:rFonts w:cs="Arial"/>
        </w:rPr>
        <w:t xml:space="preserve">el capítulo de “Deuda Pública”, deriva del remanente del pago del cupón de los Certificados Bursátiles Fiduciarios Series “A” y “B” </w:t>
      </w:r>
      <w:r w:rsidR="00D111E8" w:rsidRPr="009E6C86">
        <w:rPr>
          <w:rFonts w:cs="Arial"/>
        </w:rPr>
        <w:t xml:space="preserve">y subordinada </w:t>
      </w:r>
      <w:r w:rsidR="001A0205">
        <w:rPr>
          <w:rFonts w:cs="Arial"/>
        </w:rPr>
        <w:t>“</w:t>
      </w:r>
      <w:r w:rsidR="00D111E8" w:rsidRPr="009E6C86">
        <w:rPr>
          <w:rFonts w:cs="Arial"/>
        </w:rPr>
        <w:t>C</w:t>
      </w:r>
      <w:r w:rsidR="001A0205">
        <w:rPr>
          <w:rFonts w:cs="Arial"/>
        </w:rPr>
        <w:t>”</w:t>
      </w:r>
      <w:r w:rsidR="00D111E8" w:rsidRPr="009E6C86">
        <w:rPr>
          <w:rFonts w:cs="Arial"/>
        </w:rPr>
        <w:t xml:space="preserve">, </w:t>
      </w:r>
      <w:r w:rsidRPr="009E6C86">
        <w:rPr>
          <w:rFonts w:cs="Arial"/>
        </w:rPr>
        <w:t xml:space="preserve">correspondiente al segundo semestre del año en curso, por lo que dicha </w:t>
      </w:r>
      <w:r w:rsidR="00B933C4">
        <w:rPr>
          <w:rFonts w:cs="Arial"/>
        </w:rPr>
        <w:t>variación</w:t>
      </w:r>
      <w:bookmarkStart w:id="0" w:name="_GoBack"/>
      <w:bookmarkEnd w:id="0"/>
      <w:r w:rsidRPr="009E6C86">
        <w:rPr>
          <w:rFonts w:cs="Arial"/>
        </w:rPr>
        <w:t xml:space="preserve">, </w:t>
      </w:r>
      <w:r w:rsidR="00D111E8" w:rsidRPr="009E6C86">
        <w:rPr>
          <w:rFonts w:cs="Arial"/>
        </w:rPr>
        <w:t>se considera una economía en el presente ejercicio fiscal, debido a que se cumplio con las obligaciones c</w:t>
      </w:r>
      <w:r w:rsidRPr="009E6C86">
        <w:rPr>
          <w:rFonts w:cs="Arial"/>
        </w:rPr>
        <w:t>ontractua</w:t>
      </w:r>
      <w:r w:rsidR="00D111E8" w:rsidRPr="009E6C86">
        <w:rPr>
          <w:rFonts w:cs="Arial"/>
        </w:rPr>
        <w:t>les del F</w:t>
      </w:r>
      <w:r w:rsidRPr="009E6C86">
        <w:rPr>
          <w:rFonts w:cs="Arial"/>
        </w:rPr>
        <w:t>ideicomiso</w:t>
      </w:r>
      <w:r w:rsidR="00D111E8" w:rsidRPr="009E6C86">
        <w:rPr>
          <w:rFonts w:cs="Arial"/>
        </w:rPr>
        <w:t xml:space="preserve"> de Cobranza </w:t>
      </w:r>
      <w:r w:rsidRPr="009E6C86">
        <w:rPr>
          <w:rFonts w:cs="Arial"/>
        </w:rPr>
        <w:t>irrevocable número</w:t>
      </w:r>
      <w:r w:rsidR="00D111E8" w:rsidRPr="009E6C86">
        <w:rPr>
          <w:rFonts w:cs="Arial"/>
        </w:rPr>
        <w:t xml:space="preserve"> 80615 y alas del número</w:t>
      </w:r>
      <w:r w:rsidRPr="009E6C86">
        <w:rPr>
          <w:rFonts w:cs="Arial"/>
        </w:rPr>
        <w:t xml:space="preserve"> F/1426</w:t>
      </w:r>
      <w:r w:rsidR="00D111E8" w:rsidRPr="009E6C86">
        <w:rPr>
          <w:rFonts w:cs="Arial"/>
        </w:rPr>
        <w:t>, al cual se hizo frente con los remanentes del primer periodo</w:t>
      </w:r>
      <w:r w:rsidRPr="009E6C86">
        <w:rPr>
          <w:rFonts w:cs="Arial"/>
        </w:rPr>
        <w:t>. Adicionalmente a los recursos destinados al pago de Adefas pendientes de liquidar.</w:t>
      </w:r>
    </w:p>
    <w:p w:rsidR="00B56882" w:rsidRPr="00EC6A9E" w:rsidRDefault="00B56882" w:rsidP="00B56882">
      <w:pPr>
        <w:numPr>
          <w:ilvl w:val="0"/>
          <w:numId w:val="5"/>
        </w:numPr>
        <w:tabs>
          <w:tab w:val="left" w:pos="3836"/>
        </w:tabs>
        <w:spacing w:after="0" w:line="276" w:lineRule="auto"/>
        <w:ind w:right="-1"/>
        <w:contextualSpacing/>
        <w:outlineLvl w:val="0"/>
        <w:rPr>
          <w:rFonts w:eastAsia="Times New Roman" w:cs="Arial"/>
          <w:b/>
          <w:lang w:eastAsia="es-MX"/>
        </w:rPr>
      </w:pPr>
      <w:r w:rsidRPr="00EC6A9E">
        <w:rPr>
          <w:rFonts w:eastAsia="Times New Roman" w:cs="Arial"/>
          <w:b/>
          <w:lang w:eastAsia="es-MX"/>
        </w:rPr>
        <w:t>NOTAS DE GESTIÓN ADMINISTRATIVA</w:t>
      </w:r>
    </w:p>
    <w:p w:rsidR="00B56882" w:rsidRPr="00EC6A9E" w:rsidRDefault="00B56882" w:rsidP="00B56882">
      <w:pPr>
        <w:tabs>
          <w:tab w:val="left" w:pos="3836"/>
        </w:tabs>
        <w:spacing w:after="0" w:line="276" w:lineRule="auto"/>
        <w:ind w:left="720" w:right="-1"/>
        <w:contextualSpacing/>
        <w:outlineLvl w:val="0"/>
        <w:rPr>
          <w:rFonts w:eastAsia="Times New Roman" w:cs="Arial"/>
          <w:b/>
          <w:lang w:eastAsia="es-MX"/>
        </w:rPr>
      </w:pPr>
    </w:p>
    <w:p w:rsidR="00B56882" w:rsidRPr="00EC6A9E" w:rsidRDefault="00B56882" w:rsidP="00B56882">
      <w:pPr>
        <w:spacing w:line="276" w:lineRule="auto"/>
        <w:ind w:right="-1"/>
        <w:jc w:val="both"/>
      </w:pPr>
      <w:r w:rsidRPr="00EC6A9E">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rsidR="00B56882" w:rsidRPr="00EC6A9E" w:rsidRDefault="00B56882" w:rsidP="00B56882">
      <w:pPr>
        <w:spacing w:line="276" w:lineRule="auto"/>
        <w:ind w:right="-1"/>
        <w:jc w:val="both"/>
        <w:rPr>
          <w:sz w:val="2"/>
        </w:rPr>
      </w:pPr>
    </w:p>
    <w:p w:rsidR="00B56882" w:rsidRPr="00EC6A9E" w:rsidRDefault="00B56882" w:rsidP="00B56882">
      <w:pPr>
        <w:spacing w:line="276" w:lineRule="auto"/>
        <w:ind w:right="-1"/>
        <w:jc w:val="both"/>
      </w:pPr>
      <w:r w:rsidRPr="00EC6A9E">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56882" w:rsidRPr="00EC6A9E" w:rsidRDefault="00B56882" w:rsidP="00B56882">
      <w:pPr>
        <w:numPr>
          <w:ilvl w:val="0"/>
          <w:numId w:val="9"/>
        </w:numPr>
        <w:spacing w:after="0" w:line="276" w:lineRule="auto"/>
        <w:ind w:left="851" w:right="-1"/>
        <w:contextualSpacing/>
        <w:rPr>
          <w:rFonts w:eastAsia="Times New Roman" w:cs="Arial"/>
          <w:b/>
          <w:lang w:eastAsia="es-MX"/>
        </w:rPr>
      </w:pPr>
      <w:r w:rsidRPr="00EC6A9E">
        <w:rPr>
          <w:rFonts w:eastAsia="Times New Roman" w:cs="Times New Roman"/>
          <w:b/>
          <w:lang w:eastAsia="es-MX"/>
        </w:rPr>
        <w:t>Introducción</w:t>
      </w:r>
    </w:p>
    <w:p w:rsidR="00B56882" w:rsidRPr="00EC6A9E" w:rsidRDefault="00B56882" w:rsidP="00B56882">
      <w:pPr>
        <w:spacing w:before="240" w:line="276" w:lineRule="auto"/>
        <w:ind w:right="-1"/>
        <w:jc w:val="both"/>
      </w:pPr>
      <w:r w:rsidRPr="00EC6A9E">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B56882" w:rsidRPr="00EC6A9E" w:rsidRDefault="00B56882" w:rsidP="00B56882">
      <w:pPr>
        <w:spacing w:line="276" w:lineRule="auto"/>
        <w:ind w:right="-1"/>
        <w:jc w:val="both"/>
      </w:pPr>
      <w:r w:rsidRPr="00EC6A9E">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rsidR="00B56882" w:rsidRPr="00EC6A9E" w:rsidRDefault="00B56882" w:rsidP="00B56882">
      <w:pPr>
        <w:spacing w:line="276" w:lineRule="auto"/>
        <w:ind w:right="-1"/>
        <w:jc w:val="both"/>
      </w:pPr>
      <w:r w:rsidRPr="00EC6A9E">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rsidR="00B56882" w:rsidRPr="00EC6A9E" w:rsidRDefault="00B56882" w:rsidP="00B56882">
      <w:pPr>
        <w:spacing w:line="276" w:lineRule="auto"/>
        <w:ind w:right="-1"/>
        <w:jc w:val="both"/>
      </w:pPr>
      <w:r w:rsidRPr="00EC6A9E">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rsidR="00B56882" w:rsidRDefault="00B56882" w:rsidP="00B56882">
      <w:pPr>
        <w:numPr>
          <w:ilvl w:val="0"/>
          <w:numId w:val="9"/>
        </w:numPr>
        <w:spacing w:after="0" w:line="276" w:lineRule="auto"/>
        <w:ind w:left="851" w:right="-1"/>
        <w:contextualSpacing/>
        <w:rPr>
          <w:rFonts w:eastAsia="Times New Roman" w:cs="Times New Roman"/>
          <w:b/>
          <w:lang w:eastAsia="es-MX"/>
        </w:rPr>
      </w:pPr>
      <w:r w:rsidRPr="00EC6A9E">
        <w:rPr>
          <w:rFonts w:eastAsia="Times New Roman" w:cs="Times New Roman"/>
          <w:b/>
          <w:lang w:eastAsia="es-MX"/>
        </w:rPr>
        <w:t>Panorama Económico y Financiero</w:t>
      </w:r>
    </w:p>
    <w:p w:rsidR="001A0205" w:rsidRPr="00EC6A9E" w:rsidRDefault="001A0205" w:rsidP="001A0205">
      <w:pPr>
        <w:spacing w:after="0" w:line="276" w:lineRule="auto"/>
        <w:ind w:left="851" w:right="-1"/>
        <w:contextualSpacing/>
        <w:rPr>
          <w:rFonts w:eastAsia="Times New Roman" w:cs="Times New Roman"/>
          <w:b/>
          <w:lang w:eastAsia="es-MX"/>
        </w:rPr>
      </w:pPr>
    </w:p>
    <w:p w:rsidR="00B56882" w:rsidRDefault="00B56882" w:rsidP="00B56882">
      <w:pPr>
        <w:spacing w:after="101" w:line="276" w:lineRule="auto"/>
        <w:ind w:right="-1"/>
        <w:jc w:val="both"/>
        <w:rPr>
          <w:rFonts w:eastAsia="Times New Roman" w:cs="Arial"/>
          <w:lang w:val="es-ES" w:eastAsia="es-ES"/>
        </w:rPr>
      </w:pPr>
      <w:r w:rsidRPr="00EC6A9E">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rsidR="00B56882" w:rsidRPr="00EC6A9E" w:rsidRDefault="00B56882" w:rsidP="00B56882">
      <w:pPr>
        <w:numPr>
          <w:ilvl w:val="0"/>
          <w:numId w:val="9"/>
        </w:numPr>
        <w:spacing w:after="0" w:line="276" w:lineRule="auto"/>
        <w:ind w:left="851" w:right="-1"/>
        <w:contextualSpacing/>
        <w:rPr>
          <w:rFonts w:eastAsia="Times New Roman" w:cs="Times New Roman"/>
          <w:b/>
          <w:lang w:eastAsia="es-MX"/>
        </w:rPr>
      </w:pPr>
      <w:r w:rsidRPr="00EC6A9E">
        <w:rPr>
          <w:rFonts w:eastAsia="Times New Roman" w:cs="Times New Roman"/>
          <w:b/>
          <w:lang w:eastAsia="es-MX"/>
        </w:rPr>
        <w:t>Autorización e Historia</w:t>
      </w:r>
    </w:p>
    <w:p w:rsidR="00B56882" w:rsidRPr="00EC6A9E" w:rsidRDefault="00B56882" w:rsidP="00B56882">
      <w:pPr>
        <w:spacing w:after="0" w:line="276" w:lineRule="auto"/>
        <w:ind w:right="-1"/>
        <w:contextualSpacing/>
        <w:rPr>
          <w:rFonts w:eastAsia="Times New Roman" w:cs="Times New Roman"/>
          <w:b/>
          <w:sz w:val="10"/>
          <w:lang w:eastAsia="es-MX"/>
        </w:rPr>
      </w:pPr>
    </w:p>
    <w:p w:rsidR="00B56882" w:rsidRPr="00EC6A9E" w:rsidRDefault="00B56882" w:rsidP="00B56882">
      <w:pPr>
        <w:spacing w:line="276" w:lineRule="auto"/>
        <w:ind w:right="-1"/>
        <w:jc w:val="both"/>
      </w:pPr>
      <w:r w:rsidRPr="00EC6A9E">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B56882" w:rsidRPr="00EC6A9E" w:rsidRDefault="00B56882" w:rsidP="00B56882">
      <w:pPr>
        <w:spacing w:line="276" w:lineRule="auto"/>
        <w:ind w:right="-1"/>
        <w:jc w:val="both"/>
      </w:pPr>
      <w:r w:rsidRPr="00EC6A9E">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rsidR="00B56882" w:rsidRPr="00EC6A9E" w:rsidRDefault="00B56882" w:rsidP="00B56882">
      <w:pPr>
        <w:spacing w:line="276" w:lineRule="auto"/>
        <w:ind w:right="-1"/>
        <w:jc w:val="both"/>
      </w:pPr>
      <w:r w:rsidRPr="00EC6A9E">
        <w:t>Asimismo, se subrogaron al Instituto de la Función Registral del Estado de México, los derechos y obligaciones de la Dirección General del Registro Público de la Propiedad de la Secretaría General de Gobierno.</w:t>
      </w:r>
    </w:p>
    <w:p w:rsidR="00B56882" w:rsidRPr="00EC6A9E" w:rsidRDefault="00B56882" w:rsidP="00B56882">
      <w:pPr>
        <w:spacing w:line="276" w:lineRule="auto"/>
        <w:ind w:right="-1"/>
        <w:jc w:val="both"/>
      </w:pPr>
      <w:r w:rsidRPr="00EC6A9E">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rsidR="00B56882" w:rsidRPr="00EC6A9E" w:rsidRDefault="00B56882" w:rsidP="00B56882">
      <w:pPr>
        <w:spacing w:line="276" w:lineRule="auto"/>
        <w:ind w:right="-1"/>
        <w:jc w:val="both"/>
      </w:pPr>
      <w:r w:rsidRPr="00EC6A9E">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B56882" w:rsidRPr="00EC6A9E" w:rsidRDefault="00B56882" w:rsidP="00B56882">
      <w:pPr>
        <w:spacing w:line="276" w:lineRule="auto"/>
        <w:ind w:right="-1"/>
        <w:jc w:val="both"/>
      </w:pPr>
      <w:r w:rsidRPr="00EC6A9E">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rsidR="00B56882" w:rsidRPr="00EC6A9E" w:rsidRDefault="00B56882" w:rsidP="00B56882">
      <w:pPr>
        <w:spacing w:line="276" w:lineRule="auto"/>
        <w:ind w:right="-1"/>
        <w:jc w:val="both"/>
      </w:pPr>
      <w:r w:rsidRPr="00EC6A9E">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rsidR="00B56882" w:rsidRPr="00EC6A9E" w:rsidRDefault="00B56882" w:rsidP="00B56882">
      <w:pPr>
        <w:spacing w:line="276" w:lineRule="auto"/>
        <w:ind w:right="-1"/>
        <w:jc w:val="both"/>
      </w:pPr>
      <w:r w:rsidRPr="00EC6A9E">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B56882" w:rsidRPr="00EC6A9E" w:rsidRDefault="00B56882" w:rsidP="00B56882">
      <w:pPr>
        <w:spacing w:line="276" w:lineRule="auto"/>
        <w:ind w:right="-1"/>
        <w:jc w:val="both"/>
      </w:pPr>
      <w:r w:rsidRPr="00EC6A9E">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rsidR="00B56882" w:rsidRPr="00EC6A9E" w:rsidRDefault="00B56882" w:rsidP="00B56882">
      <w:pPr>
        <w:spacing w:line="276" w:lineRule="auto"/>
        <w:ind w:left="360" w:right="-1"/>
        <w:jc w:val="both"/>
        <w:rPr>
          <w:b/>
        </w:rPr>
      </w:pPr>
      <w:r w:rsidRPr="00EC6A9E">
        <w:rPr>
          <w:b/>
        </w:rPr>
        <w:t>4.</w:t>
      </w:r>
      <w:r w:rsidRPr="00EC6A9E">
        <w:rPr>
          <w:b/>
        </w:rPr>
        <w:tab/>
        <w:t>Organización y Objeto Social</w:t>
      </w:r>
    </w:p>
    <w:p w:rsidR="00B56882" w:rsidRPr="00EC6A9E" w:rsidRDefault="00B56882" w:rsidP="00B56882">
      <w:pPr>
        <w:spacing w:after="0" w:line="276" w:lineRule="auto"/>
        <w:ind w:right="-1"/>
        <w:jc w:val="both"/>
        <w:rPr>
          <w:rFonts w:eastAsia="Times New Roman" w:cs="Arial"/>
          <w:lang w:val="es-ES" w:eastAsia="es-ES"/>
        </w:rPr>
      </w:pPr>
      <w:r w:rsidRPr="00EC6A9E">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B56882" w:rsidRPr="00EC6A9E" w:rsidRDefault="00B56882" w:rsidP="00B56882">
      <w:pPr>
        <w:spacing w:line="276" w:lineRule="auto"/>
        <w:ind w:right="-1"/>
        <w:jc w:val="both"/>
      </w:pPr>
      <w:r w:rsidRPr="00EC6A9E">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3" w:history="1">
        <w:r w:rsidRPr="00EC6A9E">
          <w:rPr>
            <w:color w:val="0000FF"/>
            <w:u w:val="single"/>
          </w:rPr>
          <w:t>http://ifrem.edomex.gob.mx/organigrama</w:t>
        </w:r>
      </w:hyperlink>
      <w:r w:rsidRPr="00EC6A9E">
        <w:t>.</w:t>
      </w:r>
    </w:p>
    <w:p w:rsidR="00833D66" w:rsidRDefault="00B56882" w:rsidP="00833D66">
      <w:pPr>
        <w:spacing w:line="276" w:lineRule="auto"/>
        <w:ind w:right="-1"/>
        <w:jc w:val="both"/>
        <w:rPr>
          <w:rFonts w:eastAsia="Times New Roman" w:cs="Arial"/>
          <w:lang w:val="es-ES" w:eastAsia="es-ES"/>
        </w:rPr>
      </w:pPr>
      <w:r w:rsidRPr="00EC6A9E">
        <w:t xml:space="preserve"> </w:t>
      </w:r>
      <w:r w:rsidRPr="00EC6A9E">
        <w:rPr>
          <w:rFonts w:eastAsia="Times New Roman" w:cs="Arial"/>
          <w:lang w:val="es-ES" w:eastAsia="es-ES"/>
        </w:rPr>
        <w:t>El Instituto,</w:t>
      </w:r>
      <w:r w:rsidRPr="00EC6A9E">
        <w:rPr>
          <w:rFonts w:eastAsia="Times New Roman" w:cs="CenturyGothic"/>
          <w:lang w:val="es-ES" w:eastAsia="es-ES"/>
        </w:rPr>
        <w:t xml:space="preserve"> p</w:t>
      </w:r>
      <w:r w:rsidRPr="00EC6A9E">
        <w:rPr>
          <w:rFonts w:eastAsia="Times New Roman" w:cs="Arial"/>
          <w:lang w:val="es-ES" w:eastAsia="es-ES"/>
        </w:rPr>
        <w:t>ara el cumplimiento de su objeto, tendrá las atribuciones que se mencionan en su Decreto de creación publicado en el periódico oficial Gaceta del Gobierno.</w:t>
      </w:r>
    </w:p>
    <w:p w:rsidR="001A0205" w:rsidRDefault="001A0205">
      <w:pPr>
        <w:spacing w:line="259" w:lineRule="auto"/>
        <w:rPr>
          <w:rFonts w:eastAsia="Times New Roman" w:cs="Arial"/>
          <w:lang w:val="es-ES" w:eastAsia="es-ES"/>
        </w:rPr>
      </w:pPr>
      <w:r>
        <w:rPr>
          <w:rFonts w:eastAsia="Times New Roman" w:cs="Arial"/>
          <w:lang w:val="es-ES" w:eastAsia="es-ES"/>
        </w:rPr>
        <w:br w:type="page"/>
      </w:r>
    </w:p>
    <w:p w:rsidR="00B56882" w:rsidRPr="001A0205" w:rsidRDefault="00B56882" w:rsidP="001A0205">
      <w:pPr>
        <w:pStyle w:val="Prrafodelista"/>
        <w:numPr>
          <w:ilvl w:val="0"/>
          <w:numId w:val="48"/>
        </w:numPr>
        <w:spacing w:line="276" w:lineRule="auto"/>
        <w:ind w:left="426" w:right="-1" w:firstLine="0"/>
        <w:jc w:val="both"/>
        <w:rPr>
          <w:rFonts w:ascii="HelveticaNeueLT Std" w:eastAsiaTheme="minorHAnsi" w:hAnsi="HelveticaNeueLT Std" w:cstheme="minorBidi"/>
          <w:b/>
          <w:sz w:val="20"/>
          <w:szCs w:val="20"/>
          <w:lang w:eastAsia="en-US"/>
        </w:rPr>
      </w:pPr>
      <w:r w:rsidRPr="001A0205">
        <w:rPr>
          <w:rFonts w:ascii="HelveticaNeueLT Std" w:eastAsiaTheme="minorHAnsi" w:hAnsi="HelveticaNeueLT Std" w:cstheme="minorBidi"/>
          <w:b/>
          <w:sz w:val="20"/>
          <w:szCs w:val="20"/>
          <w:lang w:eastAsia="en-US"/>
        </w:rPr>
        <w:t>Bases de preparación de los Estados Financieros</w:t>
      </w:r>
    </w:p>
    <w:p w:rsidR="00B56882" w:rsidRPr="00EC6A9E" w:rsidRDefault="00B56882" w:rsidP="00B56882">
      <w:pPr>
        <w:spacing w:after="240" w:line="276" w:lineRule="auto"/>
        <w:ind w:left="284" w:right="-1"/>
        <w:contextualSpacing/>
        <w:jc w:val="both"/>
        <w:rPr>
          <w:rFonts w:eastAsia="Times New Roman" w:cs="Times New Roman"/>
          <w:sz w:val="6"/>
          <w:lang w:eastAsia="es-MX"/>
        </w:rPr>
      </w:pPr>
    </w:p>
    <w:p w:rsidR="00B56882" w:rsidRPr="00EC6A9E" w:rsidRDefault="00B56882" w:rsidP="00B56882">
      <w:pPr>
        <w:spacing w:after="101" w:line="276" w:lineRule="auto"/>
        <w:ind w:right="-1"/>
        <w:jc w:val="both"/>
        <w:rPr>
          <w:rFonts w:eastAsia="Times New Roman" w:cs="Arial"/>
          <w:lang w:val="es-ES" w:eastAsia="es-ES"/>
        </w:rPr>
      </w:pPr>
      <w:r w:rsidRPr="00EC6A9E">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(Decimoctava Edición) 2019, para el presente ejercicio fiscal, publicado en la “Gaceta del Gobierno” el lunes 31 de mayo de 2019, aplicable a los Organismos Auxiliares del Gobierno del Estado de México, para efectos de la Ley para la Coordinación y Control de Organismos Auxiliares.</w:t>
      </w:r>
    </w:p>
    <w:p w:rsidR="00B56882" w:rsidRPr="00EC6A9E" w:rsidRDefault="00B56882" w:rsidP="00B56882">
      <w:pPr>
        <w:spacing w:line="276" w:lineRule="auto"/>
        <w:ind w:right="-1"/>
        <w:jc w:val="both"/>
      </w:pPr>
      <w:r w:rsidRPr="00EC6A9E">
        <w:t xml:space="preserve">Con base en dicho manual en este ejercicio se han realizado las </w:t>
      </w:r>
      <w:r w:rsidRPr="00EC6A9E">
        <w:rPr>
          <w:rFonts w:eastAsia="Times New Roman" w:cs="Arial"/>
          <w:lang w:val="es-ES" w:eastAsia="es-ES"/>
        </w:rPr>
        <w:t>adecuaciones</w:t>
      </w:r>
      <w:r w:rsidRPr="00EC6A9E">
        <w:t xml:space="preserve"> de presentación necesarias para estas notas. Así mismo </w:t>
      </w:r>
      <w:r w:rsidRPr="00EC6A9E">
        <w:rPr>
          <w:rFonts w:cs="Arial"/>
          <w:lang w:eastAsia="es-MX"/>
        </w:rPr>
        <w:t>la información se elaboró conforme a las normas, criterios y principios técnicos y las disposiciones legales aplicables, obedeciendo a las mejores prácticas contables,</w:t>
      </w:r>
      <w:r w:rsidRPr="00EC6A9E">
        <w:t xml:space="preserve"> se incluye lo correspondiente a las normas y lineamientos </w:t>
      </w:r>
      <w:r w:rsidRPr="00EC6A9E">
        <w:rPr>
          <w:rFonts w:cs="Arial"/>
          <w:lang w:eastAsia="es-MX"/>
        </w:rPr>
        <w:t xml:space="preserve">emitidos por </w:t>
      </w:r>
      <w:r w:rsidRPr="00EC6A9E">
        <w:t>el Consejo Nacional de Armonización Contable (CONAC)</w:t>
      </w:r>
      <w:r w:rsidRPr="00EC6A9E">
        <w:rPr>
          <w:rFonts w:cs="Arial"/>
          <w:lang w:eastAsia="es-MX"/>
        </w:rPr>
        <w:t>;</w:t>
      </w:r>
      <w:r w:rsidRPr="00EC6A9E">
        <w:t xml:space="preserve"> publicados el 13 de octubre de 2014, en el periódico oficial del Gobierno del Estado de México, denominado “Gaceta del Gobierno”.</w:t>
      </w:r>
    </w:p>
    <w:p w:rsidR="00B56882" w:rsidRPr="00EC6A9E" w:rsidRDefault="00B56882" w:rsidP="00B56882">
      <w:pPr>
        <w:autoSpaceDE w:val="0"/>
        <w:autoSpaceDN w:val="0"/>
        <w:adjustRightInd w:val="0"/>
        <w:spacing w:line="276" w:lineRule="auto"/>
        <w:ind w:right="-1"/>
        <w:jc w:val="both"/>
      </w:pPr>
      <w:r w:rsidRPr="00EC6A9E">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rsidR="00B56882" w:rsidRPr="00EC6A9E" w:rsidRDefault="00B56882" w:rsidP="00B56882">
      <w:pPr>
        <w:autoSpaceDE w:val="0"/>
        <w:autoSpaceDN w:val="0"/>
        <w:adjustRightInd w:val="0"/>
        <w:spacing w:line="276" w:lineRule="auto"/>
        <w:ind w:right="-1"/>
        <w:jc w:val="both"/>
        <w:rPr>
          <w:b/>
          <w:bCs/>
        </w:rPr>
      </w:pPr>
      <w:r w:rsidRPr="00EC6A9E">
        <w:t>El 26 de octubre de 2018, el Consejo Nacional de Armonización Contable con fundamento en los artículos 6, 7, 9 y 14 de la Ley General de Contabilidad Gubernamental, aprobó los siguientes: “</w:t>
      </w:r>
      <w:r w:rsidRPr="00EC6A9E">
        <w:rPr>
          <w:b/>
          <w:bCs/>
        </w:rPr>
        <w:t xml:space="preserve">Acuerdo por el que se reforman y adicionan las Normas y Metodología para la Determinación de los Momentos Contables de los Ingresos”, </w:t>
      </w:r>
      <w:r w:rsidRPr="00EC6A9E">
        <w:rPr>
          <w:bCs/>
        </w:rPr>
        <w:t>así como</w:t>
      </w:r>
      <w:r w:rsidRPr="00EC6A9E">
        <w:rPr>
          <w:b/>
          <w:bCs/>
        </w:rPr>
        <w:t xml:space="preserve">; el Acuerdo por el que se reforma y adiciona el Manual de Contabilidad Gubernamental. </w:t>
      </w:r>
      <w:r w:rsidRPr="00EC6A9E">
        <w:rPr>
          <w:b/>
          <w:bCs/>
          <w:i/>
          <w:sz w:val="22"/>
        </w:rPr>
        <w:t>“</w:t>
      </w:r>
      <w:r w:rsidRPr="00EC6A9E">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r w:rsidRPr="00EC6A9E">
        <w:rPr>
          <w:b/>
          <w:bCs/>
        </w:rPr>
        <w:t>“</w:t>
      </w:r>
    </w:p>
    <w:p w:rsidR="00B56882" w:rsidRPr="00EC6A9E" w:rsidRDefault="00B56882" w:rsidP="00B56882">
      <w:pPr>
        <w:autoSpaceDE w:val="0"/>
        <w:autoSpaceDN w:val="0"/>
        <w:adjustRightInd w:val="0"/>
        <w:spacing w:line="276" w:lineRule="auto"/>
        <w:ind w:right="-1"/>
        <w:jc w:val="both"/>
        <w:rPr>
          <w:i/>
          <w:sz w:val="18"/>
          <w:szCs w:val="16"/>
        </w:rPr>
      </w:pPr>
      <w:r w:rsidRPr="00EC6A9E">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C6A9E">
        <w:rPr>
          <w:rFonts w:eastAsia="Times New Roman" w:cs="Times New Roman"/>
          <w:b/>
          <w:lang w:eastAsia="es-MX"/>
        </w:rPr>
        <w:t>Políticas de Contabilidad Significativas”.</w:t>
      </w:r>
      <w:r w:rsidRPr="00EC6A9E">
        <w:rPr>
          <w:rFonts w:cs="Arial"/>
          <w:color w:val="000000"/>
          <w:sz w:val="16"/>
          <w:szCs w:val="16"/>
        </w:rPr>
        <w:t xml:space="preserve"> </w:t>
      </w:r>
      <w:r w:rsidRPr="00EC6A9E">
        <w:rPr>
          <w:i/>
          <w:sz w:val="18"/>
          <w:szCs w:val="16"/>
        </w:rPr>
        <w:t>Se reforman en los formatos 5 Estado Analítico de Ingresos Detallado – LDF, 7 a) Proyecciones de Ingresos – LDF y 7 c) Resultados de Ingresos – LDF, los incisos G y J de “Ingresos de Libre Disposición” y el inciso D de las “Transferencias Federales Etiquetadas”.</w:t>
      </w:r>
    </w:p>
    <w:p w:rsidR="00B56882" w:rsidRPr="00EC6A9E" w:rsidRDefault="00B56882" w:rsidP="00B56882">
      <w:pPr>
        <w:autoSpaceDE w:val="0"/>
        <w:autoSpaceDN w:val="0"/>
        <w:adjustRightInd w:val="0"/>
        <w:spacing w:after="240" w:line="276" w:lineRule="auto"/>
        <w:ind w:right="-1"/>
        <w:contextualSpacing/>
        <w:jc w:val="both"/>
        <w:rPr>
          <w:i/>
          <w:sz w:val="18"/>
          <w:szCs w:val="16"/>
        </w:rPr>
      </w:pPr>
      <w:r w:rsidRPr="00EC6A9E">
        <w:rPr>
          <w:rFonts w:cs="Arial"/>
          <w:b/>
          <w:bCs/>
        </w:rPr>
        <w:t xml:space="preserve">“Acuerdo por el que se reforma y adiciona el Formato de Conciliación entre los Ingresos Presupuestarios y Contables, así como entre los Egresos Presupuestarios y los Gastos Contables”. </w:t>
      </w:r>
      <w:r w:rsidRPr="00EC6A9E">
        <w:rPr>
          <w:i/>
          <w:sz w:val="18"/>
          <w:szCs w:val="16"/>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rsidR="00B56882" w:rsidRPr="00EC6A9E" w:rsidRDefault="00B56882" w:rsidP="00B56882">
      <w:pPr>
        <w:autoSpaceDE w:val="0"/>
        <w:autoSpaceDN w:val="0"/>
        <w:adjustRightInd w:val="0"/>
        <w:spacing w:after="240" w:line="276" w:lineRule="auto"/>
        <w:ind w:left="284" w:right="-1"/>
        <w:contextualSpacing/>
        <w:jc w:val="both"/>
        <w:rPr>
          <w:i/>
          <w:sz w:val="18"/>
          <w:szCs w:val="16"/>
        </w:rPr>
      </w:pPr>
    </w:p>
    <w:p w:rsidR="00B56882" w:rsidRPr="00EC6A9E" w:rsidRDefault="00B56882" w:rsidP="00B56882">
      <w:pPr>
        <w:spacing w:line="259" w:lineRule="auto"/>
        <w:jc w:val="both"/>
        <w:rPr>
          <w:i/>
          <w:sz w:val="18"/>
          <w:szCs w:val="16"/>
        </w:rPr>
      </w:pPr>
      <w:r w:rsidRPr="00EC6A9E">
        <w:rPr>
          <w:rFonts w:cs="Arial"/>
          <w:b/>
          <w:bCs/>
        </w:rPr>
        <w:t>“Acuerdo por el que se reforma el Clasificador por Rubros de Ingresos”. “</w:t>
      </w:r>
      <w:r w:rsidRPr="00EC6A9E">
        <w:rPr>
          <w:i/>
          <w:sz w:val="18"/>
          <w:szCs w:val="16"/>
        </w:rPr>
        <w:t>Se reforman el párrafo sexto de antecedentes y el párrafo catorce del punto A. ASPECTOS GENERALES”.</w:t>
      </w:r>
    </w:p>
    <w:p w:rsidR="00B56882" w:rsidRPr="00EC6A9E" w:rsidRDefault="00B56882" w:rsidP="00B56882">
      <w:pPr>
        <w:spacing w:after="0" w:line="276" w:lineRule="auto"/>
        <w:ind w:right="-1"/>
        <w:jc w:val="both"/>
        <w:rPr>
          <w:rFonts w:cs="Arial"/>
        </w:rPr>
      </w:pPr>
      <w:r w:rsidRPr="00EC6A9E">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rsidR="00B56882" w:rsidRPr="00EC6A9E" w:rsidRDefault="00B56882" w:rsidP="00B56882">
      <w:pPr>
        <w:spacing w:after="0" w:line="276" w:lineRule="auto"/>
        <w:ind w:right="-1"/>
        <w:jc w:val="both"/>
        <w:rPr>
          <w:rFonts w:cs="Arial"/>
        </w:rPr>
      </w:pPr>
    </w:p>
    <w:p w:rsidR="00B56882" w:rsidRPr="00EC6A9E" w:rsidRDefault="00B56882" w:rsidP="002F4CF9">
      <w:pPr>
        <w:numPr>
          <w:ilvl w:val="0"/>
          <w:numId w:val="48"/>
        </w:numPr>
        <w:autoSpaceDE w:val="0"/>
        <w:autoSpaceDN w:val="0"/>
        <w:adjustRightInd w:val="0"/>
        <w:spacing w:after="240" w:line="276" w:lineRule="auto"/>
        <w:ind w:left="426" w:right="-1" w:firstLine="0"/>
        <w:contextualSpacing/>
        <w:jc w:val="both"/>
        <w:rPr>
          <w:rFonts w:eastAsia="Times New Roman" w:cs="Times New Roman"/>
          <w:lang w:eastAsia="es-MX"/>
        </w:rPr>
      </w:pPr>
      <w:r w:rsidRPr="00EC6A9E">
        <w:rPr>
          <w:rFonts w:eastAsia="Times New Roman" w:cs="Times New Roman"/>
          <w:b/>
          <w:lang w:eastAsia="es-MX"/>
        </w:rPr>
        <w:t>Políticas de Contabilidad Significativas</w:t>
      </w:r>
    </w:p>
    <w:p w:rsidR="00B56882" w:rsidRPr="00EC6A9E" w:rsidRDefault="00B56882" w:rsidP="00B56882">
      <w:pPr>
        <w:autoSpaceDE w:val="0"/>
        <w:autoSpaceDN w:val="0"/>
        <w:adjustRightInd w:val="0"/>
        <w:spacing w:after="240" w:line="276" w:lineRule="auto"/>
        <w:ind w:left="284" w:right="-1"/>
        <w:contextualSpacing/>
        <w:jc w:val="both"/>
        <w:rPr>
          <w:rFonts w:eastAsia="Times New Roman" w:cs="Times New Roman"/>
          <w:lang w:eastAsia="es-MX"/>
        </w:rPr>
      </w:pPr>
    </w:p>
    <w:p w:rsidR="00B56882" w:rsidRPr="00EC6A9E" w:rsidRDefault="00B56882" w:rsidP="00B56882">
      <w:pPr>
        <w:numPr>
          <w:ilvl w:val="0"/>
          <w:numId w:val="24"/>
        </w:numPr>
        <w:spacing w:before="240" w:line="276" w:lineRule="auto"/>
        <w:jc w:val="both"/>
        <w:rPr>
          <w:rFonts w:cs="Arial"/>
        </w:rPr>
      </w:pPr>
      <w:r w:rsidRPr="00EC6A9E">
        <w:rPr>
          <w:rFonts w:cs="Arial"/>
        </w:rPr>
        <w:t>Los Estados Financieros se preparan tomando como base los Postulados Básicos de Contabilidad Gubernamental.</w:t>
      </w:r>
    </w:p>
    <w:p w:rsidR="00B56882" w:rsidRPr="00EC6A9E" w:rsidRDefault="00B56882" w:rsidP="00B56882">
      <w:pPr>
        <w:numPr>
          <w:ilvl w:val="0"/>
          <w:numId w:val="24"/>
        </w:numPr>
        <w:spacing w:line="259" w:lineRule="auto"/>
        <w:ind w:right="-1"/>
        <w:jc w:val="both"/>
        <w:rPr>
          <w:rFonts w:cs="Arial"/>
        </w:rPr>
      </w:pPr>
      <w:r w:rsidRPr="00EC6A9E">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B56882" w:rsidRPr="00EC6A9E" w:rsidRDefault="00B56882" w:rsidP="00B56882">
      <w:pPr>
        <w:numPr>
          <w:ilvl w:val="0"/>
          <w:numId w:val="24"/>
        </w:numPr>
        <w:spacing w:line="276" w:lineRule="auto"/>
        <w:ind w:right="-1"/>
        <w:jc w:val="both"/>
        <w:rPr>
          <w:rFonts w:cs="Arial"/>
        </w:rPr>
      </w:pPr>
      <w:r w:rsidRPr="00EC6A9E">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B56882" w:rsidRPr="00EC6A9E" w:rsidRDefault="00B56882" w:rsidP="00B56882">
      <w:pPr>
        <w:numPr>
          <w:ilvl w:val="0"/>
          <w:numId w:val="24"/>
        </w:numPr>
        <w:spacing w:line="276" w:lineRule="auto"/>
        <w:ind w:right="-1"/>
        <w:jc w:val="both"/>
        <w:rPr>
          <w:rFonts w:cs="Arial"/>
        </w:rPr>
      </w:pPr>
      <w:r w:rsidRPr="00EC6A9E">
        <w:rPr>
          <w:rFonts w:cs="Arial"/>
        </w:rPr>
        <w:t>La información de obra pública se clasifica en Obras en Proceso y Gasto Ejercido; y Obras Concluidas y su Costo. Así como la información de la nómina: Plantilla de personal.</w:t>
      </w:r>
    </w:p>
    <w:p w:rsidR="00B56882" w:rsidRPr="00EC6A9E" w:rsidRDefault="00B56882" w:rsidP="00B56882">
      <w:pPr>
        <w:numPr>
          <w:ilvl w:val="0"/>
          <w:numId w:val="24"/>
        </w:numPr>
        <w:spacing w:line="276" w:lineRule="auto"/>
        <w:ind w:right="-1"/>
        <w:jc w:val="both"/>
        <w:rPr>
          <w:rFonts w:cs="Arial"/>
        </w:rPr>
      </w:pPr>
      <w:r w:rsidRPr="00EC6A9E">
        <w:rPr>
          <w:rFonts w:cs="Arial"/>
        </w:rPr>
        <w:t>Respecto a la clasificación del pasivo, se considerará a corto plazo el que vence dentro del ejercicio fiscal correspondiente y, a largo plazo el que venza en ejercicios fiscales posteriores al que corresponda la información.</w:t>
      </w:r>
    </w:p>
    <w:p w:rsidR="00B56882" w:rsidRPr="00EC6A9E" w:rsidRDefault="00B56882" w:rsidP="00B56882">
      <w:pPr>
        <w:numPr>
          <w:ilvl w:val="0"/>
          <w:numId w:val="24"/>
        </w:numPr>
        <w:spacing w:line="276" w:lineRule="auto"/>
        <w:ind w:right="-1"/>
        <w:jc w:val="both"/>
        <w:rPr>
          <w:rFonts w:cs="Arial"/>
        </w:rPr>
      </w:pPr>
      <w:r w:rsidRPr="00EC6A9E">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B56882" w:rsidRPr="00EC6A9E" w:rsidRDefault="00B56882" w:rsidP="00B56882">
      <w:pPr>
        <w:numPr>
          <w:ilvl w:val="0"/>
          <w:numId w:val="24"/>
        </w:numPr>
        <w:spacing w:line="276" w:lineRule="auto"/>
        <w:ind w:right="-1"/>
        <w:jc w:val="both"/>
        <w:rPr>
          <w:rFonts w:cs="Arial"/>
        </w:rPr>
      </w:pPr>
      <w:r w:rsidRPr="00EC6A9E">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rsidR="00B56882" w:rsidRPr="00EC6A9E" w:rsidRDefault="00B56882" w:rsidP="00B56882">
      <w:pPr>
        <w:numPr>
          <w:ilvl w:val="0"/>
          <w:numId w:val="24"/>
        </w:numPr>
        <w:spacing w:line="276" w:lineRule="auto"/>
        <w:ind w:right="-1"/>
        <w:jc w:val="both"/>
        <w:rPr>
          <w:rFonts w:cs="Arial"/>
        </w:rPr>
      </w:pPr>
      <w:r w:rsidRPr="00EC6A9E">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B56882" w:rsidRPr="00EC6A9E" w:rsidRDefault="00B56882" w:rsidP="00B56882">
      <w:pPr>
        <w:numPr>
          <w:ilvl w:val="0"/>
          <w:numId w:val="24"/>
        </w:numPr>
        <w:spacing w:line="276" w:lineRule="auto"/>
        <w:ind w:right="-1"/>
        <w:jc w:val="both"/>
        <w:rPr>
          <w:rFonts w:cs="Arial"/>
        </w:rPr>
      </w:pPr>
      <w:r w:rsidRPr="00EC6A9E">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B56882" w:rsidRDefault="00B56882" w:rsidP="00B56882">
      <w:pPr>
        <w:numPr>
          <w:ilvl w:val="0"/>
          <w:numId w:val="24"/>
        </w:numPr>
        <w:spacing w:line="276" w:lineRule="auto"/>
        <w:ind w:right="-1"/>
        <w:jc w:val="both"/>
        <w:rPr>
          <w:rFonts w:cs="Arial"/>
        </w:rPr>
      </w:pPr>
      <w:r w:rsidRPr="00EC6A9E">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B56882" w:rsidRPr="00EC6A9E" w:rsidRDefault="00B56882" w:rsidP="00B56882">
      <w:pPr>
        <w:pStyle w:val="Prrafodelista"/>
        <w:numPr>
          <w:ilvl w:val="0"/>
          <w:numId w:val="12"/>
        </w:numPr>
        <w:spacing w:after="240" w:line="276" w:lineRule="auto"/>
        <w:ind w:right="-1"/>
        <w:jc w:val="both"/>
        <w:rPr>
          <w:rFonts w:ascii="HelveticaNeueLT Std" w:hAnsi="HelveticaNeueLT Std"/>
          <w:b/>
          <w:sz w:val="20"/>
          <w:szCs w:val="20"/>
        </w:rPr>
      </w:pPr>
      <w:r w:rsidRPr="00EC6A9E">
        <w:rPr>
          <w:rFonts w:ascii="HelveticaNeueLT Std" w:hAnsi="HelveticaNeueLT Std"/>
          <w:b/>
          <w:sz w:val="20"/>
          <w:szCs w:val="20"/>
        </w:rPr>
        <w:t>Posición en Moneda Extranjera y Protección por Riesgo Cambiario</w:t>
      </w:r>
    </w:p>
    <w:p w:rsidR="00B56882" w:rsidRDefault="00B56882" w:rsidP="00B56882">
      <w:pPr>
        <w:pStyle w:val="Texto"/>
        <w:spacing w:line="276" w:lineRule="auto"/>
        <w:ind w:right="-1" w:firstLine="0"/>
        <w:rPr>
          <w:rFonts w:ascii="HelveticaNeueLT Std" w:hAnsi="HelveticaNeueLT Std"/>
          <w:sz w:val="20"/>
        </w:rPr>
      </w:pPr>
      <w:r w:rsidRPr="00EC6A9E">
        <w:rPr>
          <w:rFonts w:ascii="HelveticaNeueLT Std" w:hAnsi="HelveticaNeueLT Std"/>
          <w:sz w:val="20"/>
        </w:rPr>
        <w:t>Los estados financieros antes mencionados se presentan en moneda de informe peso mexicano, que es igual a la moneda de registro y a su moneda funcional, por lo tanto, este punto no es aplicable para la entidad.</w:t>
      </w:r>
    </w:p>
    <w:p w:rsidR="00B56882" w:rsidRDefault="00B56882" w:rsidP="00B56882">
      <w:pPr>
        <w:pStyle w:val="Texto"/>
        <w:spacing w:line="276" w:lineRule="auto"/>
        <w:ind w:right="-1" w:firstLine="0"/>
        <w:rPr>
          <w:rFonts w:ascii="HelveticaNeueLT Std" w:hAnsi="HelveticaNeueLT Std"/>
          <w:sz w:val="20"/>
        </w:rPr>
      </w:pPr>
    </w:p>
    <w:p w:rsidR="00B56882" w:rsidRPr="007342A4" w:rsidRDefault="00B56882" w:rsidP="00B56882">
      <w:pPr>
        <w:pStyle w:val="Texto"/>
        <w:numPr>
          <w:ilvl w:val="0"/>
          <w:numId w:val="12"/>
        </w:numPr>
        <w:spacing w:line="276" w:lineRule="auto"/>
        <w:ind w:right="-1"/>
        <w:rPr>
          <w:rFonts w:ascii="HelveticaNeueLT Std" w:hAnsi="HelveticaNeueLT Std"/>
          <w:b/>
          <w:sz w:val="20"/>
        </w:rPr>
      </w:pPr>
      <w:r w:rsidRPr="007342A4">
        <w:rPr>
          <w:rFonts w:ascii="HelveticaNeueLT Std" w:hAnsi="HelveticaNeueLT Std"/>
          <w:b/>
          <w:sz w:val="20"/>
        </w:rPr>
        <w:t>Reporte Analítico del Activo</w:t>
      </w:r>
    </w:p>
    <w:p w:rsidR="00B56882" w:rsidRPr="007342A4" w:rsidRDefault="00B56882" w:rsidP="00B56882">
      <w:pPr>
        <w:pStyle w:val="Texto"/>
        <w:spacing w:after="0" w:line="240" w:lineRule="exact"/>
        <w:ind w:left="644" w:firstLine="0"/>
        <w:rPr>
          <w:rFonts w:ascii="HelveticaNeueLT Std" w:hAnsi="HelveticaNeueLT Std"/>
          <w:sz w:val="20"/>
          <w:lang w:val="es-MX"/>
        </w:rPr>
      </w:pPr>
      <w:r w:rsidRPr="007342A4">
        <w:rPr>
          <w:rFonts w:ascii="HelveticaNeueLT Std" w:hAnsi="HelveticaNeueLT Std"/>
          <w:noProof/>
          <w:sz w:val="20"/>
          <w:lang w:val="es-MX" w:eastAsia="es-MX"/>
        </w:rPr>
        <mc:AlternateContent>
          <mc:Choice Requires="wpc">
            <w:drawing>
              <wp:anchor distT="0" distB="0" distL="114300" distR="114300" simplePos="0" relativeHeight="251661312" behindDoc="0" locked="0" layoutInCell="1" allowOverlap="1" wp14:anchorId="750E677A" wp14:editId="44A4A4C3">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296762" id="Lienzo 480" o:spid="_x0000_s1026" editas="canvas" style="position:absolute;margin-left:-54.5pt;margin-top:-585.2pt;width:509.25pt;height:151.55pt;z-index:251661312"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r8UA&#10;AADcAAAADwAAAGRycy9kb3ducmV2LnhtbESPzWrDMBCE74W8g9hCL6WRWxq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OvxQAAANwAAAAPAAAAAAAAAAAAAAAAAJgCAABkcnMv&#10;ZG93bnJldi54bWxQSwUGAAAAAAQABAD1AAAAigM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YscMAAADcAAAADwAAAGRycy9kb3ducmV2LnhtbERPTWsCMRC9F/wPYQq9FM0qRWRrlNpa&#10;qSCIVvE6bsbdxc1kSaKu/npzEDw+3vdw3JhKnMn50rKCbicBQZxZXXKuYPP/2x6A8AFZY2WZFFzJ&#10;w3jUehliqu2FV3Reh1zEEPYpKihCqFMpfVaQQd+xNXHkDtYZDBG6XGqHlxhuKtlLkr40WHJsKLCm&#10;74Ky4/pkFOy68+y22rjJbLJ7X/zwfjndyoNSb6/N1yeIQE14ih/uP63gYxD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GLHDAAAA3AAAAA8AAAAAAAAAAAAA&#10;AAAAoQIAAGRycy9kb3ducmV2LnhtbFBLBQYAAAAABAAEAPkAAACRAw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H3cQA&#10;AADcAAAADwAAAGRycy9kb3ducmV2LnhtbESP0WoCMRRE3wv+Q7hCX4pmLVV0NYqIQvtWVz/gsrlu&#10;Vjc3SxJ17dc3hYKPw8ycYRarzjbiRj7UjhWMhhkI4tLpmisFx8NuMAURIrLGxjEpeFCA1bL3ssBc&#10;uzvv6VbESiQIhxwVmBjbXMpQGrIYhq4lTt7JeYsxSV9J7fGe4LaR71k2kRZrTgsGW9oYKi/F1SqQ&#10;529dy3Y78efT20XPzNcYf8ZKvfa79RxEpC4+w//tT63gYzq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R93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CasUAAADcAAAADwAAAGRycy9kb3ducmV2LnhtbERPW2vCMBR+H+w/hDPYi8zUMWTrjDIv&#10;EwVh1Au+njXHtqw5KUnU6q83D8IeP777YNSaWpzI+cqygl43AUGcW11xoWC7+X55B+EDssbaMim4&#10;kIfR8PFhgKm2Z87otA6FiCHsU1RQhtCkUvq8JIO+axviyB2sMxgidIXUDs8x3NTyNUn60mDFsaHE&#10;hiYl5X/ro1Gw7y3za7Z14/l431lN+fdntpMHpZ6f2q9PEIHa8C++uxdawdtH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6CasUAAADcAAAADwAAAAAAAAAA&#10;AAAAAAChAgAAZHJzL2Rvd25yZXYueG1sUEsFBgAAAAAEAAQA+QAAAJMDA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BsQA&#10;AADcAAAADwAAAGRycy9kb3ducmV2LnhtbESP0WoCMRRE34X+Q7gFX0SzShVdN0opFupba/2Ay+bu&#10;ZnVzsyRRt/36Rij4OMzMGabY9rYVV/KhcaxgOslAEJdON1wrOH6/j5cgQkTW2DomBT8UYLt5GhSY&#10;a3fjL7oeYi0ShEOOCkyMXS5lKA1ZDBPXESevct5iTNLXUnu8Jbht5SzLFtJiw2nBYEdvhsrz4WIV&#10;yNOnbmS3W/hTNTrrldnP8Xeu1PC5f12DiNTHR/i//aEVvKy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3Qb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5hscAAADcAAAADwAAAGRycy9kb3ducmV2LnhtbESP3WoCMRSE7wu+QziCN0WzSim6GkVb&#10;LS0UxD+8PW6Ou4ubkyWJuu3TN4VCL4eZ+YaZzBpTiRs5X1pW0O8lIIgzq0vOFex3q+4QhA/IGivL&#10;pOCLPMymrYcJptreeUO3bchFhLBPUUERQp1K6bOCDPqerYmjd7bOYIjS5VI7vEe4qeQgSZ6lwZLj&#10;QoE1vRSUXbZXo+DY/8i+N3u3eFscHz9f+bReHuRZqU67mY9BBGrCf/iv/a4VPI0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cLmG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m6sUA&#10;AADcAAAADwAAAGRycy9kb3ducmV2LnhtbESP3WoCMRSE74W+QziF3kjNtv7Q3RqlSIV6Z20f4LA5&#10;u1ndnCxJ1K1PbwqCl8PMfMPMl71txYl8aBwreBllIIhLpxuuFfz+rJ/fQISIrLF1TAr+KMBy8TCY&#10;Y6Hdmb/ptIu1SBAOBSowMXaFlKE0ZDGMXEecvMp5izFJX0vt8ZzgtpWvWTaTFhtOCwY7WhkqD7uj&#10;VSD3W93I7nPm99XwoHOzmeJlqtTTY//xDiJSH+/hW/tLK5jkY/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bqxQAAANwAAAAPAAAAAAAAAAAAAAAAAJgCAABkcnMv&#10;ZG93bnJldi54bWxQSwUGAAAAAAQABAD1AAAAigM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EaccAAADcAAAADwAAAGRycy9kb3ducmV2LnhtbESPW2sCMRSE3wv9D+EUfBHNKlJ0axRv&#10;LS0UxBu+nm6Ou4ubkyWJuu2vbwpCH4eZ+YYZTxtTiSs5X1pW0OsmIIgzq0vOFex3r50hCB+QNVaW&#10;ScE3eZhOHh/GmGp74w1dtyEXEcI+RQVFCHUqpc8KMui7tiaO3sk6gyFKl0vt8BbhppL9JHmWBkuO&#10;CwXWtCgoO28vRsGx95H9bPZu/jY/tj+X/LVeHeRJqdZTM3sBEagJ/+F7+10rGIw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YRpxwAAANwAAAAPAAAAAAAA&#10;AAAAAAAAAKECAABkcnMvZG93bnJldi54bWxQSwUGAAAAAAQABAD5AAAAlQM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BcMA&#10;AADcAAAADwAAAGRycy9kb3ducmV2LnhtbESP0WoCMRRE34X+Q7iCL6JZxRVdjVKkhfpmbT/gsrlu&#10;Vjc3S5Lqtl9vBKGPw8ycYdbbzjbiSj7UjhVMxhkI4tLpmisF31/vowWIEJE1No5JwS8F2G5eemss&#10;tLvxJ12PsRIJwqFABSbGtpAylIYshrFriZN3ct5iTNJXUnu8Jbht5DTL5tJizWnBYEs7Q+Xl+GMV&#10;yPNB17J9m/vzaXjRS7PP8S9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bBc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hccAAADcAAAADwAAAGRycy9kb3ducmV2LnhtbESPW2sCMRSE34X+h3AKvhTNKkV0axRv&#10;LS0UxBu+nm6Ou4ubkyWJuu2vbwoFH4eZ+YYZTxtTiSs5X1pW0OsmIIgzq0vOFex3r50hCB+QNVaW&#10;ScE3eZhOHlpjTLW98Yau25CLCGGfooIihDqV0mcFGfRdWxNH72SdwRCly6V2eItwU8l+kgykwZLj&#10;QoE1LQrKztuLUXDsfWQ/m72bv82PT59L/lqvDvKkVPuxmb2ACNSEe/i//a4VPI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7+FxwAAANwAAAAPAAAAAAAA&#10;AAAAAAAAAKECAABkcnMvZG93bnJldi54bWxQSwUGAAAAAAQABAD5AAAAlQM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g6cQA&#10;AADcAAAADwAAAGRycy9kb3ducmV2LnhtbESP0WoCMRRE34X+Q7iCL6VmK9XqahQRBftmrR9w2Vw3&#10;q5ubJYm69utNoeDjMDNnmNmitbW4kg+VYwXv/QwEceF0xaWCw8/mbQwiRGSNtWNScKcAi/lLZ4a5&#10;djf+pus+liJBOOSowMTY5FKGwpDF0HcNcfKOzluMSfpSao+3BLe1HGTZSFqsOC0YbGhlqDjvL1aB&#10;PO10JZv1yJ+Or2c9MV9D/B0q1eu2yymISG18hv/bW63gY/I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4On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ObMUAAADcAAAADwAAAGRycy9kb3ducmV2LnhtbERPW2vCMBR+H+w/hDPYi8zUMWTrjDIv&#10;EwVh1Au+njXHtqw5KUnU6q83D8IeP777YNSaWpzI+cqygl43AUGcW11xoWC7+X55B+EDssbaMim4&#10;kIfR8PFhgKm2Z87otA6FiCHsU1RQhtCkUvq8JIO+axviyB2sMxgidIXUDs8x3NTyNUn60mDFsaHE&#10;hiYl5X/ro1Gw7y3za7Z14/l431lN+fdntpMHpZ6f2q9PEIHa8C++uxdawdtH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iObMUAAADcAAAADwAAAAAAAAAA&#10;AAAAAAChAgAAZHJzL2Rvd25yZXYueG1sUEsFBgAAAAAEAAQA+QAAAJMDA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RAMQA&#10;AADcAAAADwAAAGRycy9kb3ducmV2LnhtbESP3WoCMRSE7wu+QziF3pSabanS3RpFioK9qz8PcNgc&#10;N/uTkyWJuvr0TaHg5TAz3zCzxWA7cSYfascKXscZCOLS6ZorBYf9+uUDRIjIGjvHpOBKARbz0cMM&#10;C+0uvKXzLlYiQTgUqMDE2BdShtKQxTB2PXHyjs5bjEn6SmqPlwS3nXzLsqm0WHNaMNjTl6Gy3Z2s&#10;Atn86Fr2q6lvjs+tzs33BG8TpZ4eh+UniEhDvIf/2xut4D3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0QD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UYcMMAAADcAAAADwAAAGRycy9kb3ducmV2LnhtbERPy2oCMRTdC/2HcAvdiGYsW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FGHDDAAAA3AAAAA8AAAAAAAAAAAAA&#10;AAAAoQIAAGRycy9kb3ducmV2LnhtbFBLBQYAAAAABAAEAPkAAACRAw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HHMMA&#10;AADcAAAADwAAAGRycy9kb3ducmV2LnhtbESP3WoCMRSE74W+QziCN6JZhZW6GqWUFuqdP32Aw+a4&#10;Wd2cLEmqW5/eCIKXw8x8wyzXnW3EhXyoHSuYjDMQxKXTNVcKfg/fo3cQISJrbByTgn8KsF699ZZY&#10;aHflHV32sRIJwqFABSbGtpAylIYshrFriZN3dN5iTNJXUnu8Jrht5DTLZtJizWnBYEufhsrz/s8q&#10;kKetrmX7NfOn4/Cs52aT4y1XatDvPhYgInXxFX62f7SCPJv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HHMMAAADcAAAADwAAAAAAAAAAAAAAAACYAgAAZHJzL2Rv&#10;d25yZXYueG1sUEsFBgAAAAAEAAQA9QAAAIgDA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jnMcAAADcAAAADwAAAGRycy9kb3ducmV2LnhtbESPW2sCMRSE3wv9D+EUfCmaVaiU1Sj1&#10;ViwIxUvx9XRz3F26OVmSqKu/3hQEH4eZ+YYZjhtTiRM5X1pW0O0kIIgzq0vOFey2i/Y7CB+QNVaW&#10;ScGFPIxHz09DTLU985pOm5CLCGGfooIihDqV0mcFGfQdWxNH72CdwRCly6V2eI5wU8lekvSlwZLj&#10;QoE1TQvK/jZHo2Df/cqu652bfE72r6sZ/37Pf+RBqdZL8zEAEagJj/C9vdQK3pIe/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yOc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88MQA&#10;AADcAAAADwAAAGRycy9kb3ducmV2LnhtbESPUWvCMBSF3wX/Q7jCXmSmblS22igiDra3qfsBl+a2&#10;qTY3JYna7dcvg4GPh3POdzjlerCduJIPrWMF81kGgrhyuuVGwdfx7fEFRIjIGjvHpOCbAqxX41GJ&#10;hXY33tP1EBuRIBwKVGBi7AspQ2XIYpi5njh5tfMWY5K+kdrjLcFtJ5+ybCEttpwWDPa0NVSdDxer&#10;QJ4+dSv73cKf6ulZv5qPHH9ypR4mw2YJItIQ7+H/9rtWkG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6fPD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ec8cAAADcAAAADwAAAGRycy9kb3ducmV2LnhtbESP3WoCMRSE7wu+QziCN0WzllZkNYq2&#10;WioI4h/eHjfH3aWbkyWJuu3TN4VCL4eZ+YYZTxtTiRs5X1pW0O8lIIgzq0vOFRz2y+4QhA/IGivL&#10;pOCLPEwnrYcxptreeUu3XchFhLBPUUERQp1K6bOCDPqerYmjd7HOYIjS5VI7vEe4qeRTkgykwZLj&#10;QoE1vRaUfe6uRsGpv8q+twc3f5+fHtdvfN4sjvKiVKfdzEYgAjXhP/zX/tAKXpJ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h5zxwAAANwAAAAPAAAAAAAA&#10;AAAAAAAAAKECAABkcnMvZG93bnJldi54bWxQSwUGAAAAAAQABAD5AAAAlQM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BH8MA&#10;AADcAAAADwAAAGRycy9kb3ducmV2LnhtbESP0WoCMRRE3wX/IVyhL6LZFlbqahQRhfZNrR9w2Vw3&#10;q5ubJUl169ebguDjMDNnmPmys424kg+1YwXv4wwEcel0zZWC48929AkiRGSNjWNS8EcBlot+b46F&#10;djfe0/UQK5EgHApUYGJsCylDachiGLuWOHkn5y3GJH0ltcdbgttGfmTZRFqsOS0YbGltqLwcfq0C&#10;ed7pWrabiT+fhhc9Nd853nOl3gbdagYiUhdf4Wf7SyvIsxz+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9BH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ln8YAAADcAAAADwAAAGRycy9kb3ducmV2LnhtbESPQWsCMRSE7wX/Q3hCL6VmFRT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Z/GAAAA3AAAAA8AAAAAAAAA&#10;AAAAAAAAoQIAAGRycy9kb3ducmV2LnhtbFBLBQYAAAAABAAEAPkAAACUAw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688QA&#10;AADcAAAADwAAAGRycy9kb3ducmV2LnhtbESPUWvCMBSF34X9h3AHvshMJ9RtXaOM4UDf1O0HXJrb&#10;ptrclCRq5683g4GPh3POdzjlcrCdOJMPrWMFz9MMBHHldMuNgp/vr6dXECEia+wck4JfCrBcPIxK&#10;LLS78I7O+9iIBOFQoAITY19IGSpDFsPU9cTJq523GJP0jdQeLwluOznLsrm02HJaMNjTp6HquD9Z&#10;BfKw1a3sV3N/qCdH/WY2OV5zpcaPw8c7iEhDvIf/22utIM9e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evP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UdsMAAADcAAAADwAAAGRycy9kb3ducmV2LnhtbERPy2oCMRTdC/2HcAvdiGYsWM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zFHbDAAAA3AAAAA8AAAAAAAAAAAAA&#10;AAAAoQIAAGRycy9kb3ducmV2LnhtbFBLBQYAAAAABAAEAPkAAACRAw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GsMA&#10;AADcAAAADwAAAGRycy9kb3ducmV2LnhtbESP3WoCMRSE7wu+QzhCb4pmW1jR1SgiCvau/jzAYXPc&#10;rG5OliTV1ac3hYKXw8x8w8wWnW3ElXyoHSv4HGYgiEuna64UHA+bwRhEiMgaG8ek4E4BFvPe2wwL&#10;7W68o+s+ViJBOBSowMTYFlKG0pDFMHQtcfJOzluMSfpKao+3BLeN/MqykbRYc1ow2NLKUHnZ/1oF&#10;8vyja9muR/58+rjoifnO8ZEr9d7vllMQkbr4Cv+3t1pBnk3g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LGsMAAADcAAAADwAAAAAAAAAAAAAAAACYAgAAZHJzL2Rv&#10;d25yZXYueG1sUEsFBgAAAAAEAAQA9QAAAIgDA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OrcQAAADcAAAADwAAAGRycy9kb3ducmV2LnhtbERPXWvCMBR9F/Yfwh34IjOtoI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I6txAAAANwAAAAPAAAAAAAAAAAA&#10;AAAAAKECAABkcnMvZG93bnJldi54bWxQSwUGAAAAAAQABAD5AAAAkg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RwcQA&#10;AADcAAAADwAAAGRycy9kb3ducmV2LnhtbESP3WoCMRSE74W+QzhCb6Rmt7BiV6MUUWjv6s8DHDbH&#10;zermZEmibn16Uyh4OczMN8x82dtWXMmHxrGCfJyBIK6cbrhWcNhv3qYgQkTW2DomBb8UYLl4Gcyx&#10;1O7GW7ruYi0ShEOJCkyMXSllqAxZDGPXESfv6LzFmKSvpfZ4S3Dbyvcsm0iLDacFgx2tDFXn3cUq&#10;kKcf3chuPfGn4+isP8x3gfdCqddh/zkDEamPz/B/+0srKPIc/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0cH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1QccAAADcAAAADwAAAGRycy9kb3ducmV2LnhtbESP3WoCMRSE7wu+QzhCb0rNrlA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rVB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qLcQA&#10;AADcAAAADwAAAGRycy9kb3ducmV2LnhtbESP3WoCMRSE74W+QziF3kjN2rJSV6OIVGjvrPoAh81x&#10;sz85WZJU1z59UxB6OczMN8xyPdhOXMiH2rGC6SQDQVw6XXOl4HTcPb+BCBFZY+eYFNwowHr1MFpi&#10;od2Vv+hyiJVIEA4FKjAx9oWUoTRkMUxcT5y8s/MWY5K+ktrjNcFtJ1+ybCYt1pwWDPa0NVS2h2+r&#10;QDZ7Xcv+feab87jVc/OZ40+u1NPjsFmAiDTE//C9/aEV5NNX+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j6i3EAAAA3AAAAA8AAAAAAAAAAAAAAAAAmAIAAGRycy9k&#10;b3ducmV2LnhtbFBLBQYAAAAABAAEAPUAAACJAw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Irs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zS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eIrsgAAADcAAAADwAAAAAA&#10;AAAAAAAAAAChAgAAZHJzL2Rvd25yZXYueG1sUEsFBgAAAAAEAAQA+QAAAJY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XwsMA&#10;AADcAAAADwAAAGRycy9kb3ducmV2LnhtbESP3WoCMRSE7wu+QzhCb4pmLazoahQpCvau/jzAYXPc&#10;rG5OliTV1ac3hYKXw8x8w8yXnW3ElXyoHSsYDTMQxKXTNVcKjofNYAIiRGSNjWNScKcAy0XvbY6F&#10;djfe0XUfK5EgHApUYGJsCylDachiGLqWOHkn5y3GJH0ltcdbgttGfmbZWFqsOS0YbOnLUHnZ/1oF&#10;8vyja9mux/58+rjoqfnO8ZEr9d7vVjMQkbr4Cv+3t1pBPsrh7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bXwsMAAADcAAAADwAAAAAAAAAAAAAAAACYAgAAZHJzL2Rv&#10;d25yZXYueG1sUEsFBgAAAAAEAAQA9QAAAIgDAAAAAA==&#10;" fillcolor="#d4d4d4" stroked="f"/>
              </v:group>
            </w:pict>
          </mc:Fallback>
        </mc:AlternateContent>
      </w:r>
      <w:r w:rsidRPr="007342A4">
        <w:rPr>
          <w:rFonts w:ascii="HelveticaNeueLT Std" w:hAnsi="HelveticaNeueLT Std"/>
          <w:sz w:val="20"/>
          <w:lang w:val="es-MX"/>
        </w:rPr>
        <w:t>En el “</w:t>
      </w:r>
      <w:r w:rsidRPr="007342A4">
        <w:rPr>
          <w:rFonts w:ascii="HelveticaNeueLT Std" w:hAnsi="HelveticaNeueLT Std"/>
          <w:b/>
          <w:sz w:val="20"/>
          <w:lang w:val="es-MX"/>
        </w:rPr>
        <w:t xml:space="preserve">Estado Analítico del Activo”, </w:t>
      </w:r>
      <w:r w:rsidRPr="007342A4">
        <w:rPr>
          <w:rFonts w:ascii="HelveticaNeueLT Std" w:hAnsi="HelveticaNeueLT Std"/>
          <w:sz w:val="20"/>
          <w:lang w:val="es-MX"/>
        </w:rPr>
        <w:t>se observa el comportamiento de los fondos, valores y bienes identificados y cuantificados en términos monetarios, que dispone el Instituto para realizar sus actividades, los cuales fueron comentados en párrafos anteriores y los</w:t>
      </w:r>
      <w:r w:rsidRPr="007342A4">
        <w:rPr>
          <w:rFonts w:ascii="HelveticaNeueLT Std" w:hAnsi="HelveticaNeueLT Std"/>
          <w:b/>
          <w:sz w:val="20"/>
          <w:lang w:val="es-MX"/>
        </w:rPr>
        <w:t xml:space="preserve"> bienes muebles e inmuebles, </w:t>
      </w:r>
      <w:r w:rsidRPr="007342A4">
        <w:rPr>
          <w:rFonts w:ascii="HelveticaNeueLT Std" w:hAnsi="HelveticaNeueLT Std"/>
          <w:sz w:val="20"/>
          <w:lang w:val="es-MX"/>
        </w:rPr>
        <w:t>como</w:t>
      </w:r>
      <w:r w:rsidRPr="007342A4">
        <w:rPr>
          <w:rFonts w:ascii="HelveticaNeueLT Std" w:hAnsi="HelveticaNeueLT Std"/>
          <w:b/>
          <w:sz w:val="20"/>
          <w:lang w:val="es-MX"/>
        </w:rPr>
        <w:t xml:space="preserve"> </w:t>
      </w:r>
      <w:r w:rsidRPr="007342A4">
        <w:rPr>
          <w:rFonts w:ascii="HelveticaNeueLT Std" w:hAnsi="HelveticaNeueLT Std"/>
          <w:sz w:val="20"/>
          <w:lang w:val="es-MX"/>
        </w:rPr>
        <w:t>se detallan a continuación:</w:t>
      </w:r>
    </w:p>
    <w:p w:rsidR="00B56882" w:rsidRPr="003E7D79" w:rsidRDefault="00B56882" w:rsidP="00B56882">
      <w:pPr>
        <w:pStyle w:val="Prrafodelista"/>
        <w:tabs>
          <w:tab w:val="left" w:pos="7080"/>
        </w:tabs>
        <w:spacing w:after="101" w:line="276" w:lineRule="auto"/>
        <w:ind w:left="644" w:right="-1"/>
        <w:rPr>
          <w:rFonts w:ascii="HelveticaNeueLT Std" w:hAnsi="HelveticaNeueLT Std"/>
          <w:b/>
          <w:sz w:val="20"/>
          <w:szCs w:val="20"/>
          <w:highlight w:val="yellow"/>
        </w:rPr>
      </w:pPr>
    </w:p>
    <w:p w:rsidR="00B56882" w:rsidRPr="003E7D79" w:rsidRDefault="00B56882" w:rsidP="00B56882">
      <w:pPr>
        <w:pStyle w:val="Prrafodelista"/>
        <w:tabs>
          <w:tab w:val="left" w:pos="7080"/>
        </w:tabs>
        <w:spacing w:after="101" w:line="276" w:lineRule="auto"/>
        <w:ind w:left="644" w:right="-1"/>
        <w:jc w:val="center"/>
        <w:rPr>
          <w:rFonts w:ascii="HelveticaNeueLT Std" w:hAnsi="HelveticaNeueLT Std"/>
          <w:b/>
          <w:sz w:val="20"/>
          <w:szCs w:val="20"/>
          <w:highlight w:val="yellow"/>
        </w:rPr>
      </w:pPr>
    </w:p>
    <w:p w:rsidR="00B56882" w:rsidRDefault="00B56882" w:rsidP="00B56882">
      <w:pPr>
        <w:pStyle w:val="Texto"/>
        <w:spacing w:line="276" w:lineRule="auto"/>
        <w:ind w:right="-1" w:firstLine="0"/>
        <w:jc w:val="center"/>
        <w:rPr>
          <w:rFonts w:ascii="HelveticaNeueLT Std" w:hAnsi="HelveticaNeueLT Std"/>
          <w:b/>
          <w:sz w:val="20"/>
          <w:lang w:val="es-MX"/>
        </w:rPr>
      </w:pPr>
      <w:r w:rsidRPr="004C5A84">
        <w:rPr>
          <w:noProof/>
          <w:lang w:val="es-MX" w:eastAsia="es-MX"/>
        </w:rPr>
        <w:drawing>
          <wp:inline distT="0" distB="0" distL="0" distR="0" wp14:anchorId="7B51A6FA" wp14:editId="067FB25F">
            <wp:extent cx="5162550" cy="1866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2550" cy="1866900"/>
                    </a:xfrm>
                    <a:prstGeom prst="rect">
                      <a:avLst/>
                    </a:prstGeom>
                    <a:noFill/>
                    <a:ln>
                      <a:noFill/>
                    </a:ln>
                  </pic:spPr>
                </pic:pic>
              </a:graphicData>
            </a:graphic>
          </wp:inline>
        </w:drawing>
      </w:r>
    </w:p>
    <w:p w:rsidR="00B56882" w:rsidRPr="007342A4" w:rsidRDefault="00B56882" w:rsidP="00B56882">
      <w:pPr>
        <w:pStyle w:val="Texto"/>
        <w:spacing w:line="276" w:lineRule="auto"/>
        <w:ind w:right="-1" w:firstLine="0"/>
        <w:rPr>
          <w:rFonts w:ascii="HelveticaNeueLT Std" w:hAnsi="HelveticaNeueLT Std"/>
          <w:sz w:val="20"/>
          <w:lang w:val="es-MX"/>
        </w:rPr>
      </w:pPr>
      <w:r w:rsidRPr="007342A4">
        <w:rPr>
          <w:rFonts w:ascii="HelveticaNeueLT Std" w:hAnsi="HelveticaNeueLT Std"/>
          <w:b/>
          <w:sz w:val="20"/>
          <w:lang w:val="es-MX"/>
        </w:rPr>
        <w:t xml:space="preserve">Depreciación. - </w:t>
      </w:r>
      <w:r w:rsidRPr="007342A4">
        <w:rPr>
          <w:rFonts w:ascii="HelveticaNeueLT Std" w:hAnsi="HelveticaNeueLT Std"/>
          <w:sz w:val="20"/>
          <w:lang w:val="es-MX"/>
        </w:rPr>
        <w:t>Se calcula por el método de línea recta a partir del mes siguiente al de su adquisición, aplicando los porcentajes siguientes:</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755"/>
      </w:tblGrid>
      <w:tr w:rsidR="00B56882" w:rsidRPr="003E7D79" w:rsidTr="00833D66">
        <w:trPr>
          <w:trHeight w:val="872"/>
        </w:trPr>
        <w:tc>
          <w:tcPr>
            <w:tcW w:w="4815" w:type="dxa"/>
          </w:tcPr>
          <w:p w:rsidR="00B56882" w:rsidRPr="007342A4" w:rsidRDefault="00B56882" w:rsidP="00F653D3">
            <w:pPr>
              <w:spacing w:line="276" w:lineRule="auto"/>
              <w:ind w:right="-1"/>
              <w:jc w:val="both"/>
              <w:rPr>
                <w:rFonts w:ascii="HelveticaNeueLT Std" w:eastAsia="Times New Roman" w:hAnsi="HelveticaNeueLT Std"/>
                <w:b/>
                <w:color w:val="000000"/>
                <w:u w:val="single"/>
              </w:rPr>
            </w:pPr>
            <w:r w:rsidRPr="007342A4">
              <w:rPr>
                <w:rFonts w:ascii="HelveticaNeueLT Std" w:eastAsia="Times New Roman" w:hAnsi="HelveticaNeueLT Std"/>
                <w:b/>
                <w:color w:val="000000"/>
                <w:u w:val="single"/>
              </w:rPr>
              <w:t>Concepto</w:t>
            </w:r>
          </w:p>
          <w:p w:rsidR="00B56882" w:rsidRPr="007342A4" w:rsidRDefault="00B56882" w:rsidP="00F653D3">
            <w:pPr>
              <w:spacing w:line="276" w:lineRule="auto"/>
              <w:ind w:right="-1"/>
              <w:jc w:val="both"/>
              <w:rPr>
                <w:rFonts w:ascii="HelveticaNeueLT Std" w:eastAsia="Times New Roman" w:hAnsi="HelveticaNeueLT Std"/>
                <w:color w:val="000000"/>
              </w:rPr>
            </w:pPr>
            <w:r w:rsidRPr="007342A4">
              <w:rPr>
                <w:rFonts w:ascii="HelveticaNeueLT Std" w:eastAsia="Times New Roman" w:hAnsi="HelveticaNeueLT Std"/>
                <w:color w:val="000000"/>
              </w:rPr>
              <w:t xml:space="preserve">Edificios </w:t>
            </w:r>
          </w:p>
          <w:p w:rsidR="00B56882" w:rsidRPr="007342A4" w:rsidRDefault="00B56882" w:rsidP="00F653D3">
            <w:pPr>
              <w:spacing w:line="276" w:lineRule="auto"/>
              <w:ind w:right="-1"/>
              <w:jc w:val="both"/>
              <w:rPr>
                <w:rFonts w:ascii="HelveticaNeueLT Std" w:eastAsia="Times New Roman" w:hAnsi="HelveticaNeueLT Std"/>
                <w:color w:val="000000"/>
              </w:rPr>
            </w:pPr>
            <w:r w:rsidRPr="007342A4">
              <w:rPr>
                <w:rFonts w:ascii="HelveticaNeueLT Std" w:eastAsia="Times New Roman" w:hAnsi="HelveticaNeueLT Std"/>
                <w:color w:val="000000"/>
              </w:rPr>
              <w:t>Equipo de cómputo</w:t>
            </w:r>
            <w:r w:rsidRPr="007342A4">
              <w:rPr>
                <w:rFonts w:ascii="HelveticaNeueLT Std" w:eastAsia="Times New Roman" w:hAnsi="HelveticaNeueLT Std"/>
                <w:color w:val="000000"/>
              </w:rPr>
              <w:tab/>
            </w:r>
          </w:p>
          <w:p w:rsidR="00B56882" w:rsidRPr="007342A4" w:rsidRDefault="00B56882" w:rsidP="00F653D3">
            <w:pPr>
              <w:spacing w:line="276" w:lineRule="auto"/>
              <w:ind w:right="-1"/>
              <w:jc w:val="both"/>
              <w:rPr>
                <w:rFonts w:ascii="HelveticaNeueLT Std" w:eastAsia="Times New Roman" w:hAnsi="HelveticaNeueLT Std"/>
                <w:color w:val="000000"/>
              </w:rPr>
            </w:pPr>
            <w:r w:rsidRPr="007342A4">
              <w:rPr>
                <w:rFonts w:ascii="HelveticaNeueLT Std" w:eastAsia="Times New Roman" w:hAnsi="HelveticaNeueLT Std"/>
                <w:color w:val="000000"/>
              </w:rPr>
              <w:t>Mobiliario y equipo de oficina</w:t>
            </w:r>
          </w:p>
          <w:p w:rsidR="00B56882" w:rsidRPr="007342A4" w:rsidRDefault="00B56882" w:rsidP="00F653D3">
            <w:pPr>
              <w:spacing w:line="276" w:lineRule="auto"/>
              <w:ind w:right="-1"/>
              <w:rPr>
                <w:rFonts w:ascii="HelveticaNeueLT Std" w:eastAsia="Times New Roman" w:hAnsi="HelveticaNeueLT Std"/>
                <w:color w:val="000000"/>
              </w:rPr>
            </w:pPr>
            <w:r w:rsidRPr="007342A4">
              <w:rPr>
                <w:rFonts w:ascii="HelveticaNeueLT Std" w:eastAsia="Times New Roman" w:hAnsi="HelveticaNeueLT Std"/>
                <w:color w:val="000000"/>
              </w:rPr>
              <w:t>Maquinaria</w:t>
            </w:r>
            <w:r w:rsidRPr="007342A4">
              <w:rPr>
                <w:rFonts w:ascii="HelveticaNeueLT Std" w:eastAsia="Times New Roman" w:hAnsi="HelveticaNeueLT Std"/>
                <w:color w:val="000000"/>
              </w:rPr>
              <w:tab/>
            </w:r>
          </w:p>
          <w:p w:rsidR="00B56882" w:rsidRPr="007342A4" w:rsidRDefault="00B56882" w:rsidP="00F653D3">
            <w:pPr>
              <w:spacing w:line="276" w:lineRule="auto"/>
              <w:ind w:right="-1"/>
              <w:rPr>
                <w:rFonts w:ascii="HelveticaNeueLT Std" w:eastAsia="Times New Roman" w:hAnsi="HelveticaNeueLT Std"/>
              </w:rPr>
            </w:pPr>
            <w:r w:rsidRPr="007342A4">
              <w:rPr>
                <w:rFonts w:ascii="HelveticaNeueLT Std" w:eastAsia="Times New Roman" w:hAnsi="HelveticaNeueLT Std"/>
                <w:color w:val="000000"/>
              </w:rPr>
              <w:t>Vehículos</w:t>
            </w:r>
          </w:p>
        </w:tc>
        <w:tc>
          <w:tcPr>
            <w:tcW w:w="2755" w:type="dxa"/>
          </w:tcPr>
          <w:p w:rsidR="00B56882" w:rsidRPr="007342A4" w:rsidRDefault="00B56882" w:rsidP="00F653D3">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Tasa</w:t>
            </w:r>
          </w:p>
          <w:p w:rsidR="00B56882" w:rsidRPr="007342A4" w:rsidRDefault="00B56882" w:rsidP="00F653D3">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2%</w:t>
            </w:r>
          </w:p>
          <w:p w:rsidR="00B56882" w:rsidRPr="007342A4" w:rsidRDefault="00B56882" w:rsidP="00F653D3">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20%</w:t>
            </w:r>
          </w:p>
          <w:p w:rsidR="00B56882" w:rsidRPr="007342A4" w:rsidRDefault="00B56882" w:rsidP="00F653D3">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3%</w:t>
            </w:r>
          </w:p>
          <w:p w:rsidR="00B56882" w:rsidRPr="007342A4" w:rsidRDefault="00B56882" w:rsidP="00F653D3">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10%</w:t>
            </w:r>
          </w:p>
          <w:p w:rsidR="00B56882" w:rsidRPr="007342A4" w:rsidRDefault="00B56882" w:rsidP="00F653D3">
            <w:pPr>
              <w:spacing w:line="276" w:lineRule="auto"/>
              <w:ind w:right="-1"/>
              <w:jc w:val="center"/>
              <w:rPr>
                <w:rFonts w:ascii="HelveticaNeueLT Std" w:eastAsia="Times New Roman" w:hAnsi="HelveticaNeueLT Std"/>
                <w:color w:val="000000"/>
              </w:rPr>
            </w:pPr>
            <w:r w:rsidRPr="007342A4">
              <w:rPr>
                <w:rFonts w:ascii="HelveticaNeueLT Std" w:eastAsia="Times New Roman" w:hAnsi="HelveticaNeueLT Std"/>
                <w:color w:val="000000"/>
              </w:rPr>
              <w:t>10%</w:t>
            </w:r>
          </w:p>
        </w:tc>
      </w:tr>
    </w:tbl>
    <w:p w:rsidR="00B56882" w:rsidRPr="00842256" w:rsidRDefault="00B56882" w:rsidP="00B56882">
      <w:pPr>
        <w:pStyle w:val="Texto"/>
        <w:tabs>
          <w:tab w:val="left" w:pos="1803"/>
        </w:tabs>
        <w:spacing w:line="276" w:lineRule="auto"/>
        <w:ind w:right="-1" w:firstLine="0"/>
        <w:rPr>
          <w:rFonts w:ascii="HelveticaNeueLT Std" w:hAnsi="HelveticaNeueLT Std"/>
          <w:b/>
          <w:sz w:val="20"/>
          <w:lang w:val="es-MX"/>
        </w:rPr>
      </w:pPr>
    </w:p>
    <w:p w:rsidR="00B56882" w:rsidRPr="00842256" w:rsidRDefault="00B56882" w:rsidP="00B56882">
      <w:pPr>
        <w:tabs>
          <w:tab w:val="left" w:pos="1803"/>
        </w:tabs>
        <w:spacing w:after="101" w:line="276" w:lineRule="auto"/>
        <w:ind w:right="-1"/>
        <w:jc w:val="both"/>
        <w:rPr>
          <w:rFonts w:eastAsia="Times New Roman" w:cs="Arial"/>
          <w:color w:val="000000"/>
          <w:lang w:eastAsia="es-ES"/>
        </w:rPr>
      </w:pPr>
      <w:r w:rsidRPr="00842256">
        <w:rPr>
          <w:rFonts w:eastAsia="Times New Roman" w:cs="Arial"/>
          <w:b/>
          <w:lang w:eastAsia="es-ES"/>
        </w:rPr>
        <w:t>Depreciación, Deterioro y Amortización Acumulada de Bienes</w:t>
      </w:r>
      <w:r w:rsidRPr="00842256">
        <w:rPr>
          <w:rFonts w:eastAsia="Times New Roman" w:cs="Arial"/>
          <w:lang w:eastAsia="es-ES"/>
        </w:rPr>
        <w:t xml:space="preserve">. - El saldo de </w:t>
      </w:r>
      <w:r>
        <w:rPr>
          <w:rFonts w:eastAsia="Times New Roman" w:cs="Arial"/>
          <w:lang w:eastAsia="es-ES"/>
        </w:rPr>
        <w:t>147,180,202.73</w:t>
      </w:r>
      <w:r w:rsidRPr="00842256">
        <w:rPr>
          <w:rFonts w:eastAsia="Times New Roman" w:cs="Arial"/>
          <w:lang w:eastAsia="es-ES"/>
        </w:rPr>
        <w:t xml:space="preserve">, se integra con las siguientes cuentas, dando un total neto en el rubro de activo fijo </w:t>
      </w:r>
      <w:r w:rsidRPr="00842256">
        <w:rPr>
          <w:rFonts w:eastAsia="Times New Roman" w:cs="Arial"/>
          <w:color w:val="000000"/>
          <w:lang w:eastAsia="es-ES"/>
        </w:rPr>
        <w:t xml:space="preserve">de </w:t>
      </w:r>
      <w:r>
        <w:rPr>
          <w:rFonts w:eastAsia="Times New Roman" w:cs="Arial"/>
          <w:color w:val="000000"/>
          <w:lang w:eastAsia="es-ES"/>
        </w:rPr>
        <w:t>166,608,948.57</w:t>
      </w:r>
      <w:r w:rsidRPr="00842256">
        <w:rPr>
          <w:rFonts w:eastAsia="Times New Roman" w:cs="Arial"/>
          <w:color w:val="000000"/>
          <w:lang w:eastAsia="es-ES"/>
        </w:rPr>
        <w:t>.</w:t>
      </w:r>
    </w:p>
    <w:p w:rsidR="00B56882" w:rsidRPr="00842256" w:rsidRDefault="00B56882" w:rsidP="00B56882">
      <w:pPr>
        <w:spacing w:after="101" w:line="276" w:lineRule="auto"/>
        <w:ind w:right="-1"/>
        <w:jc w:val="both"/>
        <w:rPr>
          <w:rFonts w:eastAsia="Times New Roman" w:cs="Arial"/>
          <w:lang w:eastAsia="es-ES"/>
        </w:rPr>
      </w:pPr>
      <w:r w:rsidRPr="00842256">
        <w:rPr>
          <w:rFonts w:eastAsia="Times New Roman" w:cs="Arial"/>
          <w:b/>
          <w:lang w:eastAsia="es-ES"/>
        </w:rPr>
        <w:t>Depreciación Acumulada de Bienes Inmuebles. -</w:t>
      </w:r>
      <w:r w:rsidRPr="00842256">
        <w:rPr>
          <w:rFonts w:eastAsia="Times New Roman" w:cs="Arial"/>
          <w:lang w:eastAsia="es-ES"/>
        </w:rPr>
        <w:t xml:space="preserve"> El saldo de </w:t>
      </w:r>
      <w:r>
        <w:rPr>
          <w:rFonts w:eastAsia="Times New Roman" w:cs="Arial"/>
          <w:lang w:eastAsia="es-ES"/>
        </w:rPr>
        <w:t>8,441,758.47</w:t>
      </w:r>
      <w:r w:rsidRPr="00842256">
        <w:rPr>
          <w:rFonts w:eastAsia="Times New Roman" w:cs="Arial"/>
          <w:lang w:eastAsia="es-ES"/>
        </w:rPr>
        <w:t>, es el importe de la disminución a valores históricos de los bienes inmuebles del Instituto, el total neto en la cuenta de Edificios No Habitacionales es por</w:t>
      </w:r>
      <w:r>
        <w:rPr>
          <w:rFonts w:eastAsia="Times New Roman" w:cs="Arial"/>
          <w:lang w:eastAsia="es-ES"/>
        </w:rPr>
        <w:t xml:space="preserve"> 77,883,976.72</w:t>
      </w:r>
      <w:r w:rsidRPr="00842256">
        <w:rPr>
          <w:rFonts w:eastAsia="Times New Roman" w:cs="Arial"/>
          <w:lang w:eastAsia="es-ES"/>
        </w:rPr>
        <w:t>.</w:t>
      </w:r>
    </w:p>
    <w:p w:rsidR="00B56882" w:rsidRPr="00842256" w:rsidRDefault="00B56882" w:rsidP="00B56882">
      <w:pPr>
        <w:spacing w:after="101" w:line="276" w:lineRule="auto"/>
        <w:ind w:right="-1"/>
        <w:jc w:val="both"/>
        <w:rPr>
          <w:rFonts w:eastAsia="Times New Roman" w:cs="Arial"/>
          <w:lang w:eastAsia="es-ES"/>
        </w:rPr>
      </w:pPr>
      <w:r w:rsidRPr="00842256">
        <w:rPr>
          <w:rFonts w:eastAsia="Times New Roman" w:cs="Arial"/>
          <w:b/>
          <w:lang w:eastAsia="es-ES"/>
        </w:rPr>
        <w:t>Depreciación Acumulada de Bienes Muebles. -</w:t>
      </w:r>
      <w:r w:rsidRPr="00842256">
        <w:rPr>
          <w:rFonts w:eastAsia="Times New Roman" w:cs="Arial"/>
          <w:lang w:eastAsia="es-ES"/>
        </w:rPr>
        <w:t xml:space="preserve"> El saldo de</w:t>
      </w:r>
      <w:r>
        <w:rPr>
          <w:rFonts w:eastAsia="Times New Roman" w:cs="Arial"/>
          <w:lang w:eastAsia="es-ES"/>
        </w:rPr>
        <w:t xml:space="preserve"> 138,738,444.26</w:t>
      </w:r>
      <w:r w:rsidRPr="00842256">
        <w:rPr>
          <w:rFonts w:eastAsia="Times New Roman" w:cs="Arial"/>
          <w:lang w:eastAsia="es-ES"/>
        </w:rPr>
        <w:t>, es el importe de la disminución a valores históricos de los bienes muebles del Instituto, dando un total neto en este rubro por</w:t>
      </w:r>
      <w:r>
        <w:rPr>
          <w:rFonts w:eastAsia="Times New Roman" w:cs="Arial"/>
          <w:lang w:eastAsia="es-ES"/>
        </w:rPr>
        <w:t xml:space="preserve"> 88,724,971.85</w:t>
      </w:r>
      <w:r w:rsidRPr="00842256">
        <w:rPr>
          <w:rFonts w:eastAsia="Times New Roman" w:cs="Arial"/>
          <w:lang w:eastAsia="es-ES"/>
        </w:rPr>
        <w:t>.</w:t>
      </w:r>
    </w:p>
    <w:p w:rsidR="00B56882" w:rsidRPr="00B90DB9" w:rsidRDefault="00B56882" w:rsidP="00B56882">
      <w:pPr>
        <w:pStyle w:val="Prrafodelista"/>
        <w:numPr>
          <w:ilvl w:val="0"/>
          <w:numId w:val="12"/>
        </w:numPr>
        <w:spacing w:line="259" w:lineRule="auto"/>
        <w:rPr>
          <w:rFonts w:ascii="HelveticaNeueLT Std" w:hAnsi="HelveticaNeueLT Std"/>
          <w:b/>
          <w:sz w:val="20"/>
          <w:szCs w:val="20"/>
        </w:rPr>
      </w:pPr>
      <w:r w:rsidRPr="00B90DB9">
        <w:rPr>
          <w:rFonts w:ascii="HelveticaNeueLT Std" w:hAnsi="HelveticaNeueLT Std"/>
          <w:b/>
          <w:sz w:val="20"/>
          <w:szCs w:val="20"/>
        </w:rPr>
        <w:t>Fideicomisos, Mandatos y Análogos</w:t>
      </w:r>
    </w:p>
    <w:p w:rsidR="00B56882" w:rsidRPr="002E7C1A" w:rsidRDefault="00B56882" w:rsidP="00B56882">
      <w:pPr>
        <w:pStyle w:val="Prrafodelista"/>
        <w:spacing w:line="259" w:lineRule="auto"/>
        <w:rPr>
          <w:rFonts w:ascii="HelveticaNeueLT Std" w:hAnsi="HelveticaNeueLT Std" w:cs="Arial"/>
          <w:sz w:val="20"/>
          <w:szCs w:val="20"/>
          <w:lang w:eastAsia="es-ES"/>
        </w:rPr>
      </w:pPr>
    </w:p>
    <w:p w:rsidR="00833D66" w:rsidRDefault="00B56882" w:rsidP="00B56882">
      <w:pPr>
        <w:numPr>
          <w:ilvl w:val="0"/>
          <w:numId w:val="13"/>
        </w:numPr>
        <w:spacing w:after="240" w:line="276" w:lineRule="auto"/>
        <w:ind w:right="-1"/>
        <w:jc w:val="both"/>
        <w:rPr>
          <w:rFonts w:cs="Arial"/>
        </w:rPr>
      </w:pPr>
      <w:r w:rsidRPr="002E7C1A">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B56882" w:rsidRPr="002E7C1A" w:rsidRDefault="00833D66" w:rsidP="00833D66">
      <w:pPr>
        <w:spacing w:line="259" w:lineRule="auto"/>
        <w:rPr>
          <w:rFonts w:cs="Arial"/>
        </w:rPr>
      </w:pPr>
      <w:r>
        <w:rPr>
          <w:rFonts w:cs="Arial"/>
        </w:rPr>
        <w:br w:type="page"/>
      </w:r>
    </w:p>
    <w:p w:rsidR="00B56882" w:rsidRPr="002E7C1A" w:rsidRDefault="00B56882" w:rsidP="00B56882">
      <w:pPr>
        <w:numPr>
          <w:ilvl w:val="0"/>
          <w:numId w:val="13"/>
        </w:numPr>
        <w:spacing w:after="240" w:line="276" w:lineRule="auto"/>
        <w:ind w:right="-1"/>
        <w:jc w:val="both"/>
        <w:rPr>
          <w:rFonts w:cs="Arial"/>
        </w:rPr>
      </w:pPr>
      <w:r w:rsidRPr="002E7C1A">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B56882" w:rsidRPr="002E7C1A" w:rsidRDefault="00B56882" w:rsidP="00B56882">
      <w:pPr>
        <w:numPr>
          <w:ilvl w:val="0"/>
          <w:numId w:val="13"/>
        </w:numPr>
        <w:spacing w:after="240" w:line="276" w:lineRule="auto"/>
        <w:ind w:right="-1"/>
        <w:jc w:val="both"/>
        <w:rPr>
          <w:rFonts w:cs="Arial"/>
        </w:rPr>
      </w:pPr>
      <w:r w:rsidRPr="002E7C1A">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B56882" w:rsidRPr="002E7C1A" w:rsidRDefault="00B56882" w:rsidP="00B56882">
      <w:pPr>
        <w:numPr>
          <w:ilvl w:val="0"/>
          <w:numId w:val="13"/>
        </w:numPr>
        <w:spacing w:after="240" w:line="276" w:lineRule="auto"/>
        <w:ind w:right="-1"/>
        <w:jc w:val="both"/>
        <w:rPr>
          <w:rFonts w:cs="Arial"/>
        </w:rPr>
      </w:pPr>
      <w:r w:rsidRPr="002E7C1A">
        <w:rPr>
          <w:rFonts w:cs="Arial"/>
        </w:rPr>
        <w:t>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Invex, S.A., Institución de Banca Múltiple Invex Grupo Financiero y Monex Casa de Bolsa, S.A. de C.V., como “Fiduciarios” representantes comunes de los tenedores de los Certificados Bursátiles Fiduciarios Series “A” y “B”.</w:t>
      </w:r>
    </w:p>
    <w:p w:rsidR="00B56882" w:rsidRPr="002E7C1A" w:rsidRDefault="00B56882" w:rsidP="00B56882">
      <w:pPr>
        <w:numPr>
          <w:ilvl w:val="0"/>
          <w:numId w:val="13"/>
        </w:numPr>
        <w:spacing w:line="276" w:lineRule="auto"/>
        <w:ind w:right="-1"/>
        <w:jc w:val="both"/>
        <w:rPr>
          <w:rFonts w:cs="Arial"/>
        </w:rPr>
      </w:pPr>
      <w:r w:rsidRPr="002E7C1A">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
    <w:p w:rsidR="00B56882" w:rsidRPr="002E7C1A" w:rsidRDefault="00B56882" w:rsidP="00B56882">
      <w:pPr>
        <w:spacing w:line="276" w:lineRule="auto"/>
        <w:ind w:left="786" w:right="-1"/>
        <w:jc w:val="both"/>
        <w:rPr>
          <w:rFonts w:cs="Arial"/>
        </w:rPr>
      </w:pPr>
      <w:r w:rsidRPr="002E7C1A">
        <w:rPr>
          <w:rFonts w:cs="Arial"/>
        </w:rPr>
        <w:t>The Bank of New York Mellon, S.A., Institución de Banca Múltiple como mandatario del Garante “A” y del Garante “B”.</w:t>
      </w:r>
    </w:p>
    <w:p w:rsidR="00B56882" w:rsidRPr="002E7C1A" w:rsidRDefault="00B56882" w:rsidP="00B56882">
      <w:pPr>
        <w:pStyle w:val="Prrafodelista"/>
        <w:numPr>
          <w:ilvl w:val="0"/>
          <w:numId w:val="13"/>
        </w:numPr>
        <w:spacing w:line="259" w:lineRule="auto"/>
        <w:rPr>
          <w:rFonts w:ascii="HelveticaNeueLT Std" w:hAnsi="HelveticaNeueLT Std" w:cs="Arial"/>
          <w:sz w:val="20"/>
          <w:szCs w:val="20"/>
        </w:rPr>
      </w:pPr>
      <w:r w:rsidRPr="002E7C1A">
        <w:rPr>
          <w:rFonts w:ascii="HelveticaNeueLT Std" w:hAnsi="HelveticaNeueLT Std" w:cs="Arial"/>
          <w:sz w:val="20"/>
          <w:szCs w:val="20"/>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833D66" w:rsidRDefault="00B56882" w:rsidP="00B56882">
      <w:pPr>
        <w:numPr>
          <w:ilvl w:val="0"/>
          <w:numId w:val="13"/>
        </w:numPr>
        <w:spacing w:line="276" w:lineRule="auto"/>
        <w:ind w:right="-1"/>
        <w:jc w:val="both"/>
        <w:rPr>
          <w:rFonts w:cs="Arial"/>
        </w:rPr>
      </w:pPr>
      <w:r w:rsidRPr="002E7C1A">
        <w:rPr>
          <w:rFonts w:cs="Arial"/>
        </w:rPr>
        <w:t>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B56882" w:rsidRPr="002E7C1A" w:rsidRDefault="00833D66" w:rsidP="00833D66">
      <w:pPr>
        <w:spacing w:line="259" w:lineRule="auto"/>
        <w:rPr>
          <w:rFonts w:cs="Arial"/>
        </w:rPr>
      </w:pPr>
      <w:r>
        <w:rPr>
          <w:rFonts w:cs="Arial"/>
        </w:rPr>
        <w:br w:type="page"/>
      </w:r>
    </w:p>
    <w:p w:rsidR="00B56882" w:rsidRPr="002E7C1A" w:rsidRDefault="00B56882" w:rsidP="00B56882">
      <w:pPr>
        <w:numPr>
          <w:ilvl w:val="0"/>
          <w:numId w:val="13"/>
        </w:numPr>
        <w:spacing w:line="276" w:lineRule="auto"/>
        <w:ind w:right="-1"/>
        <w:jc w:val="both"/>
        <w:rPr>
          <w:rFonts w:cs="Arial"/>
        </w:rPr>
      </w:pPr>
      <w:r w:rsidRPr="002E7C1A">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B56882" w:rsidRPr="002E7C1A" w:rsidRDefault="00B56882" w:rsidP="00B56882">
      <w:pPr>
        <w:numPr>
          <w:ilvl w:val="0"/>
          <w:numId w:val="13"/>
        </w:numPr>
        <w:spacing w:after="240" w:line="276" w:lineRule="auto"/>
        <w:ind w:right="-1"/>
        <w:jc w:val="both"/>
        <w:rPr>
          <w:rFonts w:cs="Arial"/>
        </w:rPr>
      </w:pPr>
      <w:r w:rsidRPr="002E7C1A">
        <w:rPr>
          <w:rFonts w:cs="Arial"/>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rsidR="00B56882" w:rsidRPr="002E7C1A" w:rsidRDefault="00B56882" w:rsidP="00B56882">
      <w:pPr>
        <w:numPr>
          <w:ilvl w:val="0"/>
          <w:numId w:val="13"/>
        </w:numPr>
        <w:spacing w:line="276" w:lineRule="auto"/>
        <w:ind w:right="-1"/>
        <w:jc w:val="both"/>
        <w:rPr>
          <w:rFonts w:cs="Arial"/>
        </w:rPr>
      </w:pPr>
      <w:r w:rsidRPr="002E7C1A">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B56882" w:rsidRPr="002E7C1A" w:rsidRDefault="00B56882" w:rsidP="00B56882">
      <w:pPr>
        <w:numPr>
          <w:ilvl w:val="0"/>
          <w:numId w:val="13"/>
        </w:numPr>
        <w:spacing w:line="276" w:lineRule="auto"/>
        <w:ind w:right="-1"/>
        <w:jc w:val="both"/>
        <w:rPr>
          <w:rFonts w:cs="Arial"/>
        </w:rPr>
      </w:pPr>
      <w:r w:rsidRPr="002E7C1A">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B56882" w:rsidRPr="002E7C1A" w:rsidRDefault="00B56882" w:rsidP="00B56882">
      <w:pPr>
        <w:numPr>
          <w:ilvl w:val="0"/>
          <w:numId w:val="13"/>
        </w:numPr>
        <w:spacing w:line="276" w:lineRule="auto"/>
        <w:ind w:right="-1"/>
        <w:jc w:val="both"/>
        <w:rPr>
          <w:rFonts w:cs="Arial"/>
        </w:rPr>
      </w:pPr>
      <w:r w:rsidRPr="002E7C1A">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rsidR="00B56882" w:rsidRDefault="00B56882" w:rsidP="00B56882">
      <w:pPr>
        <w:numPr>
          <w:ilvl w:val="0"/>
          <w:numId w:val="13"/>
        </w:numPr>
        <w:spacing w:line="276" w:lineRule="auto"/>
        <w:ind w:right="-1"/>
        <w:jc w:val="both"/>
        <w:rPr>
          <w:rFonts w:cs="Arial"/>
        </w:rPr>
      </w:pPr>
      <w:r w:rsidRPr="002E7C1A">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rsidR="00B56882" w:rsidRDefault="00B56882" w:rsidP="00B56882">
      <w:pPr>
        <w:spacing w:line="259" w:lineRule="auto"/>
        <w:rPr>
          <w:rFonts w:cs="Arial"/>
        </w:rPr>
      </w:pPr>
      <w:r>
        <w:rPr>
          <w:rFonts w:cs="Arial"/>
        </w:rPr>
        <w:br w:type="page"/>
      </w:r>
    </w:p>
    <w:p w:rsidR="00B56882" w:rsidRDefault="00B56882" w:rsidP="00B56882">
      <w:pPr>
        <w:pStyle w:val="Prrafodelista"/>
        <w:numPr>
          <w:ilvl w:val="0"/>
          <w:numId w:val="12"/>
        </w:numPr>
        <w:spacing w:after="240" w:line="276" w:lineRule="auto"/>
        <w:ind w:right="-1"/>
        <w:jc w:val="both"/>
        <w:rPr>
          <w:rFonts w:ascii="HelveticaNeueLT Std" w:hAnsi="HelveticaNeueLT Std"/>
          <w:b/>
          <w:sz w:val="20"/>
          <w:szCs w:val="20"/>
        </w:rPr>
      </w:pPr>
      <w:r w:rsidRPr="00B712A7">
        <w:rPr>
          <w:rFonts w:ascii="HelveticaNeueLT Std" w:hAnsi="HelveticaNeueLT Std"/>
          <w:b/>
          <w:sz w:val="20"/>
          <w:szCs w:val="20"/>
        </w:rPr>
        <w:t>Reporte de la Recaudación</w:t>
      </w:r>
    </w:p>
    <w:p w:rsidR="00B56882" w:rsidRDefault="00B56882" w:rsidP="00B56882">
      <w:pPr>
        <w:pStyle w:val="Sinespaciado"/>
        <w:jc w:val="both"/>
        <w:rPr>
          <w:rFonts w:cs="Arial"/>
          <w:b/>
        </w:rPr>
      </w:pPr>
      <w:r w:rsidRPr="00EB7795">
        <w:rPr>
          <w:noProof/>
          <w:lang w:eastAsia="es-MX"/>
        </w:rPr>
        <w:drawing>
          <wp:inline distT="0" distB="0" distL="0" distR="0" wp14:anchorId="6BEA8933" wp14:editId="1F9E6D8E">
            <wp:extent cx="6389370" cy="4209359"/>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4209359"/>
                    </a:xfrm>
                    <a:prstGeom prst="rect">
                      <a:avLst/>
                    </a:prstGeom>
                    <a:noFill/>
                    <a:ln>
                      <a:noFill/>
                    </a:ln>
                  </pic:spPr>
                </pic:pic>
              </a:graphicData>
            </a:graphic>
          </wp:inline>
        </w:drawing>
      </w:r>
    </w:p>
    <w:p w:rsidR="00B56882" w:rsidRDefault="00B56882" w:rsidP="00B56882">
      <w:pPr>
        <w:pStyle w:val="Sinespaciado"/>
        <w:jc w:val="both"/>
        <w:rPr>
          <w:rFonts w:cs="Arial"/>
          <w:b/>
        </w:rPr>
      </w:pPr>
    </w:p>
    <w:p w:rsidR="00B56882" w:rsidRDefault="002F4CF9" w:rsidP="00B56882">
      <w:pPr>
        <w:pStyle w:val="Sinespaciado"/>
        <w:jc w:val="both"/>
        <w:rPr>
          <w:rFonts w:cs="Arial"/>
          <w:b/>
        </w:rPr>
      </w:pPr>
      <w:r>
        <w:rPr>
          <w:rFonts w:cs="Arial"/>
          <w:b/>
        </w:rPr>
        <w:t>INGRESOS</w:t>
      </w:r>
    </w:p>
    <w:p w:rsidR="00B56882" w:rsidRDefault="00B56882" w:rsidP="00B56882">
      <w:pPr>
        <w:pStyle w:val="Sinespaciado"/>
        <w:jc w:val="both"/>
        <w:rPr>
          <w:rFonts w:ascii="Helvetica" w:hAnsi="Helvetica"/>
        </w:rPr>
      </w:pPr>
    </w:p>
    <w:p w:rsidR="00B56882" w:rsidRPr="00FF6B27" w:rsidRDefault="00B56882" w:rsidP="00B56882">
      <w:pPr>
        <w:pStyle w:val="Sinespaciado"/>
        <w:jc w:val="both"/>
        <w:rPr>
          <w:rFonts w:cs="Arial"/>
        </w:rPr>
      </w:pPr>
      <w:r w:rsidRPr="000B7DB7">
        <w:rPr>
          <w:rFonts w:cs="Arial"/>
        </w:rPr>
        <w:t xml:space="preserve">Inicialmente se previó recaudar en la Ley de </w:t>
      </w:r>
      <w:r w:rsidRPr="008548B2">
        <w:rPr>
          <w:rFonts w:cs="Arial"/>
        </w:rPr>
        <w:t xml:space="preserve">Ingresos Estimada la cantidad de </w:t>
      </w:r>
      <w:r>
        <w:rPr>
          <w:rFonts w:cs="Arial"/>
        </w:rPr>
        <w:t>2</w:t>
      </w:r>
      <w:r w:rsidRPr="008548B2">
        <w:rPr>
          <w:rFonts w:cs="Arial"/>
        </w:rPr>
        <w:t>,</w:t>
      </w:r>
      <w:r>
        <w:rPr>
          <w:rFonts w:cs="Arial"/>
        </w:rPr>
        <w:t>921,299,039.00,</w:t>
      </w:r>
      <w:r w:rsidRPr="008548B2">
        <w:rPr>
          <w:rFonts w:cs="Arial"/>
        </w:rPr>
        <w:t xml:space="preserve"> se dio una asignación en el Capítulo de Inversión Pública por </w:t>
      </w:r>
      <w:r>
        <w:rPr>
          <w:rFonts w:cs="Arial"/>
        </w:rPr>
        <w:t xml:space="preserve">35,940,611.37 </w:t>
      </w:r>
      <w:r w:rsidRPr="008548B2">
        <w:rPr>
          <w:rFonts w:cs="Arial"/>
        </w:rPr>
        <w:t>que corresponden al Programa Acciones para el Desarrollo (PAD), denominado “Regularización de Tenencia de la Tierra, provenientes del Gobierno del Estado de México (GEM), cuya fuente de financiamiento son recursos esta</w:t>
      </w:r>
      <w:r>
        <w:rPr>
          <w:rFonts w:cs="Arial"/>
        </w:rPr>
        <w:t>ta</w:t>
      </w:r>
      <w:r w:rsidRPr="008548B2">
        <w:rPr>
          <w:rFonts w:cs="Arial"/>
        </w:rPr>
        <w:t xml:space="preserve">les, dando un total autorizado de </w:t>
      </w:r>
      <w:r>
        <w:rPr>
          <w:rFonts w:cs="Arial"/>
        </w:rPr>
        <w:t xml:space="preserve">2,957,239,650.37. Se han </w:t>
      </w:r>
      <w:r w:rsidRPr="001E6ED0">
        <w:rPr>
          <w:rFonts w:cs="Arial"/>
        </w:rPr>
        <w:t>realiza</w:t>
      </w:r>
      <w:r>
        <w:rPr>
          <w:rFonts w:cs="Arial"/>
        </w:rPr>
        <w:t>do</w:t>
      </w:r>
      <w:r w:rsidRPr="001E6ED0">
        <w:rPr>
          <w:rFonts w:cs="Arial"/>
        </w:rPr>
        <w:t xml:space="preserve"> ampliaciones al presupuesto</w:t>
      </w:r>
      <w:r>
        <w:rPr>
          <w:rFonts w:cs="Arial"/>
        </w:rPr>
        <w:t xml:space="preserve"> por un total de 17,119,617.00</w:t>
      </w:r>
      <w:r w:rsidRPr="00FF6B27">
        <w:rPr>
          <w:rFonts w:cs="Arial"/>
        </w:rPr>
        <w:t xml:space="preserve">. El importe total recaudado al mes </w:t>
      </w:r>
      <w:r>
        <w:rPr>
          <w:rFonts w:cs="Arial"/>
        </w:rPr>
        <w:t>de septiembre es</w:t>
      </w:r>
      <w:r w:rsidRPr="00FF6B27">
        <w:rPr>
          <w:rFonts w:cs="Arial"/>
        </w:rPr>
        <w:t xml:space="preserve"> </w:t>
      </w:r>
      <w:r w:rsidRPr="00D5034E">
        <w:rPr>
          <w:rFonts w:cs="Arial"/>
        </w:rPr>
        <w:t xml:space="preserve">de </w:t>
      </w:r>
      <w:r>
        <w:rPr>
          <w:rFonts w:cs="Arial"/>
        </w:rPr>
        <w:t>1,982</w:t>
      </w:r>
      <w:r w:rsidRPr="00D5034E">
        <w:rPr>
          <w:rFonts w:cs="Arial"/>
        </w:rPr>
        <w:t>,</w:t>
      </w:r>
      <w:r>
        <w:rPr>
          <w:rFonts w:cs="Arial"/>
        </w:rPr>
        <w:t>950</w:t>
      </w:r>
      <w:r w:rsidRPr="00D5034E">
        <w:rPr>
          <w:rFonts w:cs="Arial"/>
        </w:rPr>
        <w:t>,</w:t>
      </w:r>
      <w:r>
        <w:rPr>
          <w:rFonts w:cs="Arial"/>
        </w:rPr>
        <w:t>880</w:t>
      </w:r>
      <w:r w:rsidRPr="00D5034E">
        <w:rPr>
          <w:rFonts w:cs="Arial"/>
        </w:rPr>
        <w:t>.</w:t>
      </w:r>
      <w:r>
        <w:rPr>
          <w:rFonts w:cs="Arial"/>
        </w:rPr>
        <w:t>09</w:t>
      </w:r>
      <w:r w:rsidRPr="00D5034E">
        <w:rPr>
          <w:rFonts w:cs="Arial"/>
        </w:rPr>
        <w:t xml:space="preserve">, por lo que existe una variación del </w:t>
      </w:r>
      <w:r>
        <w:rPr>
          <w:rFonts w:cs="Arial"/>
        </w:rPr>
        <w:t>33</w:t>
      </w:r>
      <w:r w:rsidRPr="00D5034E">
        <w:rPr>
          <w:rFonts w:cs="Arial"/>
        </w:rPr>
        <w:t>.</w:t>
      </w:r>
      <w:r>
        <w:rPr>
          <w:rFonts w:cs="Arial"/>
        </w:rPr>
        <w:t>3</w:t>
      </w:r>
      <w:r w:rsidRPr="00D5034E">
        <w:rPr>
          <w:rFonts w:cs="Arial"/>
        </w:rPr>
        <w:t xml:space="preserve"> por ciento con respecto al total autorizado.</w:t>
      </w:r>
      <w:r w:rsidRPr="00FF6B27">
        <w:rPr>
          <w:rFonts w:cs="Arial"/>
        </w:rPr>
        <w:t xml:space="preserve"> </w:t>
      </w:r>
    </w:p>
    <w:p w:rsidR="00B56882" w:rsidRDefault="00B56882" w:rsidP="00B56882">
      <w:pPr>
        <w:pStyle w:val="Sinespaciado"/>
        <w:jc w:val="both"/>
        <w:rPr>
          <w:rFonts w:cs="Arial"/>
          <w:b/>
        </w:rPr>
      </w:pPr>
    </w:p>
    <w:p w:rsidR="00B56882" w:rsidRDefault="00B56882" w:rsidP="00B56882">
      <w:pPr>
        <w:pStyle w:val="Sinespaciado"/>
        <w:jc w:val="both"/>
        <w:rPr>
          <w:rFonts w:cs="Arial"/>
          <w:b/>
        </w:rPr>
      </w:pPr>
    </w:p>
    <w:p w:rsidR="00B56882" w:rsidRDefault="002F4CF9" w:rsidP="00B56882">
      <w:pPr>
        <w:pStyle w:val="Sinespaciado"/>
        <w:jc w:val="both"/>
        <w:rPr>
          <w:rFonts w:cs="Arial"/>
          <w:b/>
        </w:rPr>
      </w:pPr>
      <w:r>
        <w:rPr>
          <w:rFonts w:cs="Arial"/>
          <w:b/>
        </w:rPr>
        <w:t>INGRESOS DE GESTIÓN</w:t>
      </w:r>
    </w:p>
    <w:p w:rsidR="00B56882" w:rsidRDefault="00B56882" w:rsidP="00B56882">
      <w:pPr>
        <w:pStyle w:val="Sinespaciado"/>
        <w:jc w:val="both"/>
        <w:rPr>
          <w:rFonts w:cs="Arial"/>
        </w:rPr>
      </w:pPr>
    </w:p>
    <w:p w:rsidR="00B56882" w:rsidRPr="005E6D9E" w:rsidRDefault="00B56882" w:rsidP="00B56882">
      <w:pPr>
        <w:pStyle w:val="Sinespaciado"/>
        <w:jc w:val="both"/>
        <w:rPr>
          <w:rFonts w:cs="Arial"/>
          <w:color w:val="C00000"/>
        </w:rPr>
      </w:pPr>
      <w:r w:rsidRPr="003740AF">
        <w:rPr>
          <w:rFonts w:cs="Arial"/>
        </w:rPr>
        <w:t xml:space="preserve">Inicialmente se previó recaudar </w:t>
      </w:r>
      <w:r w:rsidRPr="005E6D9E">
        <w:rPr>
          <w:rFonts w:cs="Arial"/>
        </w:rPr>
        <w:t>ingresos por concepto de derechos del Registro Público de la Propiedad y Comercio por 1,</w:t>
      </w:r>
      <w:r>
        <w:rPr>
          <w:rFonts w:cs="Arial"/>
        </w:rPr>
        <w:t>557,886,722.00</w:t>
      </w:r>
      <w:r w:rsidRPr="005E6D9E">
        <w:rPr>
          <w:rFonts w:cs="Arial"/>
        </w:rPr>
        <w:t xml:space="preserve">. </w:t>
      </w:r>
      <w:r>
        <w:rPr>
          <w:rFonts w:cs="Arial"/>
        </w:rPr>
        <w:t>No s</w:t>
      </w:r>
      <w:r w:rsidRPr="005E6D9E">
        <w:rPr>
          <w:rFonts w:cs="Arial"/>
        </w:rPr>
        <w:t xml:space="preserve">e </w:t>
      </w:r>
      <w:r>
        <w:rPr>
          <w:rFonts w:cs="Arial"/>
        </w:rPr>
        <w:t xml:space="preserve">han </w:t>
      </w:r>
      <w:r w:rsidRPr="005E6D9E">
        <w:rPr>
          <w:rFonts w:cs="Arial"/>
        </w:rPr>
        <w:t>realizado ampliaciones al presupuesto</w:t>
      </w:r>
      <w:r>
        <w:rPr>
          <w:rFonts w:cs="Arial"/>
        </w:rPr>
        <w:t>.</w:t>
      </w:r>
    </w:p>
    <w:p w:rsidR="00B56882" w:rsidRPr="00903D84" w:rsidRDefault="00B56882" w:rsidP="00B56882">
      <w:pPr>
        <w:pStyle w:val="Sinespaciado"/>
        <w:jc w:val="both"/>
        <w:rPr>
          <w:rFonts w:cs="Arial"/>
          <w:sz w:val="8"/>
        </w:rPr>
      </w:pPr>
    </w:p>
    <w:p w:rsidR="00B56882" w:rsidRDefault="00B56882" w:rsidP="00B56882">
      <w:pPr>
        <w:pStyle w:val="Sinespaciado"/>
        <w:jc w:val="both"/>
        <w:rPr>
          <w:rFonts w:cs="Arial"/>
        </w:rPr>
      </w:pPr>
      <w:r w:rsidRPr="005E6D9E">
        <w:rPr>
          <w:rFonts w:cs="Arial"/>
        </w:rPr>
        <w:t xml:space="preserve">Se </w:t>
      </w:r>
      <w:r>
        <w:rPr>
          <w:rFonts w:cs="Arial"/>
        </w:rPr>
        <w:t xml:space="preserve">han </w:t>
      </w:r>
      <w:r w:rsidRPr="005E6D9E">
        <w:rPr>
          <w:rFonts w:cs="Arial"/>
        </w:rPr>
        <w:t>recauda</w:t>
      </w:r>
      <w:r>
        <w:rPr>
          <w:rFonts w:cs="Arial"/>
        </w:rPr>
        <w:t>do</w:t>
      </w:r>
      <w:r w:rsidRPr="005E6D9E">
        <w:rPr>
          <w:rFonts w:cs="Arial"/>
        </w:rPr>
        <w:t xml:space="preserve"> por los derechos de los servicios que presta el Instituto </w:t>
      </w:r>
      <w:r>
        <w:rPr>
          <w:rFonts w:cs="Arial"/>
        </w:rPr>
        <w:t>832,399,200.00</w:t>
      </w:r>
      <w:r w:rsidRPr="005E6D9E">
        <w:rPr>
          <w:rFonts w:cs="Arial"/>
        </w:rPr>
        <w:t xml:space="preserve">, lo que representa el </w:t>
      </w:r>
      <w:r>
        <w:rPr>
          <w:rFonts w:cs="Arial"/>
        </w:rPr>
        <w:t>46.6</w:t>
      </w:r>
      <w:r w:rsidRPr="005E6D9E">
        <w:rPr>
          <w:rFonts w:cs="Arial"/>
        </w:rPr>
        <w:t xml:space="preserve"> por ciento menos respecto del </w:t>
      </w:r>
      <w:r>
        <w:rPr>
          <w:rFonts w:cs="Arial"/>
        </w:rPr>
        <w:t xml:space="preserve">total </w:t>
      </w:r>
      <w:r w:rsidRPr="005E6D9E">
        <w:rPr>
          <w:rFonts w:cs="Arial"/>
        </w:rPr>
        <w:t>autorizado.</w:t>
      </w:r>
    </w:p>
    <w:p w:rsidR="00B56882" w:rsidRDefault="00B56882" w:rsidP="00B56882">
      <w:pPr>
        <w:pStyle w:val="Sinespaciado"/>
        <w:jc w:val="both"/>
        <w:rPr>
          <w:rFonts w:cs="Arial"/>
        </w:rPr>
      </w:pPr>
    </w:p>
    <w:p w:rsidR="00B56882" w:rsidRPr="00EB7795" w:rsidRDefault="00B56882" w:rsidP="00B56882">
      <w:pPr>
        <w:spacing w:line="259" w:lineRule="auto"/>
        <w:rPr>
          <w:rFonts w:cs="Arial"/>
        </w:rPr>
      </w:pPr>
      <w:r>
        <w:rPr>
          <w:rFonts w:cs="Arial"/>
          <w:b/>
        </w:rPr>
        <w:t>PARTICIPACIONES, APORTACIONES, TRANSFERENCIAS, ASIGNAC</w:t>
      </w:r>
      <w:r w:rsidR="002F4CF9">
        <w:rPr>
          <w:rFonts w:cs="Arial"/>
          <w:b/>
        </w:rPr>
        <w:t>IONES, SUBSIDIOS Y OTRAS AYUDAS</w:t>
      </w:r>
    </w:p>
    <w:p w:rsidR="00B56882" w:rsidRPr="003740AF" w:rsidRDefault="00B56882" w:rsidP="00B56882">
      <w:pPr>
        <w:pStyle w:val="Sinespaciado"/>
        <w:jc w:val="both"/>
        <w:rPr>
          <w:rFonts w:cs="Arial"/>
        </w:rPr>
      </w:pPr>
      <w:r w:rsidRPr="003740AF">
        <w:rPr>
          <w:rFonts w:cs="Arial"/>
        </w:rPr>
        <w:t xml:space="preserve">Se </w:t>
      </w:r>
      <w:r>
        <w:rPr>
          <w:rFonts w:cs="Arial"/>
        </w:rPr>
        <w:t>autorizó</w:t>
      </w:r>
      <w:r w:rsidRPr="003740AF">
        <w:rPr>
          <w:rFonts w:cs="Arial"/>
        </w:rPr>
        <w:t xml:space="preserve"> la asignación presupuestal de los proyectos denominados “Regularización de Tenencia de la Tierra” por </w:t>
      </w:r>
      <w:r>
        <w:rPr>
          <w:rFonts w:cs="Arial"/>
        </w:rPr>
        <w:t>35,940,611.37</w:t>
      </w:r>
      <w:r w:rsidRPr="003740AF">
        <w:rPr>
          <w:rFonts w:cs="Arial"/>
        </w:rPr>
        <w:t xml:space="preserve">, este importe se refleja en el rubro del Programa de Acciones para el Desarrollo (PAD) y se </w:t>
      </w:r>
      <w:r>
        <w:rPr>
          <w:rFonts w:cs="Arial"/>
        </w:rPr>
        <w:t>va</w:t>
      </w:r>
      <w:r w:rsidRPr="003740AF">
        <w:rPr>
          <w:rFonts w:cs="Arial"/>
        </w:rPr>
        <w:t xml:space="preserve"> recaudando con los depósitos que realiz</w:t>
      </w:r>
      <w:r>
        <w:rPr>
          <w:rFonts w:cs="Arial"/>
        </w:rPr>
        <w:t>a</w:t>
      </w:r>
      <w:r w:rsidRPr="003740AF">
        <w:rPr>
          <w:rFonts w:cs="Arial"/>
        </w:rPr>
        <w:t xml:space="preserve"> mensualmente el GEM</w:t>
      </w:r>
      <w:r>
        <w:rPr>
          <w:rFonts w:cs="Arial"/>
        </w:rPr>
        <w:t>, que al mes de septiembre son 26,596,052</w:t>
      </w:r>
      <w:r w:rsidRPr="00911304">
        <w:rPr>
          <w:rFonts w:cs="Arial"/>
        </w:rPr>
        <w:t>.</w:t>
      </w:r>
      <w:r>
        <w:rPr>
          <w:rFonts w:cs="Arial"/>
        </w:rPr>
        <w:t>42</w:t>
      </w:r>
      <w:r w:rsidRPr="00911304">
        <w:rPr>
          <w:rFonts w:cs="Arial"/>
        </w:rPr>
        <w:t>.</w:t>
      </w:r>
      <w:r w:rsidRPr="003740AF">
        <w:rPr>
          <w:rFonts w:cs="Arial"/>
        </w:rPr>
        <w:t xml:space="preserve"> </w:t>
      </w:r>
    </w:p>
    <w:p w:rsidR="00B56882" w:rsidRPr="003740AF" w:rsidRDefault="00B56882" w:rsidP="00B56882">
      <w:pPr>
        <w:pStyle w:val="Sinespaciado"/>
        <w:jc w:val="both"/>
        <w:rPr>
          <w:rFonts w:cs="Arial"/>
        </w:rPr>
      </w:pPr>
    </w:p>
    <w:p w:rsidR="00B56882" w:rsidRDefault="00B56882" w:rsidP="00B56882">
      <w:pPr>
        <w:pStyle w:val="Sinespaciado"/>
        <w:jc w:val="both"/>
        <w:rPr>
          <w:rFonts w:cs="Arial"/>
        </w:rPr>
      </w:pPr>
    </w:p>
    <w:p w:rsidR="00B56882" w:rsidRDefault="00B56882" w:rsidP="00B56882">
      <w:pPr>
        <w:pStyle w:val="Sinespaciado"/>
        <w:jc w:val="both"/>
        <w:rPr>
          <w:rFonts w:cs="Arial"/>
          <w:b/>
        </w:rPr>
      </w:pPr>
      <w:r>
        <w:rPr>
          <w:rFonts w:cs="Arial"/>
          <w:b/>
        </w:rPr>
        <w:t>OTROS INGRESOS Y BENEFICIOS</w:t>
      </w:r>
    </w:p>
    <w:p w:rsidR="00B56882" w:rsidRDefault="00B56882" w:rsidP="00B56882">
      <w:pPr>
        <w:pStyle w:val="Sinespaciado"/>
        <w:jc w:val="both"/>
        <w:rPr>
          <w:rFonts w:cs="Arial"/>
        </w:rPr>
      </w:pPr>
    </w:p>
    <w:p w:rsidR="00B56882" w:rsidRPr="000B53E2" w:rsidRDefault="00B56882" w:rsidP="00B56882">
      <w:pPr>
        <w:pStyle w:val="Sinespaciado"/>
        <w:jc w:val="both"/>
        <w:rPr>
          <w:rFonts w:cs="Arial"/>
        </w:rPr>
      </w:pPr>
      <w:r w:rsidRPr="00E95451">
        <w:rPr>
          <w:rFonts w:cs="Arial"/>
        </w:rPr>
        <w:t>Se prev</w:t>
      </w:r>
      <w:r>
        <w:rPr>
          <w:rFonts w:cs="Arial"/>
        </w:rPr>
        <w:t>ieron</w:t>
      </w:r>
      <w:r w:rsidRPr="00E95451">
        <w:rPr>
          <w:rFonts w:cs="Arial"/>
        </w:rPr>
        <w:t xml:space="preserve"> recaudar ingresos por </w:t>
      </w:r>
      <w:r>
        <w:rPr>
          <w:rFonts w:cs="Arial"/>
        </w:rPr>
        <w:t>1,363,412,317.00</w:t>
      </w:r>
      <w:r w:rsidRPr="00E95451">
        <w:rPr>
          <w:rFonts w:cs="Arial"/>
        </w:rPr>
        <w:t xml:space="preserve">, integrados de la siguiente forma: </w:t>
      </w:r>
      <w:r>
        <w:rPr>
          <w:rFonts w:cs="Arial"/>
        </w:rPr>
        <w:t>496,741,289.00</w:t>
      </w:r>
      <w:r w:rsidRPr="00E95451">
        <w:rPr>
          <w:rFonts w:cs="Arial"/>
        </w:rPr>
        <w:t xml:space="preserve"> de “Ingresos Financieros”, de los cuales </w:t>
      </w:r>
      <w:r>
        <w:rPr>
          <w:rFonts w:cs="Arial"/>
        </w:rPr>
        <w:t>479,941,289.00</w:t>
      </w:r>
      <w:r w:rsidRPr="00E95451">
        <w:rPr>
          <w:rFonts w:cs="Arial"/>
        </w:rPr>
        <w:t xml:space="preserve"> </w:t>
      </w:r>
      <w:r>
        <w:rPr>
          <w:rFonts w:cs="Arial"/>
        </w:rPr>
        <w:t>para pago a la</w:t>
      </w:r>
      <w:r w:rsidRPr="00E95451">
        <w:rPr>
          <w:rFonts w:cs="Arial"/>
        </w:rPr>
        <w:t xml:space="preserve"> fiduciaria (bonos)</w:t>
      </w:r>
      <w:r>
        <w:rPr>
          <w:rFonts w:cs="Arial"/>
        </w:rPr>
        <w:t xml:space="preserve"> por</w:t>
      </w:r>
      <w:r w:rsidRPr="00E95451">
        <w:rPr>
          <w:rFonts w:cs="Arial"/>
        </w:rPr>
        <w:t xml:space="preserve"> intereses del Fideicomiso de Cobranza, más </w:t>
      </w:r>
      <w:r>
        <w:rPr>
          <w:rFonts w:cs="Arial"/>
        </w:rPr>
        <w:t>16,800,000.00</w:t>
      </w:r>
      <w:r w:rsidRPr="00E95451">
        <w:rPr>
          <w:rFonts w:cs="Arial"/>
        </w:rPr>
        <w:t xml:space="preserve"> de “Productos Financieros de Tipo Corriente”</w:t>
      </w:r>
      <w:r>
        <w:rPr>
          <w:rFonts w:cs="Arial"/>
        </w:rPr>
        <w:t>. Así mismo,</w:t>
      </w:r>
      <w:r w:rsidRPr="00D13270">
        <w:rPr>
          <w:rFonts w:cs="Arial"/>
        </w:rPr>
        <w:t xml:space="preserve"> </w:t>
      </w:r>
      <w:r>
        <w:rPr>
          <w:rFonts w:cs="Arial"/>
        </w:rPr>
        <w:t>866,671,028.00 d</w:t>
      </w:r>
      <w:r w:rsidRPr="00E95451">
        <w:rPr>
          <w:rFonts w:cs="Arial"/>
        </w:rPr>
        <w:t xml:space="preserve">e “Otros Ingresos </w:t>
      </w:r>
      <w:r>
        <w:rPr>
          <w:rFonts w:cs="Arial"/>
        </w:rPr>
        <w:t>y Beneficios Varios”</w:t>
      </w:r>
      <w:r w:rsidRPr="00E95451">
        <w:rPr>
          <w:rFonts w:cs="Arial"/>
        </w:rPr>
        <w:t xml:space="preserve">, </w:t>
      </w:r>
      <w:r>
        <w:rPr>
          <w:rFonts w:cs="Arial"/>
        </w:rPr>
        <w:t xml:space="preserve">de los cuales </w:t>
      </w:r>
      <w:r w:rsidRPr="00E95451">
        <w:rPr>
          <w:rFonts w:cs="Arial"/>
        </w:rPr>
        <w:t xml:space="preserve">para los pagos de </w:t>
      </w:r>
      <w:r>
        <w:rPr>
          <w:rFonts w:cs="Arial"/>
        </w:rPr>
        <w:t>“</w:t>
      </w:r>
      <w:r w:rsidRPr="00E95451">
        <w:rPr>
          <w:rFonts w:cs="Arial"/>
        </w:rPr>
        <w:t>amortización de capital</w:t>
      </w:r>
      <w:r>
        <w:rPr>
          <w:rFonts w:cs="Arial"/>
        </w:rPr>
        <w:t>”</w:t>
      </w:r>
      <w:r w:rsidRPr="00E95451">
        <w:rPr>
          <w:rFonts w:cs="Arial"/>
        </w:rPr>
        <w:t xml:space="preserve"> </w:t>
      </w:r>
      <w:r>
        <w:rPr>
          <w:rFonts w:cs="Arial"/>
        </w:rPr>
        <w:t>son</w:t>
      </w:r>
      <w:r w:rsidRPr="00E95451">
        <w:rPr>
          <w:rFonts w:cs="Arial"/>
        </w:rPr>
        <w:t xml:space="preserve"> </w:t>
      </w:r>
      <w:r>
        <w:rPr>
          <w:rFonts w:cs="Arial"/>
        </w:rPr>
        <w:t>359,841,028.00,</w:t>
      </w:r>
      <w:r w:rsidRPr="00E95451">
        <w:rPr>
          <w:rFonts w:cs="Arial"/>
        </w:rPr>
        <w:t xml:space="preserve"> así como </w:t>
      </w:r>
      <w:r>
        <w:rPr>
          <w:rFonts w:cs="Arial"/>
        </w:rPr>
        <w:t xml:space="preserve">479,504,000.00 de “Remanentes e intereses del fideicomiso de cobranza”, 23,630,000.00 </w:t>
      </w:r>
      <w:r w:rsidRPr="00E95451">
        <w:rPr>
          <w:rFonts w:cs="Arial"/>
        </w:rPr>
        <w:t xml:space="preserve">para </w:t>
      </w:r>
      <w:r>
        <w:rPr>
          <w:rFonts w:cs="Arial"/>
        </w:rPr>
        <w:t xml:space="preserve">“Mantenimiento mayor” y 3,696,000.00 en </w:t>
      </w:r>
      <w:r w:rsidRPr="00E95451">
        <w:rPr>
          <w:rFonts w:cs="Arial"/>
        </w:rPr>
        <w:t xml:space="preserve">“Otros Ingresos </w:t>
      </w:r>
      <w:r>
        <w:rPr>
          <w:rFonts w:cs="Arial"/>
        </w:rPr>
        <w:t>Varios</w:t>
      </w:r>
      <w:r w:rsidRPr="00E95451">
        <w:rPr>
          <w:rFonts w:cs="Arial"/>
        </w:rPr>
        <w:t>”.</w:t>
      </w:r>
    </w:p>
    <w:p w:rsidR="00B56882" w:rsidRPr="000B53E2" w:rsidRDefault="00B56882" w:rsidP="00B56882">
      <w:pPr>
        <w:pStyle w:val="Sinespaciado"/>
        <w:jc w:val="both"/>
        <w:rPr>
          <w:rFonts w:cs="Arial"/>
        </w:rPr>
      </w:pPr>
    </w:p>
    <w:p w:rsidR="00B56882" w:rsidRDefault="00B56882" w:rsidP="00B56882">
      <w:pPr>
        <w:pStyle w:val="Sinespaciado"/>
        <w:jc w:val="both"/>
        <w:rPr>
          <w:rFonts w:cs="Arial"/>
        </w:rPr>
      </w:pPr>
      <w:r>
        <w:rPr>
          <w:rFonts w:cs="Arial"/>
        </w:rPr>
        <w:t>S</w:t>
      </w:r>
      <w:r w:rsidRPr="007463B0">
        <w:rPr>
          <w:rFonts w:cs="Arial"/>
        </w:rPr>
        <w:t>e realiza</w:t>
      </w:r>
      <w:r>
        <w:rPr>
          <w:rFonts w:cs="Arial"/>
        </w:rPr>
        <w:t>r</w:t>
      </w:r>
      <w:r w:rsidRPr="007463B0">
        <w:rPr>
          <w:rFonts w:cs="Arial"/>
        </w:rPr>
        <w:t>o</w:t>
      </w:r>
      <w:r>
        <w:rPr>
          <w:rFonts w:cs="Arial"/>
        </w:rPr>
        <w:t>n</w:t>
      </w:r>
      <w:r w:rsidRPr="007463B0">
        <w:rPr>
          <w:rFonts w:cs="Arial"/>
        </w:rPr>
        <w:t xml:space="preserve"> </w:t>
      </w:r>
      <w:r>
        <w:rPr>
          <w:rFonts w:cs="Arial"/>
        </w:rPr>
        <w:t xml:space="preserve">traspasos internos </w:t>
      </w:r>
      <w:r w:rsidRPr="00465CD5">
        <w:rPr>
          <w:rFonts w:cs="Arial"/>
        </w:rPr>
        <w:t xml:space="preserve">para </w:t>
      </w:r>
      <w:r>
        <w:rPr>
          <w:rFonts w:cs="Arial"/>
        </w:rPr>
        <w:t xml:space="preserve">dar </w:t>
      </w:r>
      <w:r w:rsidRPr="007463B0">
        <w:rPr>
          <w:rFonts w:cs="Arial"/>
        </w:rPr>
        <w:t>suficiencia presupuestal a los otros ingresos por intereses generados en las cuentas bancarias</w:t>
      </w:r>
      <w:r>
        <w:rPr>
          <w:rFonts w:cs="Arial"/>
        </w:rPr>
        <w:t xml:space="preserve">, para otros ingresos y beneficios varios y </w:t>
      </w:r>
      <w:r w:rsidRPr="007463B0">
        <w:rPr>
          <w:rFonts w:cs="Arial"/>
        </w:rPr>
        <w:t>para rendimientos de la remesa de ingresos por RPC (Registro Público de Comercio</w:t>
      </w:r>
      <w:r>
        <w:rPr>
          <w:rFonts w:cs="Arial"/>
        </w:rPr>
        <w:t xml:space="preserve">), principalmente. Así mismo, se han realizaron </w:t>
      </w:r>
      <w:r w:rsidRPr="00465CD5">
        <w:rPr>
          <w:rFonts w:cs="Arial"/>
        </w:rPr>
        <w:t xml:space="preserve">ampliaciones presupuestales </w:t>
      </w:r>
      <w:r>
        <w:rPr>
          <w:rFonts w:cs="Arial"/>
        </w:rPr>
        <w:t>por 17,119,617.00 para el pago de los adeudos de ejercicios fiscales anteriores (ADEFAS 2019).</w:t>
      </w:r>
    </w:p>
    <w:p w:rsidR="00B56882" w:rsidRDefault="00B56882" w:rsidP="00B56882">
      <w:pPr>
        <w:pStyle w:val="Sinespaciado"/>
        <w:jc w:val="both"/>
        <w:rPr>
          <w:rFonts w:cs="Arial"/>
          <w:highlight w:val="yellow"/>
        </w:rPr>
      </w:pPr>
    </w:p>
    <w:p w:rsidR="00B56882" w:rsidRDefault="002F4CF9" w:rsidP="00B56882">
      <w:pPr>
        <w:pStyle w:val="Sinespaciado"/>
        <w:jc w:val="both"/>
        <w:rPr>
          <w:rFonts w:cs="Arial"/>
        </w:rPr>
      </w:pPr>
      <w:r>
        <w:rPr>
          <w:rFonts w:cs="Arial"/>
          <w:b/>
        </w:rPr>
        <w:t>Ingresos Financieros.</w:t>
      </w:r>
      <w:r w:rsidR="00B56882" w:rsidRPr="00F6076C">
        <w:rPr>
          <w:rFonts w:cs="Arial"/>
          <w:b/>
        </w:rPr>
        <w:t>-</w:t>
      </w:r>
      <w:r w:rsidR="00B56882" w:rsidRPr="000B53E2">
        <w:rPr>
          <w:rFonts w:cs="Arial"/>
        </w:rPr>
        <w:t xml:space="preserve"> Se </w:t>
      </w:r>
      <w:r w:rsidR="00B56882" w:rsidRPr="00025F2E">
        <w:rPr>
          <w:rFonts w:cs="Arial"/>
        </w:rPr>
        <w:t xml:space="preserve">tiene recaudado </w:t>
      </w:r>
      <w:r w:rsidR="00B56882">
        <w:rPr>
          <w:rFonts w:cs="Arial"/>
        </w:rPr>
        <w:t xml:space="preserve">un importe </w:t>
      </w:r>
      <w:r w:rsidR="00B56882" w:rsidRPr="006C585A">
        <w:rPr>
          <w:rFonts w:cs="Arial"/>
        </w:rPr>
        <w:t xml:space="preserve">de </w:t>
      </w:r>
      <w:r w:rsidR="00B56882">
        <w:rPr>
          <w:rFonts w:cs="Arial"/>
        </w:rPr>
        <w:t xml:space="preserve">477,463,128.77 </w:t>
      </w:r>
      <w:r w:rsidR="00B56882" w:rsidRPr="00025F2E">
        <w:rPr>
          <w:rFonts w:cs="Arial"/>
        </w:rPr>
        <w:t xml:space="preserve">de los cuales </w:t>
      </w:r>
      <w:r w:rsidR="00B56882">
        <w:rPr>
          <w:rFonts w:cs="Arial"/>
        </w:rPr>
        <w:t xml:space="preserve">461,665,848.24 </w:t>
      </w:r>
      <w:r w:rsidR="00B56882" w:rsidRPr="00025F2E">
        <w:t>corresponden a los ingresos</w:t>
      </w:r>
      <w:r w:rsidR="00B56882" w:rsidRPr="005B7A43">
        <w:t xml:space="preserve"> del Fideicomiso de Cobranza para los pagos de intereses de los bonos correspondientes al ejercicio </w:t>
      </w:r>
      <w:r w:rsidR="00B56882">
        <w:t>y 15,797,280.53</w:t>
      </w:r>
      <w:r w:rsidR="00B56882" w:rsidRPr="005B7A43">
        <w:t xml:space="preserve"> se derivan de rendimientos </w:t>
      </w:r>
      <w:r w:rsidR="00B56882" w:rsidRPr="005B7A43">
        <w:rPr>
          <w:rFonts w:cs="Arial"/>
        </w:rPr>
        <w:t>por intereses financieros generados p</w:t>
      </w:r>
      <w:r w:rsidR="00B56882" w:rsidRPr="000B53E2">
        <w:rPr>
          <w:rFonts w:cs="Arial"/>
        </w:rPr>
        <w:t>or las inversiones de las Institucio</w:t>
      </w:r>
      <w:r w:rsidR="00B56882">
        <w:rPr>
          <w:rFonts w:cs="Arial"/>
        </w:rPr>
        <w:t>nes Bancarias de este Instituto, los cuales incluyen 6,280,872.51 de intereses generados en la cuenta bancaria de “Remanentes 2020”.</w:t>
      </w:r>
    </w:p>
    <w:p w:rsidR="00B56882" w:rsidRDefault="00B56882" w:rsidP="00B56882">
      <w:pPr>
        <w:pStyle w:val="Sinespaciado"/>
        <w:jc w:val="both"/>
        <w:rPr>
          <w:rFonts w:cs="Arial"/>
        </w:rPr>
      </w:pPr>
    </w:p>
    <w:p w:rsidR="00B56882" w:rsidRDefault="00B56882" w:rsidP="00B56882">
      <w:pPr>
        <w:pStyle w:val="Sinespaciado"/>
        <w:jc w:val="both"/>
        <w:rPr>
          <w:rFonts w:cs="Arial"/>
        </w:rPr>
      </w:pPr>
      <w:r w:rsidRPr="006C585A">
        <w:rPr>
          <w:rFonts w:cs="Arial"/>
          <w:b/>
        </w:rPr>
        <w:t>Ingresos Diversos.</w:t>
      </w:r>
      <w:r w:rsidR="002F4CF9">
        <w:rPr>
          <w:rFonts w:cs="Arial"/>
          <w:b/>
        </w:rPr>
        <w:t>-</w:t>
      </w:r>
      <w:r w:rsidRPr="006C585A">
        <w:rPr>
          <w:rFonts w:cs="Arial"/>
          <w:b/>
        </w:rPr>
        <w:t xml:space="preserve"> </w:t>
      </w:r>
      <w:r w:rsidRPr="006C585A">
        <w:rPr>
          <w:rFonts w:cs="Arial"/>
        </w:rPr>
        <w:t xml:space="preserve">Se </w:t>
      </w:r>
      <w:r>
        <w:rPr>
          <w:rFonts w:cs="Arial"/>
        </w:rPr>
        <w:t>registran ingresos diversos recaudados por</w:t>
      </w:r>
      <w:r w:rsidRPr="006C585A">
        <w:rPr>
          <w:rFonts w:cs="Arial"/>
        </w:rPr>
        <w:t xml:space="preserve"> </w:t>
      </w:r>
      <w:r>
        <w:rPr>
          <w:rFonts w:cs="Arial"/>
        </w:rPr>
        <w:t>646,492,498.90, los cuales se componen principalmente de la siguiente forma: 356</w:t>
      </w:r>
      <w:r>
        <w:t>,539,353.74</w:t>
      </w:r>
      <w:r w:rsidRPr="00200710">
        <w:t xml:space="preserve"> para pagos de amortización de capital de las series “A</w:t>
      </w:r>
      <w:r>
        <w:t>”</w:t>
      </w:r>
      <w:r w:rsidRPr="00200710">
        <w:t xml:space="preserve"> </w:t>
      </w:r>
      <w:r>
        <w:t>y “</w:t>
      </w:r>
      <w:r w:rsidRPr="00200710">
        <w:t>B</w:t>
      </w:r>
      <w:r>
        <w:t>” y subordinada “C</w:t>
      </w:r>
      <w:r w:rsidRPr="00200710">
        <w:t xml:space="preserve">” por la emisión de los Certificados Bursátiles Fiduciarios; </w:t>
      </w:r>
      <w:r>
        <w:t>48,740.36</w:t>
      </w:r>
      <w:r w:rsidRPr="00200710">
        <w:t xml:space="preserve"> </w:t>
      </w:r>
      <w:r w:rsidRPr="00200710">
        <w:rPr>
          <w:rFonts w:cs="Arial"/>
        </w:rPr>
        <w:t xml:space="preserve">de los intereses generados por las transferencias de los depósitos del Registro Público de Comercio </w:t>
      </w:r>
      <w:r>
        <w:rPr>
          <w:rFonts w:cs="Arial"/>
        </w:rPr>
        <w:t>(rendimientos de la remesa de ingresos por RPC); 289,495,051.69 por remanentes del fideicomiso de cobranza.</w:t>
      </w:r>
      <w:r w:rsidRPr="00200710">
        <w:rPr>
          <w:rFonts w:cs="Arial"/>
        </w:rPr>
        <w:t xml:space="preserve"> </w:t>
      </w:r>
      <w:r>
        <w:rPr>
          <w:rFonts w:cs="Arial"/>
        </w:rPr>
        <w:t>Asimismo, s</w:t>
      </w:r>
      <w:r w:rsidRPr="00200710">
        <w:rPr>
          <w:rFonts w:cs="Arial"/>
        </w:rPr>
        <w:t xml:space="preserve">e ha recaudado </w:t>
      </w:r>
      <w:r>
        <w:rPr>
          <w:rFonts w:cs="Arial"/>
        </w:rPr>
        <w:t>409,353.11</w:t>
      </w:r>
      <w:r w:rsidRPr="00200710">
        <w:rPr>
          <w:rFonts w:cs="Arial"/>
        </w:rPr>
        <w:t xml:space="preserve"> de ingresos varios (</w:t>
      </w:r>
      <w:r>
        <w:rPr>
          <w:rFonts w:cs="Arial"/>
        </w:rPr>
        <w:t xml:space="preserve">venta de bases para concurso, </w:t>
      </w:r>
      <w:r w:rsidRPr="00200710">
        <w:rPr>
          <w:rFonts w:cs="Arial"/>
        </w:rPr>
        <w:t xml:space="preserve">llamadas telefónicas no oficiales, </w:t>
      </w:r>
      <w:r>
        <w:rPr>
          <w:rFonts w:cs="Arial"/>
        </w:rPr>
        <w:t>aprovechamientos por sanción o incumplimiento, depósitos no referenciados, venta de papel, recuperación en indemnización de bienes muebles, entre otros.</w:t>
      </w:r>
    </w:p>
    <w:p w:rsidR="00B56882" w:rsidRDefault="00B56882" w:rsidP="00B56882">
      <w:pPr>
        <w:pStyle w:val="Sinespaciado"/>
        <w:jc w:val="both"/>
        <w:rPr>
          <w:highlight w:val="yellow"/>
        </w:rPr>
      </w:pPr>
      <w:r>
        <w:rPr>
          <w:highlight w:val="yellow"/>
        </w:rPr>
        <w:br w:type="page"/>
      </w:r>
    </w:p>
    <w:p w:rsidR="00B56882" w:rsidRPr="00B712A7" w:rsidRDefault="00B56882" w:rsidP="00B56882">
      <w:pPr>
        <w:pStyle w:val="Prrafodelista"/>
        <w:numPr>
          <w:ilvl w:val="0"/>
          <w:numId w:val="12"/>
        </w:numPr>
        <w:spacing w:after="240" w:line="276" w:lineRule="auto"/>
        <w:ind w:right="-1"/>
        <w:jc w:val="both"/>
        <w:rPr>
          <w:rFonts w:ascii="HelveticaNeueLT Std" w:hAnsi="HelveticaNeueLT Std" w:cs="Arial"/>
          <w:sz w:val="20"/>
          <w:szCs w:val="20"/>
        </w:rPr>
      </w:pPr>
      <w:r w:rsidRPr="00B712A7">
        <w:rPr>
          <w:rFonts w:ascii="HelveticaNeueLT Std" w:hAnsi="HelveticaNeueLT Std"/>
          <w:b/>
          <w:sz w:val="20"/>
          <w:szCs w:val="20"/>
        </w:rPr>
        <w:t>Información sobre la Deuda y el Reporte Analítico de la Deuda</w:t>
      </w:r>
    </w:p>
    <w:p w:rsidR="00B56882" w:rsidRPr="00B712A7" w:rsidRDefault="00B56882" w:rsidP="00B56882">
      <w:pPr>
        <w:pStyle w:val="Prrafodelista"/>
        <w:spacing w:line="259" w:lineRule="auto"/>
        <w:ind w:left="644"/>
        <w:rPr>
          <w:rFonts w:ascii="HelveticaNeueLT Std" w:hAnsi="HelveticaNeueLT Std" w:cs="Arial"/>
          <w:sz w:val="20"/>
          <w:szCs w:val="20"/>
        </w:rPr>
      </w:pPr>
    </w:p>
    <w:p w:rsidR="00B56882" w:rsidRPr="00B712A7" w:rsidRDefault="00B56882" w:rsidP="00B56882">
      <w:pPr>
        <w:spacing w:line="276" w:lineRule="auto"/>
        <w:ind w:right="-1"/>
        <w:jc w:val="both"/>
        <w:rPr>
          <w:rFonts w:cs="Arial"/>
        </w:rPr>
      </w:pPr>
      <w:r w:rsidRPr="00B712A7">
        <w:rPr>
          <w:rFonts w:cs="Arial"/>
        </w:rPr>
        <w:t>Al mes actual el análisis de la deuda se integra de la siguiente manera:</w:t>
      </w:r>
    </w:p>
    <w:p w:rsidR="00B56882" w:rsidRPr="00B712A7" w:rsidRDefault="00B56882" w:rsidP="00B56882">
      <w:pPr>
        <w:spacing w:line="276" w:lineRule="auto"/>
        <w:ind w:right="-1"/>
        <w:rPr>
          <w:noProof/>
          <w:lang w:eastAsia="es-MX"/>
        </w:rPr>
      </w:pPr>
      <w:r w:rsidRPr="00B712A7">
        <w:rPr>
          <w:rFonts w:cs="Arial"/>
        </w:rPr>
        <w:t xml:space="preserve">Mensual: </w:t>
      </w:r>
    </w:p>
    <w:p w:rsidR="00B56882" w:rsidRPr="00B712A7" w:rsidRDefault="00B56882" w:rsidP="00B56882">
      <w:pPr>
        <w:spacing w:line="276" w:lineRule="auto"/>
        <w:ind w:right="-1"/>
        <w:jc w:val="center"/>
        <w:rPr>
          <w:rFonts w:cs="Arial"/>
          <w:b/>
          <w:highlight w:val="yellow"/>
        </w:rPr>
      </w:pPr>
      <w:r w:rsidRPr="004C5A84">
        <w:rPr>
          <w:noProof/>
          <w:lang w:eastAsia="es-MX"/>
        </w:rPr>
        <w:drawing>
          <wp:inline distT="0" distB="0" distL="0" distR="0" wp14:anchorId="1BDD962A" wp14:editId="1ED677DE">
            <wp:extent cx="6389370" cy="20578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2057875"/>
                    </a:xfrm>
                    <a:prstGeom prst="rect">
                      <a:avLst/>
                    </a:prstGeom>
                    <a:noFill/>
                    <a:ln>
                      <a:noFill/>
                    </a:ln>
                  </pic:spPr>
                </pic:pic>
              </a:graphicData>
            </a:graphic>
          </wp:inline>
        </w:drawing>
      </w:r>
    </w:p>
    <w:p w:rsidR="00B56882" w:rsidRPr="00B712A7" w:rsidRDefault="00B56882" w:rsidP="00B56882">
      <w:pPr>
        <w:spacing w:line="276" w:lineRule="auto"/>
        <w:ind w:right="-1"/>
        <w:jc w:val="center"/>
        <w:rPr>
          <w:rFonts w:cs="Arial"/>
          <w:highlight w:val="yellow"/>
        </w:rPr>
      </w:pPr>
    </w:p>
    <w:p w:rsidR="00B56882" w:rsidRPr="00B712A7" w:rsidRDefault="00B56882" w:rsidP="00B56882">
      <w:pPr>
        <w:spacing w:line="276" w:lineRule="auto"/>
        <w:ind w:right="-1"/>
        <w:rPr>
          <w:rFonts w:cs="Arial"/>
        </w:rPr>
      </w:pPr>
      <w:r w:rsidRPr="00B712A7">
        <w:rPr>
          <w:rFonts w:cs="Arial"/>
        </w:rPr>
        <w:t xml:space="preserve">Acumulada: </w:t>
      </w:r>
    </w:p>
    <w:p w:rsidR="00B56882" w:rsidRPr="00B712A7" w:rsidRDefault="00B56882" w:rsidP="00B56882">
      <w:pPr>
        <w:spacing w:line="276" w:lineRule="auto"/>
        <w:ind w:right="-1"/>
        <w:jc w:val="both"/>
        <w:rPr>
          <w:rFonts w:cs="Arial"/>
          <w:highlight w:val="yellow"/>
          <w:lang w:eastAsia="es-ES"/>
        </w:rPr>
      </w:pPr>
    </w:p>
    <w:p w:rsidR="00B56882" w:rsidRDefault="00B56882" w:rsidP="00B56882">
      <w:pPr>
        <w:spacing w:line="259" w:lineRule="auto"/>
        <w:rPr>
          <w:rFonts w:cs="Arial"/>
          <w:lang w:eastAsia="es-ES"/>
        </w:rPr>
      </w:pPr>
      <w:r w:rsidRPr="004C5A84">
        <w:rPr>
          <w:noProof/>
          <w:lang w:eastAsia="es-MX"/>
        </w:rPr>
        <w:drawing>
          <wp:inline distT="0" distB="0" distL="0" distR="0" wp14:anchorId="24C13260" wp14:editId="22B66598">
            <wp:extent cx="6389370" cy="19494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1949450"/>
                    </a:xfrm>
                    <a:prstGeom prst="rect">
                      <a:avLst/>
                    </a:prstGeom>
                    <a:noFill/>
                    <a:ln>
                      <a:noFill/>
                    </a:ln>
                  </pic:spPr>
                </pic:pic>
              </a:graphicData>
            </a:graphic>
          </wp:inline>
        </w:drawing>
      </w:r>
      <w:r w:rsidRPr="00FA53E6">
        <w:rPr>
          <w:rFonts w:cs="Arial"/>
          <w:lang w:eastAsia="es-ES"/>
        </w:rPr>
        <w:br w:type="page"/>
      </w:r>
    </w:p>
    <w:p w:rsidR="00B56882" w:rsidRPr="00FA53E6" w:rsidRDefault="00B56882" w:rsidP="00B56882">
      <w:pPr>
        <w:spacing w:line="259" w:lineRule="auto"/>
        <w:rPr>
          <w:rFonts w:cs="Arial"/>
          <w:lang w:eastAsia="es-ES"/>
        </w:rPr>
      </w:pPr>
      <w:r w:rsidRPr="00FA53E6">
        <w:rPr>
          <w:rFonts w:cs="Arial"/>
          <w:lang w:eastAsia="es-ES"/>
        </w:rPr>
        <w:t>La operación del Fideicomiso de Cobranza se ha comportado de la siguiente forma:</w:t>
      </w:r>
    </w:p>
    <w:p w:rsidR="00B56882" w:rsidRPr="00FA53E6" w:rsidRDefault="00B56882" w:rsidP="00B56882">
      <w:pPr>
        <w:spacing w:line="276" w:lineRule="auto"/>
        <w:ind w:right="-1"/>
        <w:jc w:val="center"/>
        <w:rPr>
          <w:rFonts w:cs="Arial"/>
          <w:lang w:eastAsia="es-ES"/>
        </w:rPr>
      </w:pPr>
      <w:r w:rsidRPr="004C5A84">
        <w:rPr>
          <w:noProof/>
          <w:lang w:eastAsia="es-MX"/>
        </w:rPr>
        <w:drawing>
          <wp:inline distT="0" distB="0" distL="0" distR="0" wp14:anchorId="4A642E18" wp14:editId="00491934">
            <wp:extent cx="6389370" cy="231006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9370" cy="2310062"/>
                    </a:xfrm>
                    <a:prstGeom prst="rect">
                      <a:avLst/>
                    </a:prstGeom>
                    <a:noFill/>
                    <a:ln>
                      <a:noFill/>
                    </a:ln>
                  </pic:spPr>
                </pic:pic>
              </a:graphicData>
            </a:graphic>
          </wp:inline>
        </w:drawing>
      </w:r>
    </w:p>
    <w:p w:rsidR="00B56882" w:rsidRDefault="00B56882" w:rsidP="00B56882">
      <w:pPr>
        <w:spacing w:before="240" w:line="276" w:lineRule="auto"/>
        <w:ind w:right="-1"/>
        <w:jc w:val="both"/>
        <w:rPr>
          <w:rFonts w:cs="Arial"/>
        </w:rPr>
      </w:pPr>
      <w:r>
        <w:rPr>
          <w:rFonts w:cs="Arial"/>
        </w:rPr>
        <w:t>El</w:t>
      </w:r>
      <w:r w:rsidRPr="00FA53E6">
        <w:rPr>
          <w:rFonts w:cs="Arial"/>
        </w:rPr>
        <w:t xml:space="preserve"> saldo de la cuenta 2221 </w:t>
      </w:r>
      <w:r w:rsidRPr="004C5A84">
        <w:rPr>
          <w:rFonts w:cs="Arial"/>
        </w:rPr>
        <w:t xml:space="preserve"> “Documentos Comerciales Por Pagar a Largo Plazo” es de: 4,879,826,797.75, que se componen de; los CBFS de la Serie “A” por 1,973,241,945.85, para los CBFS de la Serie “B”, 927,744,857 y para los CBFS Subordinados de la Serie “C”, 1,978,839,994.90, cabe mencionar que esta última se contrató en Unidades de Inversión (UDI), por lo tanto, el Saldo Capital es de: 474,948,447.41 UDI; para la Amortización de capital es de 14,747,368.21 UDI y para los intereses es de 14,334,735.73 UDI, de acuerdo con la Tabla de Amortización, Crédito 9439 del Fideicomiso F/1426. </w:t>
      </w:r>
    </w:p>
    <w:p w:rsidR="00B56882" w:rsidRPr="00B712A7" w:rsidRDefault="00B56882" w:rsidP="00B56882">
      <w:pPr>
        <w:spacing w:before="240" w:line="276" w:lineRule="auto"/>
        <w:ind w:right="-1"/>
        <w:jc w:val="both"/>
        <w:rPr>
          <w:rFonts w:cs="Arial"/>
        </w:rPr>
      </w:pPr>
      <w:r w:rsidRPr="00B712A7">
        <w:rPr>
          <w:rFonts w:cs="Arial"/>
        </w:rPr>
        <w:t>Los pagos de intereses más la amortización de capital por los cupones programados se observan en el siguiente cuadro:</w:t>
      </w:r>
    </w:p>
    <w:p w:rsidR="00B56882" w:rsidRDefault="00B56882" w:rsidP="00B56882">
      <w:pPr>
        <w:spacing w:line="259" w:lineRule="auto"/>
        <w:rPr>
          <w:rFonts w:cs="Arial"/>
        </w:rPr>
      </w:pPr>
      <w:r w:rsidRPr="00EB7795">
        <w:rPr>
          <w:noProof/>
          <w:lang w:eastAsia="es-MX"/>
        </w:rPr>
        <w:drawing>
          <wp:inline distT="0" distB="0" distL="0" distR="0" wp14:anchorId="0F588223" wp14:editId="51852C91">
            <wp:extent cx="6389370" cy="228624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9370" cy="2286245"/>
                    </a:xfrm>
                    <a:prstGeom prst="rect">
                      <a:avLst/>
                    </a:prstGeom>
                    <a:noFill/>
                    <a:ln>
                      <a:noFill/>
                    </a:ln>
                  </pic:spPr>
                </pic:pic>
              </a:graphicData>
            </a:graphic>
          </wp:inline>
        </w:drawing>
      </w:r>
    </w:p>
    <w:p w:rsidR="00B56882" w:rsidRPr="00B712A7" w:rsidRDefault="00B56882" w:rsidP="00B56882">
      <w:pPr>
        <w:spacing w:before="240" w:line="276" w:lineRule="auto"/>
        <w:ind w:right="-1"/>
        <w:jc w:val="center"/>
        <w:rPr>
          <w:rFonts w:cs="Arial"/>
          <w:highlight w:val="yellow"/>
        </w:rPr>
      </w:pPr>
    </w:p>
    <w:p w:rsidR="00B56882" w:rsidRPr="00FA53E6" w:rsidRDefault="00B56882" w:rsidP="00B56882">
      <w:pPr>
        <w:spacing w:line="259" w:lineRule="auto"/>
        <w:rPr>
          <w:rFonts w:cs="Arial"/>
        </w:rPr>
      </w:pPr>
      <w:r w:rsidRPr="00FA53E6">
        <w:rPr>
          <w:rFonts w:cs="Arial"/>
        </w:rPr>
        <w:t>Las transferencias al Gobierno del Estado de México de los remanentes del Fideicomiso de Cobranza, más los intereses generados, se destinan a la inversión productiva de acuerdo a lo establecido en el contrato irrevocable</w:t>
      </w:r>
      <w:r w:rsidRPr="00B56882">
        <w:rPr>
          <w:rFonts w:cs="Arial"/>
        </w:rPr>
        <w:t xml:space="preserve"> </w:t>
      </w:r>
      <w:r w:rsidRPr="00FA53E6">
        <w:rPr>
          <w:rFonts w:cs="Arial"/>
        </w:rPr>
        <w:t>No. 80615 y se han llevado a cabo como sigue:</w:t>
      </w:r>
    </w:p>
    <w:p w:rsidR="00B56882" w:rsidRPr="00FA53E6" w:rsidRDefault="0010103D" w:rsidP="00B56882">
      <w:pPr>
        <w:spacing w:line="276" w:lineRule="auto"/>
        <w:ind w:right="-1"/>
        <w:jc w:val="center"/>
        <w:rPr>
          <w:rFonts w:cs="Arial"/>
        </w:rPr>
      </w:pPr>
      <w:r w:rsidRPr="0010103D">
        <w:rPr>
          <w:noProof/>
          <w:lang w:eastAsia="es-MX"/>
        </w:rPr>
        <w:drawing>
          <wp:inline distT="0" distB="0" distL="0" distR="0">
            <wp:extent cx="4876800" cy="31775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76800" cy="3177540"/>
                    </a:xfrm>
                    <a:prstGeom prst="rect">
                      <a:avLst/>
                    </a:prstGeom>
                    <a:noFill/>
                    <a:ln>
                      <a:noFill/>
                    </a:ln>
                  </pic:spPr>
                </pic:pic>
              </a:graphicData>
            </a:graphic>
          </wp:inline>
        </w:drawing>
      </w:r>
    </w:p>
    <w:p w:rsidR="00B56882" w:rsidRPr="00FA53E6" w:rsidRDefault="00B56882" w:rsidP="00B56882">
      <w:pPr>
        <w:spacing w:line="276" w:lineRule="auto"/>
        <w:ind w:right="-1"/>
        <w:contextualSpacing/>
        <w:jc w:val="both"/>
      </w:pPr>
      <w:r w:rsidRPr="00FA53E6">
        <w:t>Con relación a los remanentes correspondientes a la distribución 116 y, con fundamento en el oficio número 2075A000000000-52/2020 de fecha 29 de abril del presente año, mediante el cual el Subsecretario de Tesorería del Gobierno del Estado de México, autoriza que los recursos transferidos por Nacional Financiera, S.N.C., por este concepto, los podrá conservar el IFREM,  para ser destinados  en caso de déficit en el pago de las obligaciones financieras asumidas en el Contrato de Fideicomiso Irrevocable N° 80615, al vencimiento del pago de los certificados Bursátiles fiduciarios Serie A y Serie B y Subordinada Serie C, calendarizada en los meses de agosto y septiembre del presente año. Dichos recursos se administran financieramente en la cuenta bancaria referida en las notas al Estado de Situación Financiera en el punto 3 de estas notas.</w:t>
      </w:r>
    </w:p>
    <w:p w:rsidR="00B56882" w:rsidRPr="00B712A7" w:rsidRDefault="00B56882" w:rsidP="00B56882">
      <w:pPr>
        <w:spacing w:line="276" w:lineRule="auto"/>
        <w:ind w:right="-1"/>
        <w:contextualSpacing/>
        <w:jc w:val="both"/>
        <w:rPr>
          <w:highlight w:val="yellow"/>
        </w:rPr>
      </w:pPr>
    </w:p>
    <w:p w:rsidR="00B56882" w:rsidRPr="00B712A7" w:rsidRDefault="00B56882" w:rsidP="00B56882">
      <w:pPr>
        <w:numPr>
          <w:ilvl w:val="0"/>
          <w:numId w:val="12"/>
        </w:numPr>
        <w:spacing w:line="276" w:lineRule="auto"/>
        <w:ind w:left="567" w:right="-1" w:hanging="567"/>
        <w:contextualSpacing/>
        <w:jc w:val="both"/>
        <w:rPr>
          <w:rFonts w:eastAsia="Times New Roman" w:cs="Arial"/>
          <w:b/>
          <w:lang w:eastAsia="es-MX"/>
        </w:rPr>
      </w:pPr>
      <w:r w:rsidRPr="00B712A7">
        <w:rPr>
          <w:rFonts w:eastAsia="Times New Roman" w:cs="Arial"/>
          <w:b/>
          <w:lang w:eastAsia="es-MX"/>
        </w:rPr>
        <w:t>Calificaciones otorgadas</w:t>
      </w:r>
    </w:p>
    <w:p w:rsidR="00B56882" w:rsidRPr="00E8314F" w:rsidRDefault="00B56882" w:rsidP="00B56882">
      <w:pPr>
        <w:spacing w:before="240"/>
        <w:jc w:val="both"/>
      </w:pPr>
      <w:r w:rsidRPr="00E8314F">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rsidR="00B56882" w:rsidRPr="004440B1" w:rsidRDefault="00B56882" w:rsidP="00B56882">
      <w:pPr>
        <w:pStyle w:val="Prrafodelista"/>
        <w:numPr>
          <w:ilvl w:val="0"/>
          <w:numId w:val="44"/>
        </w:numPr>
        <w:spacing w:before="240" w:after="160" w:line="252" w:lineRule="auto"/>
        <w:jc w:val="both"/>
        <w:rPr>
          <w:rFonts w:ascii="HelveticaNeueLT Std" w:hAnsi="HelveticaNeueLT Std"/>
          <w:i/>
          <w:sz w:val="20"/>
          <w:szCs w:val="20"/>
        </w:rPr>
      </w:pPr>
      <w:r w:rsidRPr="004440B1">
        <w:rPr>
          <w:rFonts w:ascii="HelveticaNeueLT Std" w:hAnsi="HelveticaNeueLT Std"/>
          <w:i/>
          <w:sz w:val="20"/>
          <w:szCs w:val="20"/>
        </w:rPr>
        <w:t>El 27 de julio de 2020, S&amp;P Global Ratings confirmó su calificación crediticia de emisor de largo plazo en escala nacional –CaVal– de 'mxA+' del Instituto de la Función Registral del Estado de México (IFREM). La perspectiva se mantiene estable</w:t>
      </w:r>
      <w:r w:rsidRPr="004440B1">
        <w:rPr>
          <w:rFonts w:ascii="HelveticaNeueLT Std" w:hAnsi="HelveticaNeueLT Std"/>
          <w:i/>
          <w:sz w:val="20"/>
          <w:szCs w:val="20"/>
          <w:vertAlign w:val="superscript"/>
        </w:rPr>
        <w:t xml:space="preserve"> </w:t>
      </w:r>
      <w:r w:rsidRPr="004440B1">
        <w:rPr>
          <w:rStyle w:val="Refdenotaalpie"/>
          <w:rFonts w:ascii="HelveticaNeueLT Std" w:hAnsi="HelveticaNeueLT Std"/>
          <w:i/>
          <w:sz w:val="20"/>
          <w:szCs w:val="20"/>
        </w:rPr>
        <w:footnoteReference w:customMarkFollows="1" w:id="1"/>
        <w:t>[2]</w:t>
      </w:r>
      <w:r w:rsidRPr="004440B1">
        <w:rPr>
          <w:rFonts w:ascii="HelveticaNeueLT Std" w:hAnsi="HelveticaNeueLT Std"/>
          <w:i/>
          <w:sz w:val="20"/>
          <w:szCs w:val="20"/>
        </w:rPr>
        <w:t>.</w:t>
      </w:r>
    </w:p>
    <w:p w:rsidR="00B56882" w:rsidRPr="004440B1" w:rsidRDefault="00B56882" w:rsidP="00B56882">
      <w:pPr>
        <w:spacing w:line="276" w:lineRule="auto"/>
        <w:ind w:left="567" w:right="-1"/>
        <w:contextualSpacing/>
        <w:jc w:val="both"/>
        <w:rPr>
          <w:i/>
        </w:rPr>
      </w:pPr>
      <w:r w:rsidRPr="004440B1">
        <w:rPr>
          <w:i/>
        </w:rPr>
        <w:t>La perspectiva estable refleja la perspectiva estable del Estado de México, así como nuestra expectativa de que, en los próximos 12 a 18 meses, la probabilidad casi cierta de apoyo extraordinario del Estado de México al instituto se mantenga.”</w:t>
      </w:r>
    </w:p>
    <w:p w:rsidR="00B56882" w:rsidRPr="00E8314F" w:rsidRDefault="00B56882" w:rsidP="00B56882">
      <w:pPr>
        <w:pStyle w:val="Prrafodelista"/>
        <w:numPr>
          <w:ilvl w:val="0"/>
          <w:numId w:val="44"/>
        </w:numPr>
        <w:spacing w:before="240" w:after="160" w:line="252" w:lineRule="auto"/>
        <w:jc w:val="both"/>
        <w:rPr>
          <w:rFonts w:ascii="HelveticaNeueLT Std" w:hAnsi="HelveticaNeueLT Std"/>
          <w:i/>
          <w:sz w:val="20"/>
          <w:szCs w:val="20"/>
        </w:rPr>
      </w:pPr>
      <w:r w:rsidRPr="00E8314F">
        <w:rPr>
          <w:rFonts w:ascii="HelveticaNeueLT Std" w:hAnsi="HelveticaNeueLT Std"/>
          <w:i/>
          <w:sz w:val="20"/>
          <w:szCs w:val="20"/>
        </w:rPr>
        <w:t xml:space="preserve"> “Fitch Ratings-Mexico City-30 December 2019: Fitch Ratings subió a 'AA(mex)' desde 'AA-(mex)' la calificación a la calidad crediticia del Instituto de la Función Registral del Estado de México (IFREM). La Perspectiva es Estable. El ajuste en la calificación del instituto se fundamenta en la acción similar para la calificación de lEstado de México a 'AA(mex)' desde 'AA-(mex)'.</w:t>
      </w:r>
      <w:r w:rsidRPr="00E8314F">
        <w:rPr>
          <w:rStyle w:val="Refdenotaalpie"/>
          <w:rFonts w:ascii="HelveticaNeueLT Std" w:hAnsi="HelveticaNeueLT Std"/>
          <w:i/>
          <w:sz w:val="20"/>
          <w:szCs w:val="20"/>
        </w:rPr>
        <w:footnoteReference w:customMarkFollows="1" w:id="2"/>
        <w:t>[1]</w:t>
      </w:r>
    </w:p>
    <w:p w:rsidR="00B56882" w:rsidRDefault="00B56882" w:rsidP="00B56882">
      <w:pPr>
        <w:spacing w:before="240"/>
        <w:ind w:left="709"/>
        <w:jc w:val="both"/>
        <w:rPr>
          <w:i/>
        </w:rPr>
      </w:pPr>
      <w:r w:rsidRPr="00E8314F">
        <w:rPr>
          <w:i/>
        </w:rPr>
        <w:t xml:space="preserve">Fitch considera que el IFREM es una entidad relacionada al gobierno (ERG), puesto que el Estado de México tiene control político y económico sobre el instituto. Además, Fitch considera altamente probable que el Estado brinde apoyo extraordinario al IFREM si se encuentra bajo estrés financiero, considerando que cumple sus responsabilidades con nula presencia de sustitutos potenciales. Si bien su objetivo no es estratégico, es la única entidad facultada para dar certeza, seguridad jurídica y publicidad a los actos relacionados con la propiedad inmobiliaria, que por disposición de ley deben inscribirse para producir efectos contra terceros”. </w:t>
      </w:r>
    </w:p>
    <w:p w:rsidR="0010103D" w:rsidRPr="00E8314F" w:rsidRDefault="0010103D" w:rsidP="0010103D">
      <w:pPr>
        <w:spacing w:before="240"/>
        <w:jc w:val="both"/>
        <w:rPr>
          <w:i/>
        </w:rPr>
      </w:pPr>
    </w:p>
    <w:p w:rsidR="00B56882" w:rsidRPr="00B712A7" w:rsidRDefault="00B56882" w:rsidP="00B56882">
      <w:pPr>
        <w:numPr>
          <w:ilvl w:val="0"/>
          <w:numId w:val="12"/>
        </w:numPr>
        <w:spacing w:line="276" w:lineRule="auto"/>
        <w:ind w:left="567" w:right="-1" w:hanging="567"/>
        <w:contextualSpacing/>
        <w:jc w:val="both"/>
        <w:rPr>
          <w:rFonts w:eastAsia="Times New Roman"/>
          <w:b/>
          <w:lang w:eastAsia="es-MX"/>
        </w:rPr>
      </w:pPr>
      <w:r w:rsidRPr="00B712A7">
        <w:rPr>
          <w:rFonts w:eastAsia="Times New Roman"/>
          <w:b/>
          <w:lang w:eastAsia="es-MX"/>
        </w:rPr>
        <w:t>Proceso de Mejora</w:t>
      </w:r>
    </w:p>
    <w:p w:rsidR="00B56882" w:rsidRDefault="00B56882" w:rsidP="00B56882">
      <w:pPr>
        <w:spacing w:before="240" w:line="276" w:lineRule="auto"/>
        <w:ind w:right="-1"/>
        <w:jc w:val="both"/>
      </w:pPr>
      <w:r w:rsidRPr="004440B1">
        <w:t xml:space="preserve">En enero de 2020 la Unidad de Informática del IFREM, obtuvo la certificación en </w:t>
      </w:r>
      <w:r w:rsidRPr="00D24DAA">
        <w:rPr>
          <w:b/>
        </w:rPr>
        <w:t>ISO/IEC 27001:2013</w:t>
      </w:r>
      <w:r w:rsidRPr="004440B1">
        <w:t>, Sistema de Gestión de Seguridad de la Información (SGSI).</w:t>
      </w:r>
    </w:p>
    <w:p w:rsidR="00B56882" w:rsidRPr="004440B1" w:rsidRDefault="00B56882" w:rsidP="00B56882">
      <w:pPr>
        <w:spacing w:before="240" w:line="276" w:lineRule="auto"/>
        <w:ind w:right="-1"/>
        <w:jc w:val="both"/>
      </w:pPr>
      <w:r w:rsidRPr="004440B1">
        <w:t xml:space="preserve">A la fecha el Instituto ha mantenido la certificación bajo la norma </w:t>
      </w:r>
      <w:r w:rsidRPr="004440B1">
        <w:rPr>
          <w:b/>
        </w:rPr>
        <w:t>ISO 9001:2015</w:t>
      </w:r>
      <w:r w:rsidRPr="004440B1">
        <w:t>, se encuentra inmerso en el proceso de mejora continua y sigue modernizando sus procesos.</w:t>
      </w:r>
    </w:p>
    <w:p w:rsidR="00B56882" w:rsidRPr="00B712A7" w:rsidRDefault="00B56882" w:rsidP="00B56882">
      <w:pPr>
        <w:spacing w:line="276" w:lineRule="auto"/>
        <w:ind w:right="-1"/>
        <w:jc w:val="both"/>
      </w:pPr>
      <w:r w:rsidRPr="004440B1">
        <w:t xml:space="preserve">El Estado de México ha pasado a mostrar un avance sobresaliente en la clasificación </w:t>
      </w:r>
      <w:r w:rsidRPr="004440B1">
        <w:rPr>
          <w:b/>
        </w:rPr>
        <w:t>Doing Business en México</w:t>
      </w:r>
      <w:r w:rsidRPr="004440B1">
        <w:t xml:space="preserve"> de 16 posiciones con respecto al año 2012, habiéndose clasificado en ese periodo en el lugar décimo octavo de 32 entidades económicas. 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rsidR="0010103D" w:rsidRDefault="0010103D" w:rsidP="0010103D">
      <w:pPr>
        <w:spacing w:after="0" w:line="276" w:lineRule="auto"/>
        <w:ind w:left="567" w:right="-1"/>
        <w:contextualSpacing/>
        <w:jc w:val="both"/>
        <w:rPr>
          <w:rFonts w:eastAsia="Times New Roman"/>
          <w:b/>
          <w:lang w:eastAsia="es-MX"/>
        </w:rPr>
      </w:pPr>
    </w:p>
    <w:p w:rsidR="00B56882" w:rsidRPr="00B712A7" w:rsidRDefault="00B56882" w:rsidP="00B56882">
      <w:pPr>
        <w:numPr>
          <w:ilvl w:val="0"/>
          <w:numId w:val="12"/>
        </w:numPr>
        <w:spacing w:after="0" w:line="276" w:lineRule="auto"/>
        <w:ind w:left="567" w:right="-1" w:hanging="567"/>
        <w:contextualSpacing/>
        <w:jc w:val="both"/>
        <w:rPr>
          <w:rFonts w:eastAsia="Times New Roman"/>
          <w:b/>
          <w:lang w:eastAsia="es-MX"/>
        </w:rPr>
      </w:pPr>
      <w:r w:rsidRPr="00B712A7">
        <w:rPr>
          <w:rFonts w:eastAsia="Times New Roman"/>
          <w:b/>
          <w:lang w:eastAsia="es-MX"/>
        </w:rPr>
        <w:t>Información por Segmentos</w:t>
      </w:r>
    </w:p>
    <w:p w:rsidR="00B56882" w:rsidRPr="00B712A7" w:rsidRDefault="00B56882" w:rsidP="00B56882">
      <w:pPr>
        <w:spacing w:after="0" w:line="276" w:lineRule="auto"/>
        <w:ind w:left="567" w:right="-1"/>
        <w:contextualSpacing/>
        <w:jc w:val="both"/>
        <w:rPr>
          <w:rFonts w:eastAsia="Times New Roman"/>
          <w:b/>
          <w:lang w:eastAsia="es-MX"/>
        </w:rPr>
      </w:pPr>
    </w:p>
    <w:p w:rsidR="00B56882" w:rsidRDefault="00B56882" w:rsidP="00B56882">
      <w:pPr>
        <w:spacing w:line="276" w:lineRule="auto"/>
        <w:ind w:right="-1"/>
        <w:jc w:val="both"/>
        <w:rPr>
          <w:bCs/>
        </w:rPr>
      </w:pPr>
      <w:r w:rsidRPr="00B712A7">
        <w:rPr>
          <w:bCs/>
        </w:rPr>
        <w:t>El Instituto no cuenta con información por segmentos.</w:t>
      </w:r>
    </w:p>
    <w:p w:rsidR="0010103D" w:rsidRPr="00B712A7" w:rsidRDefault="0010103D" w:rsidP="00B56882">
      <w:pPr>
        <w:spacing w:line="276" w:lineRule="auto"/>
        <w:ind w:right="-1"/>
        <w:jc w:val="both"/>
        <w:rPr>
          <w:bCs/>
        </w:rPr>
      </w:pPr>
    </w:p>
    <w:p w:rsidR="00B56882" w:rsidRPr="00B712A7" w:rsidRDefault="00B56882" w:rsidP="00B56882">
      <w:pPr>
        <w:numPr>
          <w:ilvl w:val="0"/>
          <w:numId w:val="12"/>
        </w:numPr>
        <w:spacing w:after="0" w:line="276" w:lineRule="auto"/>
        <w:ind w:left="567" w:right="-1" w:hanging="567"/>
        <w:contextualSpacing/>
        <w:jc w:val="both"/>
        <w:rPr>
          <w:bCs/>
        </w:rPr>
      </w:pPr>
      <w:r w:rsidRPr="00B712A7">
        <w:rPr>
          <w:rFonts w:eastAsia="Times New Roman"/>
          <w:b/>
          <w:lang w:eastAsia="es-MX"/>
        </w:rPr>
        <w:t>Eventos Posteriores al Cierre</w:t>
      </w:r>
    </w:p>
    <w:p w:rsidR="00B56882" w:rsidRPr="00B712A7" w:rsidRDefault="00B56882" w:rsidP="00B56882">
      <w:pPr>
        <w:spacing w:after="0" w:line="276" w:lineRule="auto"/>
        <w:ind w:right="-1"/>
        <w:jc w:val="both"/>
        <w:rPr>
          <w:bCs/>
        </w:rPr>
      </w:pPr>
    </w:p>
    <w:p w:rsidR="00B56882" w:rsidRPr="00B712A7" w:rsidRDefault="00B56882" w:rsidP="00B56882">
      <w:pPr>
        <w:spacing w:line="276" w:lineRule="auto"/>
        <w:ind w:right="-1"/>
        <w:jc w:val="both"/>
      </w:pPr>
      <w:r w:rsidRPr="00B712A7">
        <w:t>El Instituto no presenta eventos posteriores al cierre que pudieran tener un efecto importante en su situación financiera y resultados de operación futuros.</w:t>
      </w:r>
    </w:p>
    <w:p w:rsidR="00B56882" w:rsidRPr="00B712A7" w:rsidRDefault="00B56882" w:rsidP="00B56882">
      <w:pPr>
        <w:numPr>
          <w:ilvl w:val="0"/>
          <w:numId w:val="12"/>
        </w:numPr>
        <w:spacing w:after="0" w:line="276" w:lineRule="auto"/>
        <w:ind w:left="567" w:right="-1" w:hanging="567"/>
        <w:contextualSpacing/>
        <w:jc w:val="both"/>
        <w:rPr>
          <w:rFonts w:eastAsia="Times New Roman" w:cs="Arial"/>
          <w:lang w:eastAsia="es-MX"/>
        </w:rPr>
      </w:pPr>
      <w:r w:rsidRPr="00B712A7">
        <w:rPr>
          <w:rFonts w:eastAsia="Times New Roman" w:cs="Arial"/>
          <w:b/>
          <w:lang w:eastAsia="es-MX"/>
        </w:rPr>
        <w:t>Partes Relacionadas</w:t>
      </w:r>
    </w:p>
    <w:p w:rsidR="00B56882" w:rsidRPr="00B712A7" w:rsidRDefault="00B56882" w:rsidP="00B56882">
      <w:pPr>
        <w:spacing w:after="0" w:line="276" w:lineRule="auto"/>
        <w:ind w:right="-1"/>
        <w:jc w:val="both"/>
        <w:rPr>
          <w:bCs/>
        </w:rPr>
      </w:pPr>
    </w:p>
    <w:p w:rsidR="00B56882" w:rsidRPr="00B712A7" w:rsidRDefault="00B56882" w:rsidP="00B56882">
      <w:pPr>
        <w:spacing w:line="276" w:lineRule="auto"/>
        <w:ind w:right="-1"/>
        <w:jc w:val="both"/>
        <w:rPr>
          <w:rFonts w:cs="Arial"/>
        </w:rPr>
      </w:pPr>
      <w:r w:rsidRPr="00B712A7">
        <w:rPr>
          <w:rFonts w:cs="Arial"/>
        </w:rPr>
        <w:t>No existen partes relacionadas que pudieran ejercer influencia significativa sobre la toma de decisiones financieras y operativas en este Instituto.</w:t>
      </w:r>
    </w:p>
    <w:p w:rsidR="00B56882" w:rsidRPr="00B712A7" w:rsidRDefault="00B56882" w:rsidP="00B56882">
      <w:pPr>
        <w:numPr>
          <w:ilvl w:val="0"/>
          <w:numId w:val="12"/>
        </w:numPr>
        <w:spacing w:after="0" w:line="276" w:lineRule="auto"/>
        <w:ind w:left="567" w:right="-1" w:hanging="567"/>
        <w:contextualSpacing/>
        <w:jc w:val="both"/>
        <w:rPr>
          <w:bCs/>
        </w:rPr>
      </w:pPr>
      <w:r w:rsidRPr="00B712A7">
        <w:rPr>
          <w:rFonts w:eastAsia="Times New Roman" w:cs="Arial"/>
          <w:b/>
          <w:lang w:eastAsia="es-MX"/>
        </w:rPr>
        <w:t>Responsabilidad Sobre la Presentación Razonable de los Estados Financieros</w:t>
      </w:r>
    </w:p>
    <w:p w:rsidR="00B56882" w:rsidRPr="00B712A7" w:rsidRDefault="00B56882" w:rsidP="00B56882">
      <w:pPr>
        <w:spacing w:line="276" w:lineRule="auto"/>
        <w:ind w:right="-1"/>
        <w:jc w:val="both"/>
        <w:rPr>
          <w:rFonts w:cs="Arial"/>
        </w:rPr>
      </w:pPr>
      <w:r w:rsidRPr="00B712A7">
        <w:rPr>
          <w:rFonts w:cs="Arial"/>
        </w:rPr>
        <w:t>“Bajo protesta de decir verdad declaramos que los Estados Financieros y sus Notas, son razonablemente correctos y son responsabilidad del emisor”.</w:t>
      </w:r>
    </w:p>
    <w:p w:rsidR="00B56882" w:rsidRPr="00B712A7" w:rsidRDefault="00B56882" w:rsidP="00B56882">
      <w:pPr>
        <w:tabs>
          <w:tab w:val="left" w:pos="3994"/>
        </w:tabs>
        <w:spacing w:after="0" w:line="276" w:lineRule="auto"/>
        <w:ind w:right="-1"/>
        <w:contextualSpacing/>
        <w:jc w:val="center"/>
        <w:rPr>
          <w:rFonts w:eastAsia="Times New Roman" w:cs="Arial"/>
          <w:lang w:eastAsia="es-MX"/>
        </w:rPr>
      </w:pPr>
      <w:r>
        <w:rPr>
          <w:rFonts w:eastAsia="Times New Roman" w:cs="Arial"/>
          <w:b/>
          <w:lang w:eastAsia="es-MX"/>
        </w:rPr>
        <w:t>Firmas</w:t>
      </w:r>
    </w:p>
    <w:tbl>
      <w:tblPr>
        <w:tblW w:w="9937" w:type="dxa"/>
        <w:jc w:val="center"/>
        <w:tblLook w:val="04A0" w:firstRow="1" w:lastRow="0" w:firstColumn="1" w:lastColumn="0" w:noHBand="0" w:noVBand="1"/>
      </w:tblPr>
      <w:tblGrid>
        <w:gridCol w:w="5447"/>
        <w:gridCol w:w="4490"/>
      </w:tblGrid>
      <w:tr w:rsidR="00B56882" w:rsidRPr="00B712A7" w:rsidTr="00F653D3">
        <w:trPr>
          <w:trHeight w:val="902"/>
          <w:jc w:val="center"/>
        </w:trPr>
        <w:tc>
          <w:tcPr>
            <w:tcW w:w="5447" w:type="dxa"/>
            <w:shd w:val="clear" w:color="auto" w:fill="auto"/>
          </w:tcPr>
          <w:p w:rsidR="00B56882" w:rsidRPr="00B712A7" w:rsidRDefault="00B56882" w:rsidP="00F653D3">
            <w:pPr>
              <w:spacing w:line="276" w:lineRule="auto"/>
              <w:ind w:right="-1"/>
              <w:jc w:val="center"/>
              <w:rPr>
                <w:rFonts w:cs="Arial"/>
              </w:rPr>
            </w:pPr>
          </w:p>
          <w:p w:rsidR="00B56882" w:rsidRPr="00B712A7" w:rsidRDefault="00B56882" w:rsidP="00F653D3">
            <w:pPr>
              <w:spacing w:line="276" w:lineRule="auto"/>
              <w:ind w:right="-1"/>
              <w:jc w:val="center"/>
              <w:rPr>
                <w:rFonts w:cs="Arial"/>
              </w:rPr>
            </w:pPr>
          </w:p>
          <w:p w:rsidR="00B56882" w:rsidRPr="00B712A7" w:rsidRDefault="00B56882" w:rsidP="00F653D3">
            <w:pPr>
              <w:spacing w:line="276" w:lineRule="auto"/>
              <w:ind w:right="-1"/>
              <w:jc w:val="center"/>
              <w:rPr>
                <w:rFonts w:cs="Arial"/>
              </w:rPr>
            </w:pPr>
          </w:p>
          <w:p w:rsidR="00B56882" w:rsidRPr="00B712A7" w:rsidRDefault="00B56882" w:rsidP="00F653D3">
            <w:pPr>
              <w:spacing w:line="276" w:lineRule="auto"/>
              <w:ind w:right="-1"/>
              <w:jc w:val="center"/>
              <w:rPr>
                <w:rFonts w:cs="Arial"/>
              </w:rPr>
            </w:pPr>
            <w:r w:rsidRPr="00B712A7">
              <w:rPr>
                <w:rFonts w:cs="Arial"/>
              </w:rPr>
              <w:t>________</w:t>
            </w:r>
            <w:r w:rsidR="002F4CF9">
              <w:rPr>
                <w:rFonts w:cs="Arial"/>
              </w:rPr>
              <w:t>___</w:t>
            </w:r>
            <w:r w:rsidRPr="00B712A7">
              <w:rPr>
                <w:rFonts w:cs="Arial"/>
              </w:rPr>
              <w:t>________________________</w:t>
            </w:r>
          </w:p>
          <w:p w:rsidR="00B56882" w:rsidRPr="00B712A7" w:rsidRDefault="00B56882" w:rsidP="00F653D3">
            <w:pPr>
              <w:spacing w:after="0" w:line="276" w:lineRule="auto"/>
              <w:ind w:right="-1"/>
              <w:jc w:val="center"/>
              <w:rPr>
                <w:rFonts w:cs="Arial"/>
              </w:rPr>
            </w:pPr>
            <w:r>
              <w:rPr>
                <w:rFonts w:cs="Arial"/>
              </w:rPr>
              <w:t>L</w:t>
            </w:r>
            <w:r w:rsidRPr="00B712A7">
              <w:rPr>
                <w:rFonts w:cs="Arial"/>
              </w:rPr>
              <w:t xml:space="preserve">. en D. </w:t>
            </w:r>
            <w:r>
              <w:rPr>
                <w:rFonts w:cs="Arial"/>
              </w:rPr>
              <w:t>Christian Gerardo Gasca Droppert</w:t>
            </w:r>
          </w:p>
          <w:p w:rsidR="00B56882" w:rsidRPr="00B712A7" w:rsidRDefault="00B56882" w:rsidP="00F653D3">
            <w:pPr>
              <w:spacing w:line="276" w:lineRule="auto"/>
              <w:ind w:right="-1"/>
              <w:jc w:val="center"/>
              <w:rPr>
                <w:rFonts w:cs="Arial"/>
              </w:rPr>
            </w:pPr>
            <w:r>
              <w:rPr>
                <w:rFonts w:cs="Arial"/>
                <w:b/>
              </w:rPr>
              <w:t>Director</w:t>
            </w:r>
            <w:r w:rsidRPr="00B712A7">
              <w:rPr>
                <w:rFonts w:cs="Arial"/>
                <w:b/>
              </w:rPr>
              <w:t xml:space="preserve"> General del IFREM</w:t>
            </w:r>
          </w:p>
        </w:tc>
        <w:tc>
          <w:tcPr>
            <w:tcW w:w="4490" w:type="dxa"/>
            <w:shd w:val="clear" w:color="auto" w:fill="auto"/>
          </w:tcPr>
          <w:p w:rsidR="00B56882" w:rsidRPr="00B712A7" w:rsidRDefault="00B56882" w:rsidP="00F653D3">
            <w:pPr>
              <w:spacing w:line="276" w:lineRule="auto"/>
              <w:ind w:right="-1"/>
              <w:jc w:val="center"/>
              <w:rPr>
                <w:rFonts w:cs="Arial"/>
              </w:rPr>
            </w:pPr>
          </w:p>
          <w:p w:rsidR="00B56882" w:rsidRPr="00B712A7" w:rsidRDefault="00B56882" w:rsidP="00F653D3">
            <w:pPr>
              <w:spacing w:line="276" w:lineRule="auto"/>
              <w:ind w:right="-1"/>
              <w:jc w:val="center"/>
              <w:rPr>
                <w:rFonts w:cs="Arial"/>
              </w:rPr>
            </w:pPr>
          </w:p>
          <w:p w:rsidR="00B56882" w:rsidRPr="00B712A7" w:rsidRDefault="00B56882" w:rsidP="00F653D3">
            <w:pPr>
              <w:spacing w:line="276" w:lineRule="auto"/>
              <w:ind w:right="-1"/>
              <w:jc w:val="center"/>
              <w:rPr>
                <w:rFonts w:cs="Arial"/>
              </w:rPr>
            </w:pPr>
          </w:p>
          <w:p w:rsidR="00B56882" w:rsidRPr="00B712A7" w:rsidRDefault="00B56882" w:rsidP="00F653D3">
            <w:pPr>
              <w:spacing w:line="276" w:lineRule="auto"/>
              <w:ind w:right="-1"/>
              <w:jc w:val="center"/>
              <w:rPr>
                <w:rFonts w:cs="Arial"/>
              </w:rPr>
            </w:pPr>
            <w:r w:rsidRPr="00B712A7">
              <w:rPr>
                <w:rFonts w:cs="Arial"/>
              </w:rPr>
              <w:t>________________________________</w:t>
            </w:r>
          </w:p>
          <w:p w:rsidR="00B56882" w:rsidRPr="00B712A7" w:rsidRDefault="00B56882" w:rsidP="00F653D3">
            <w:pPr>
              <w:spacing w:after="0" w:line="276" w:lineRule="auto"/>
              <w:ind w:left="544" w:right="-1" w:hanging="261"/>
              <w:jc w:val="center"/>
              <w:rPr>
                <w:rFonts w:cs="Arial"/>
              </w:rPr>
            </w:pPr>
            <w:r w:rsidRPr="00B712A7">
              <w:rPr>
                <w:rFonts w:cs="Arial"/>
              </w:rPr>
              <w:t>L.A.E. Patricia Herrera Vallejo</w:t>
            </w:r>
          </w:p>
          <w:p w:rsidR="00B56882" w:rsidRPr="00B712A7" w:rsidRDefault="00B56882" w:rsidP="00F653D3">
            <w:pPr>
              <w:spacing w:line="276" w:lineRule="auto"/>
              <w:ind w:right="-1"/>
              <w:jc w:val="center"/>
              <w:rPr>
                <w:rFonts w:cs="Arial"/>
              </w:rPr>
            </w:pPr>
            <w:r w:rsidRPr="00B712A7">
              <w:rPr>
                <w:rFonts w:cs="Arial"/>
                <w:b/>
              </w:rPr>
              <w:t>Directora de Administración y Finanzas</w:t>
            </w:r>
          </w:p>
        </w:tc>
      </w:tr>
      <w:tr w:rsidR="00B56882" w:rsidRPr="00B712A7" w:rsidTr="00F653D3">
        <w:tblPrEx>
          <w:tblCellMar>
            <w:left w:w="70" w:type="dxa"/>
            <w:right w:w="70" w:type="dxa"/>
          </w:tblCellMar>
        </w:tblPrEx>
        <w:trPr>
          <w:trHeight w:val="171"/>
          <w:jc w:val="center"/>
        </w:trPr>
        <w:tc>
          <w:tcPr>
            <w:tcW w:w="9937" w:type="dxa"/>
            <w:gridSpan w:val="2"/>
            <w:shd w:val="clear" w:color="auto" w:fill="auto"/>
            <w:noWrap/>
            <w:vAlign w:val="bottom"/>
            <w:hideMark/>
          </w:tcPr>
          <w:p w:rsidR="00B56882" w:rsidRPr="00B712A7" w:rsidRDefault="00B56882" w:rsidP="00F653D3">
            <w:pPr>
              <w:spacing w:line="276" w:lineRule="auto"/>
              <w:ind w:right="-1"/>
              <w:rPr>
                <w:rFonts w:cs="Arial"/>
              </w:rPr>
            </w:pPr>
          </w:p>
          <w:p w:rsidR="00B56882" w:rsidRPr="00B712A7" w:rsidRDefault="00B56882" w:rsidP="00F653D3">
            <w:pPr>
              <w:spacing w:line="276" w:lineRule="auto"/>
              <w:ind w:right="-1"/>
              <w:rPr>
                <w:rFonts w:cs="Arial"/>
              </w:rPr>
            </w:pPr>
          </w:p>
          <w:p w:rsidR="00B56882" w:rsidRPr="00B712A7" w:rsidRDefault="00B56882" w:rsidP="00F653D3">
            <w:pPr>
              <w:spacing w:line="276" w:lineRule="auto"/>
              <w:ind w:right="-1"/>
              <w:jc w:val="center"/>
              <w:rPr>
                <w:rFonts w:cs="Arial"/>
              </w:rPr>
            </w:pPr>
            <w:r w:rsidRPr="00B712A7">
              <w:rPr>
                <w:rFonts w:cs="Arial"/>
              </w:rPr>
              <w:t>________________________________</w:t>
            </w:r>
          </w:p>
          <w:p w:rsidR="00B56882" w:rsidRPr="00B712A7" w:rsidRDefault="00B56882" w:rsidP="00F653D3">
            <w:pPr>
              <w:spacing w:after="0" w:line="276" w:lineRule="auto"/>
              <w:ind w:right="-1"/>
              <w:jc w:val="center"/>
              <w:rPr>
                <w:rFonts w:cs="Arial"/>
              </w:rPr>
            </w:pPr>
            <w:r w:rsidRPr="00B712A7">
              <w:rPr>
                <w:rFonts w:cs="Arial"/>
              </w:rPr>
              <w:t>M.A.P. Antonio Hernández Tenorio</w:t>
            </w:r>
          </w:p>
          <w:p w:rsidR="00B56882" w:rsidRPr="00B712A7" w:rsidRDefault="00B56882" w:rsidP="00F653D3">
            <w:pPr>
              <w:spacing w:line="276" w:lineRule="auto"/>
              <w:ind w:right="-1"/>
              <w:jc w:val="center"/>
              <w:rPr>
                <w:rFonts w:cs="Arial"/>
              </w:rPr>
            </w:pPr>
            <w:r w:rsidRPr="00B712A7">
              <w:rPr>
                <w:rFonts w:cs="Arial"/>
                <w:b/>
              </w:rPr>
              <w:t>Subdirector de Finanzas</w:t>
            </w:r>
          </w:p>
        </w:tc>
      </w:tr>
    </w:tbl>
    <w:p w:rsidR="00644F96" w:rsidRDefault="00644F96" w:rsidP="00B56882">
      <w:pPr>
        <w:tabs>
          <w:tab w:val="left" w:pos="1215"/>
        </w:tabs>
        <w:jc w:val="both"/>
        <w:rPr>
          <w:rFonts w:cs="Arial"/>
        </w:rPr>
      </w:pPr>
    </w:p>
    <w:sectPr w:rsidR="00644F96" w:rsidSect="00553E8A">
      <w:headerReference w:type="default" r:id="rId31"/>
      <w:footerReference w:type="default" r:id="rId32"/>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3F" w:rsidRDefault="008D633F" w:rsidP="0033212B">
      <w:pPr>
        <w:spacing w:after="0" w:line="240" w:lineRule="auto"/>
      </w:pPr>
      <w:r>
        <w:separator/>
      </w:r>
    </w:p>
  </w:endnote>
  <w:endnote w:type="continuationSeparator" w:id="0">
    <w:p w:rsidR="008D633F" w:rsidRDefault="008D633F"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 Bold">
    <w:altName w:val="Segoe UI Semi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29720"/>
      <w:docPartObj>
        <w:docPartGallery w:val="Page Numbers (Bottom of Page)"/>
        <w:docPartUnique/>
      </w:docPartObj>
    </w:sdtPr>
    <w:sdtEndPr/>
    <w:sdtContent>
      <w:p w:rsidR="00A804C5" w:rsidRDefault="00A804C5" w:rsidP="006351E0">
        <w:pPr>
          <w:tabs>
            <w:tab w:val="left" w:pos="5685"/>
            <w:tab w:val="left" w:pos="8745"/>
            <w:tab w:val="right" w:pos="10062"/>
          </w:tabs>
        </w:pPr>
      </w:p>
      <w:p w:rsidR="00A804C5" w:rsidRDefault="00A804C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0FD790EE" wp14:editId="5BDFC1DE">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B933C4">
          <w:rPr>
            <w:b/>
            <w:bCs/>
            <w:noProof/>
          </w:rPr>
          <w:t>21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B933C4">
          <w:rPr>
            <w:b/>
            <w:bCs/>
            <w:noProof/>
          </w:rPr>
          <w:t>28</w:t>
        </w:r>
        <w:r>
          <w:rPr>
            <w:b/>
            <w:bCs/>
          </w:rPr>
          <w:fldChar w:fldCharType="end"/>
        </w:r>
      </w:p>
      <w:p w:rsidR="00A804C5" w:rsidRDefault="00A804C5" w:rsidP="00FD4233">
        <w:pPr>
          <w:tabs>
            <w:tab w:val="left" w:pos="1635"/>
            <w:tab w:val="center" w:pos="5031"/>
            <w:tab w:val="left" w:pos="6360"/>
            <w:tab w:val="left" w:pos="8445"/>
            <w:tab w:val="right" w:pos="10062"/>
          </w:tabs>
        </w:pPr>
        <w:r>
          <w:tab/>
        </w:r>
        <w:r>
          <w:tab/>
        </w:r>
        <w:r>
          <w:tab/>
        </w:r>
      </w:p>
      <w:p w:rsidR="00A804C5" w:rsidRDefault="00A804C5" w:rsidP="001A70A8">
        <w:pPr>
          <w:pStyle w:val="Piedepgina"/>
          <w:jc w:val="center"/>
        </w:pPr>
      </w:p>
      <w:p w:rsidR="00A804C5" w:rsidRDefault="00A804C5" w:rsidP="00FD4233">
        <w:pPr>
          <w:pStyle w:val="Piedepgina"/>
          <w:jc w:val="right"/>
        </w:pPr>
      </w:p>
      <w:p w:rsidR="00A804C5" w:rsidRDefault="00A804C5" w:rsidP="001A70A8">
        <w:pPr>
          <w:pStyle w:val="Piedepgina"/>
          <w:jc w:val="center"/>
        </w:pPr>
      </w:p>
      <w:p w:rsidR="00A804C5" w:rsidRDefault="00A804C5" w:rsidP="00AB0FF1">
        <w:pPr>
          <w:pStyle w:val="Piedepgina"/>
          <w:tabs>
            <w:tab w:val="center" w:pos="5031"/>
            <w:tab w:val="left" w:pos="8520"/>
          </w:tabs>
        </w:pPr>
        <w:r>
          <w:tab/>
        </w:r>
        <w:r>
          <w:tab/>
        </w:r>
        <w:r>
          <w:tab/>
        </w:r>
      </w:p>
    </w:sdtContent>
  </w:sdt>
  <w:p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3F" w:rsidRDefault="008D633F" w:rsidP="0033212B">
      <w:pPr>
        <w:spacing w:after="0" w:line="240" w:lineRule="auto"/>
      </w:pPr>
      <w:r>
        <w:separator/>
      </w:r>
    </w:p>
  </w:footnote>
  <w:footnote w:type="continuationSeparator" w:id="0">
    <w:p w:rsidR="008D633F" w:rsidRDefault="008D633F" w:rsidP="0033212B">
      <w:pPr>
        <w:spacing w:after="0" w:line="240" w:lineRule="auto"/>
      </w:pPr>
      <w:r>
        <w:continuationSeparator/>
      </w:r>
    </w:p>
  </w:footnote>
  <w:footnote w:id="1">
    <w:p w:rsidR="00B56882" w:rsidRPr="004440B1" w:rsidRDefault="00B56882" w:rsidP="00B56882">
      <w:pPr>
        <w:pStyle w:val="Textonotapie"/>
        <w:rPr>
          <w:rFonts w:ascii="HelveticaNeueLT Std" w:hAnsi="HelveticaNeueLT Std"/>
          <w:sz w:val="18"/>
        </w:rPr>
      </w:pPr>
      <w:r>
        <w:rPr>
          <w:rStyle w:val="Refdenotaalpie"/>
          <w:rFonts w:ascii="HelveticaNeueLT Std" w:hAnsi="HelveticaNeueLT Std"/>
        </w:rPr>
        <w:t>[2]</w:t>
      </w:r>
      <w:r>
        <w:rPr>
          <w:rFonts w:ascii="HelveticaNeueLT Std" w:hAnsi="HelveticaNeueLT Std"/>
        </w:rPr>
        <w:t xml:space="preserve"> </w:t>
      </w:r>
      <w:hyperlink r:id="rId1" w:history="1">
        <w:r w:rsidRPr="004440B1">
          <w:rPr>
            <w:rStyle w:val="Hipervnculo"/>
            <w:sz w:val="18"/>
          </w:rPr>
          <w:t>https://www.standardandpoors.com/es_LA/delegate/getPDF?articleId=2485922&amp;type=NEWS&amp;subType=RATING_ACTION</w:t>
        </w:r>
      </w:hyperlink>
    </w:p>
  </w:footnote>
  <w:footnote w:id="2">
    <w:p w:rsidR="00B56882" w:rsidRDefault="00B56882" w:rsidP="00B56882">
      <w:pPr>
        <w:pStyle w:val="Textonotapie"/>
        <w:rPr>
          <w:rFonts w:ascii="HelveticaNeueLT Std" w:hAnsi="HelveticaNeueLT Std"/>
        </w:rPr>
      </w:pPr>
      <w:r>
        <w:rPr>
          <w:rStyle w:val="Refdenotaalpie"/>
          <w:rFonts w:ascii="HelveticaNeueLT Std" w:hAnsi="HelveticaNeueLT Std"/>
        </w:rPr>
        <w:t>[1]</w:t>
      </w:r>
      <w:r>
        <w:rPr>
          <w:rFonts w:ascii="HelveticaNeueLT Std" w:hAnsi="HelveticaNeueLT Std"/>
        </w:rPr>
        <w:t xml:space="preserve"> </w:t>
      </w:r>
      <w:hyperlink r:id="rId2" w:history="1">
        <w:r w:rsidRPr="004E32F9">
          <w:rPr>
            <w:rStyle w:val="Hipervnculo"/>
            <w:rFonts w:ascii="HelveticaNeueLT Std" w:hAnsi="HelveticaNeueLT Std"/>
          </w:rPr>
          <w:t>https://www.fitchratings.com/site/pr/10106627</w:t>
        </w:r>
      </w:hyperlink>
      <w:r>
        <w:rPr>
          <w:rFonts w:ascii="HelveticaNeueLT Std" w:hAnsi="HelveticaNeueLT Std"/>
        </w:rPr>
        <w:t>.</w:t>
      </w:r>
    </w:p>
    <w:p w:rsidR="00B56882" w:rsidRDefault="00B56882" w:rsidP="00B56882">
      <w:pPr>
        <w:pStyle w:val="Textonotapie"/>
        <w:rPr>
          <w:rFonts w:ascii="HelveticaNeueLT Std" w:hAnsi="HelveticaNeueLT St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C5" w:rsidRDefault="00A804C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1A51DC58" wp14:editId="517ED0A5">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04C5" w:rsidRDefault="00A804C5" w:rsidP="000316D9">
    <w:pPr>
      <w:pStyle w:val="Encabezado"/>
      <w:tabs>
        <w:tab w:val="clear" w:pos="4419"/>
        <w:tab w:val="clear" w:pos="8838"/>
      </w:tabs>
      <w:ind w:left="-1560" w:right="-1652"/>
      <w:jc w:val="center"/>
      <w:rPr>
        <w:noProof/>
        <w:lang w:eastAsia="es-MX"/>
      </w:rPr>
    </w:pPr>
  </w:p>
  <w:p w:rsidR="00A804C5" w:rsidRDefault="00A804C5" w:rsidP="000316D9">
    <w:pPr>
      <w:pStyle w:val="Encabezado"/>
      <w:tabs>
        <w:tab w:val="clear" w:pos="4419"/>
        <w:tab w:val="clear" w:pos="8838"/>
      </w:tabs>
      <w:ind w:left="-1560" w:right="-1652"/>
      <w:jc w:val="center"/>
      <w:rPr>
        <w:noProof/>
        <w:lang w:eastAsia="es-MX"/>
      </w:rPr>
    </w:pPr>
  </w:p>
  <w:p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rsidR="00FE1A3F" w:rsidRPr="0019217C" w:rsidRDefault="00FE1A3F" w:rsidP="00FE1A3F">
    <w:pPr>
      <w:pStyle w:val="Encabezado"/>
      <w:tabs>
        <w:tab w:val="left" w:pos="708"/>
      </w:tabs>
      <w:ind w:left="-1560" w:right="-1652"/>
      <w:jc w:val="center"/>
      <w:rPr>
        <w:i/>
      </w:rPr>
    </w:pPr>
    <w:r w:rsidRPr="0019217C">
      <w:rPr>
        <w:rFonts w:ascii="Gotham Bold" w:hAnsi="Gotham Bold"/>
        <w:i/>
      </w:rPr>
      <w:t>“2020. Año de Laura Méndez de Cuenca; emblema de la mujer Mexiquense”.</w:t>
    </w:r>
  </w:p>
  <w:p w:rsidR="00A804C5" w:rsidRPr="00DF66A9" w:rsidRDefault="00A804C5"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99A"/>
    <w:multiLevelType w:val="hybridMultilevel"/>
    <w:tmpl w:val="292854E6"/>
    <w:lvl w:ilvl="0" w:tplc="871A611E">
      <w:start w:val="4"/>
      <w:numFmt w:val="upperRoman"/>
      <w:lvlText w:val="%1."/>
      <w:lvlJc w:val="left"/>
      <w:pPr>
        <w:ind w:left="1428" w:hanging="720"/>
      </w:pPr>
      <w:rPr>
        <w:rFonts w:eastAsia="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DA2EBC"/>
    <w:multiLevelType w:val="hybridMultilevel"/>
    <w:tmpl w:val="5B38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2136D0"/>
    <w:multiLevelType w:val="hybridMultilevel"/>
    <w:tmpl w:val="F47E43FE"/>
    <w:lvl w:ilvl="0" w:tplc="FB884962">
      <w:start w:val="7"/>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236F80"/>
    <w:multiLevelType w:val="hybridMultilevel"/>
    <w:tmpl w:val="C80868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5728BD"/>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95765EA"/>
    <w:multiLevelType w:val="hybridMultilevel"/>
    <w:tmpl w:val="40AA4E26"/>
    <w:lvl w:ilvl="0" w:tplc="501E02C8">
      <w:start w:val="5"/>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E7C0B"/>
    <w:multiLevelType w:val="hybridMultilevel"/>
    <w:tmpl w:val="D3E81118"/>
    <w:lvl w:ilvl="0" w:tplc="F1ACF04E">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3326E24"/>
    <w:multiLevelType w:val="hybridMultilevel"/>
    <w:tmpl w:val="AA6EC10E"/>
    <w:lvl w:ilvl="0" w:tplc="077A556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437978"/>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82485"/>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7B6922"/>
    <w:multiLevelType w:val="hybridMultilevel"/>
    <w:tmpl w:val="0EEE0C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9284A"/>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CF275F"/>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3C716C09"/>
    <w:multiLevelType w:val="hybridMultilevel"/>
    <w:tmpl w:val="DBD2BA4A"/>
    <w:lvl w:ilvl="0" w:tplc="95AEBE2E">
      <w:start w:val="5"/>
      <w:numFmt w:val="upperRoman"/>
      <w:lvlText w:val="%1."/>
      <w:lvlJc w:val="righ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A14BF1"/>
    <w:multiLevelType w:val="hybridMultilevel"/>
    <w:tmpl w:val="49221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5964A2D"/>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9674AB3"/>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9FA3EED"/>
    <w:multiLevelType w:val="hybridMultilevel"/>
    <w:tmpl w:val="B5D40F92"/>
    <w:lvl w:ilvl="0" w:tplc="9CFAC170">
      <w:start w:val="1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A333E5"/>
    <w:multiLevelType w:val="hybridMultilevel"/>
    <w:tmpl w:val="300A5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EF7226"/>
    <w:multiLevelType w:val="hybridMultilevel"/>
    <w:tmpl w:val="EB2CAE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A44EB2"/>
    <w:multiLevelType w:val="hybridMultilevel"/>
    <w:tmpl w:val="A4C0D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362DB9"/>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15157B"/>
    <w:multiLevelType w:val="hybridMultilevel"/>
    <w:tmpl w:val="80A0101A"/>
    <w:lvl w:ilvl="0" w:tplc="74181AF0">
      <w:start w:val="11"/>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64677FB9"/>
    <w:multiLevelType w:val="hybridMultilevel"/>
    <w:tmpl w:val="3CEECF22"/>
    <w:lvl w:ilvl="0" w:tplc="70F62FD0">
      <w:start w:val="9"/>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274ED9"/>
    <w:multiLevelType w:val="hybridMultilevel"/>
    <w:tmpl w:val="4E3A91D0"/>
    <w:lvl w:ilvl="0" w:tplc="4E2EADB0">
      <w:start w:val="9"/>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B47F50"/>
    <w:multiLevelType w:val="hybridMultilevel"/>
    <w:tmpl w:val="9FE24C7E"/>
    <w:lvl w:ilvl="0" w:tplc="D60ABEA6">
      <w:start w:val="5"/>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5413C"/>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D931B4"/>
    <w:multiLevelType w:val="hybridMultilevel"/>
    <w:tmpl w:val="240C442E"/>
    <w:lvl w:ilvl="0" w:tplc="E3FA7F22">
      <w:start w:val="10"/>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9454E5"/>
    <w:multiLevelType w:val="hybridMultilevel"/>
    <w:tmpl w:val="1346B96A"/>
    <w:lvl w:ilvl="0" w:tplc="2B62B0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2B7DC0"/>
    <w:multiLevelType w:val="hybridMultilevel"/>
    <w:tmpl w:val="0E88D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757B43"/>
    <w:multiLevelType w:val="hybridMultilevel"/>
    <w:tmpl w:val="1F50B7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E7A66D6"/>
    <w:multiLevelType w:val="hybridMultilevel"/>
    <w:tmpl w:val="7C8474A2"/>
    <w:lvl w:ilvl="0" w:tplc="00E000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7"/>
  </w:num>
  <w:num w:numId="3">
    <w:abstractNumId w:val="2"/>
  </w:num>
  <w:num w:numId="4">
    <w:abstractNumId w:val="8"/>
  </w:num>
  <w:num w:numId="5">
    <w:abstractNumId w:val="39"/>
  </w:num>
  <w:num w:numId="6">
    <w:abstractNumId w:val="7"/>
  </w:num>
  <w:num w:numId="7">
    <w:abstractNumId w:val="29"/>
  </w:num>
  <w:num w:numId="8">
    <w:abstractNumId w:val="36"/>
  </w:num>
  <w:num w:numId="9">
    <w:abstractNumId w:val="38"/>
  </w:num>
  <w:num w:numId="10">
    <w:abstractNumId w:val="28"/>
  </w:num>
  <w:num w:numId="11">
    <w:abstractNumId w:val="15"/>
  </w:num>
  <w:num w:numId="12">
    <w:abstractNumId w:val="3"/>
  </w:num>
  <w:num w:numId="13">
    <w:abstractNumId w:val="1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20"/>
  </w:num>
  <w:num w:numId="26">
    <w:abstractNumId w:val="26"/>
  </w:num>
  <w:num w:numId="27">
    <w:abstractNumId w:val="16"/>
  </w:num>
  <w:num w:numId="28">
    <w:abstractNumId w:val="18"/>
  </w:num>
  <w:num w:numId="2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35"/>
  </w:num>
  <w:num w:numId="33">
    <w:abstractNumId w:val="1"/>
  </w:num>
  <w:num w:numId="34">
    <w:abstractNumId w:val="22"/>
  </w:num>
  <w:num w:numId="35">
    <w:abstractNumId w:val="27"/>
  </w:num>
  <w:num w:numId="36">
    <w:abstractNumId w:val="30"/>
  </w:num>
  <w:num w:numId="37">
    <w:abstractNumId w:val="23"/>
  </w:num>
  <w:num w:numId="38">
    <w:abstractNumId w:val="25"/>
  </w:num>
  <w:num w:numId="39">
    <w:abstractNumId w:val="32"/>
  </w:num>
  <w:num w:numId="40">
    <w:abstractNumId w:val="34"/>
  </w:num>
  <w:num w:numId="41">
    <w:abstractNumId w:val="11"/>
  </w:num>
  <w:num w:numId="42">
    <w:abstractNumId w:val="0"/>
  </w:num>
  <w:num w:numId="43">
    <w:abstractNumId w:val="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7"/>
  </w:num>
  <w:num w:numId="47">
    <w:abstractNumId w:val="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hideSpellingErrors/>
  <w:hideGrammaticalErrors/>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27DB"/>
    <w:rsid w:val="00003D73"/>
    <w:rsid w:val="00006ED2"/>
    <w:rsid w:val="00010FD9"/>
    <w:rsid w:val="00012845"/>
    <w:rsid w:val="0001352F"/>
    <w:rsid w:val="00013CA0"/>
    <w:rsid w:val="00014705"/>
    <w:rsid w:val="00015E63"/>
    <w:rsid w:val="00015FA6"/>
    <w:rsid w:val="00016F2A"/>
    <w:rsid w:val="0001768C"/>
    <w:rsid w:val="00020432"/>
    <w:rsid w:val="00021DE1"/>
    <w:rsid w:val="00022C7E"/>
    <w:rsid w:val="0002608C"/>
    <w:rsid w:val="000265E6"/>
    <w:rsid w:val="00026EBB"/>
    <w:rsid w:val="00030B0F"/>
    <w:rsid w:val="00030B5E"/>
    <w:rsid w:val="000316D9"/>
    <w:rsid w:val="000317E9"/>
    <w:rsid w:val="000326A2"/>
    <w:rsid w:val="0003577A"/>
    <w:rsid w:val="0003731C"/>
    <w:rsid w:val="00037C59"/>
    <w:rsid w:val="000405AF"/>
    <w:rsid w:val="000413C6"/>
    <w:rsid w:val="00043D55"/>
    <w:rsid w:val="00045845"/>
    <w:rsid w:val="000476DA"/>
    <w:rsid w:val="00050B6C"/>
    <w:rsid w:val="000526C7"/>
    <w:rsid w:val="000564CF"/>
    <w:rsid w:val="00057473"/>
    <w:rsid w:val="00057789"/>
    <w:rsid w:val="00061AB7"/>
    <w:rsid w:val="00062DFB"/>
    <w:rsid w:val="000638B3"/>
    <w:rsid w:val="00064186"/>
    <w:rsid w:val="000641A2"/>
    <w:rsid w:val="00065EED"/>
    <w:rsid w:val="00065FD4"/>
    <w:rsid w:val="0007108F"/>
    <w:rsid w:val="0007270F"/>
    <w:rsid w:val="00072B06"/>
    <w:rsid w:val="00073B8C"/>
    <w:rsid w:val="0008290A"/>
    <w:rsid w:val="00082CB1"/>
    <w:rsid w:val="00083D56"/>
    <w:rsid w:val="00084D06"/>
    <w:rsid w:val="00084D64"/>
    <w:rsid w:val="00091600"/>
    <w:rsid w:val="00094250"/>
    <w:rsid w:val="00094DD0"/>
    <w:rsid w:val="0009517D"/>
    <w:rsid w:val="00096447"/>
    <w:rsid w:val="000968F8"/>
    <w:rsid w:val="0009757F"/>
    <w:rsid w:val="000A081E"/>
    <w:rsid w:val="000A228A"/>
    <w:rsid w:val="000A2ADF"/>
    <w:rsid w:val="000A2B0A"/>
    <w:rsid w:val="000A30E0"/>
    <w:rsid w:val="000A3489"/>
    <w:rsid w:val="000A3DA3"/>
    <w:rsid w:val="000A43FC"/>
    <w:rsid w:val="000A4773"/>
    <w:rsid w:val="000A4B51"/>
    <w:rsid w:val="000A4CD9"/>
    <w:rsid w:val="000A4FB8"/>
    <w:rsid w:val="000A52F1"/>
    <w:rsid w:val="000A7CAE"/>
    <w:rsid w:val="000B027A"/>
    <w:rsid w:val="000B03BB"/>
    <w:rsid w:val="000B07D7"/>
    <w:rsid w:val="000B0F33"/>
    <w:rsid w:val="000B124F"/>
    <w:rsid w:val="000C0132"/>
    <w:rsid w:val="000C08D7"/>
    <w:rsid w:val="000C5056"/>
    <w:rsid w:val="000C5544"/>
    <w:rsid w:val="000C7DD0"/>
    <w:rsid w:val="000D01F5"/>
    <w:rsid w:val="000D09FF"/>
    <w:rsid w:val="000D1290"/>
    <w:rsid w:val="000D1B63"/>
    <w:rsid w:val="000D40F1"/>
    <w:rsid w:val="000D5865"/>
    <w:rsid w:val="000D5A73"/>
    <w:rsid w:val="000E0552"/>
    <w:rsid w:val="000E31FD"/>
    <w:rsid w:val="000E38D9"/>
    <w:rsid w:val="000E5435"/>
    <w:rsid w:val="000E57F1"/>
    <w:rsid w:val="000E650B"/>
    <w:rsid w:val="000E7537"/>
    <w:rsid w:val="000F0D32"/>
    <w:rsid w:val="000F401A"/>
    <w:rsid w:val="000F4A95"/>
    <w:rsid w:val="000F4FF2"/>
    <w:rsid w:val="000F737A"/>
    <w:rsid w:val="00100535"/>
    <w:rsid w:val="0010103D"/>
    <w:rsid w:val="00105047"/>
    <w:rsid w:val="00105746"/>
    <w:rsid w:val="001104E6"/>
    <w:rsid w:val="001104EE"/>
    <w:rsid w:val="00110CC9"/>
    <w:rsid w:val="00113064"/>
    <w:rsid w:val="001135F5"/>
    <w:rsid w:val="00114174"/>
    <w:rsid w:val="001167C1"/>
    <w:rsid w:val="00116D9C"/>
    <w:rsid w:val="00121D31"/>
    <w:rsid w:val="0012306F"/>
    <w:rsid w:val="00123396"/>
    <w:rsid w:val="00124778"/>
    <w:rsid w:val="00124F83"/>
    <w:rsid w:val="00125235"/>
    <w:rsid w:val="001255FF"/>
    <w:rsid w:val="00130799"/>
    <w:rsid w:val="00130EA5"/>
    <w:rsid w:val="00136FAC"/>
    <w:rsid w:val="00140429"/>
    <w:rsid w:val="001433AD"/>
    <w:rsid w:val="001436FB"/>
    <w:rsid w:val="00143879"/>
    <w:rsid w:val="0014449F"/>
    <w:rsid w:val="00145D52"/>
    <w:rsid w:val="00152B8F"/>
    <w:rsid w:val="00152CE4"/>
    <w:rsid w:val="00153C26"/>
    <w:rsid w:val="00154103"/>
    <w:rsid w:val="00154D1C"/>
    <w:rsid w:val="00155156"/>
    <w:rsid w:val="001554DD"/>
    <w:rsid w:val="00155A9D"/>
    <w:rsid w:val="001570DC"/>
    <w:rsid w:val="001600FB"/>
    <w:rsid w:val="0016041F"/>
    <w:rsid w:val="00160821"/>
    <w:rsid w:val="00163812"/>
    <w:rsid w:val="0016506D"/>
    <w:rsid w:val="001678EA"/>
    <w:rsid w:val="00171698"/>
    <w:rsid w:val="00173CC3"/>
    <w:rsid w:val="00173DBF"/>
    <w:rsid w:val="00174100"/>
    <w:rsid w:val="00175DCD"/>
    <w:rsid w:val="001760E2"/>
    <w:rsid w:val="001800B6"/>
    <w:rsid w:val="00180232"/>
    <w:rsid w:val="00180A93"/>
    <w:rsid w:val="001811A8"/>
    <w:rsid w:val="0018123E"/>
    <w:rsid w:val="00181B3F"/>
    <w:rsid w:val="00183F2F"/>
    <w:rsid w:val="00184BE1"/>
    <w:rsid w:val="001907CC"/>
    <w:rsid w:val="00191331"/>
    <w:rsid w:val="00191E56"/>
    <w:rsid w:val="001945FE"/>
    <w:rsid w:val="00194F29"/>
    <w:rsid w:val="00195ADE"/>
    <w:rsid w:val="001A0205"/>
    <w:rsid w:val="001A0DBE"/>
    <w:rsid w:val="001A3EA4"/>
    <w:rsid w:val="001A42C4"/>
    <w:rsid w:val="001A6925"/>
    <w:rsid w:val="001A6D07"/>
    <w:rsid w:val="001A70A8"/>
    <w:rsid w:val="001B054A"/>
    <w:rsid w:val="001B0613"/>
    <w:rsid w:val="001B1326"/>
    <w:rsid w:val="001B1E2C"/>
    <w:rsid w:val="001B3BFD"/>
    <w:rsid w:val="001B4811"/>
    <w:rsid w:val="001B6A78"/>
    <w:rsid w:val="001B79F0"/>
    <w:rsid w:val="001C1913"/>
    <w:rsid w:val="001C2D9F"/>
    <w:rsid w:val="001C32DD"/>
    <w:rsid w:val="001C33D8"/>
    <w:rsid w:val="001C36BA"/>
    <w:rsid w:val="001C6622"/>
    <w:rsid w:val="001C72C4"/>
    <w:rsid w:val="001D1BE7"/>
    <w:rsid w:val="001D237E"/>
    <w:rsid w:val="001D5057"/>
    <w:rsid w:val="001D5210"/>
    <w:rsid w:val="001D5A6E"/>
    <w:rsid w:val="001D74CB"/>
    <w:rsid w:val="001D793E"/>
    <w:rsid w:val="001E06EF"/>
    <w:rsid w:val="001E1B89"/>
    <w:rsid w:val="001E25C6"/>
    <w:rsid w:val="001E396C"/>
    <w:rsid w:val="001E4762"/>
    <w:rsid w:val="001E4D68"/>
    <w:rsid w:val="001E5489"/>
    <w:rsid w:val="001F05AD"/>
    <w:rsid w:val="001F0CE1"/>
    <w:rsid w:val="001F1301"/>
    <w:rsid w:val="001F1B28"/>
    <w:rsid w:val="001F1EE1"/>
    <w:rsid w:val="001F1FF9"/>
    <w:rsid w:val="001F5305"/>
    <w:rsid w:val="001F58A5"/>
    <w:rsid w:val="001F69B3"/>
    <w:rsid w:val="00200343"/>
    <w:rsid w:val="00200637"/>
    <w:rsid w:val="00201773"/>
    <w:rsid w:val="0020245B"/>
    <w:rsid w:val="002030A5"/>
    <w:rsid w:val="0020644C"/>
    <w:rsid w:val="00213972"/>
    <w:rsid w:val="00216916"/>
    <w:rsid w:val="00216D3C"/>
    <w:rsid w:val="002174D6"/>
    <w:rsid w:val="00217C12"/>
    <w:rsid w:val="002201A1"/>
    <w:rsid w:val="00221377"/>
    <w:rsid w:val="00221CB3"/>
    <w:rsid w:val="00225B52"/>
    <w:rsid w:val="00225CA1"/>
    <w:rsid w:val="00226C82"/>
    <w:rsid w:val="002279D7"/>
    <w:rsid w:val="00230732"/>
    <w:rsid w:val="002332C2"/>
    <w:rsid w:val="00234940"/>
    <w:rsid w:val="0023626F"/>
    <w:rsid w:val="002404C8"/>
    <w:rsid w:val="002406D4"/>
    <w:rsid w:val="00240CFC"/>
    <w:rsid w:val="00240E9D"/>
    <w:rsid w:val="00241CF2"/>
    <w:rsid w:val="0024210F"/>
    <w:rsid w:val="00242134"/>
    <w:rsid w:val="00243580"/>
    <w:rsid w:val="00244598"/>
    <w:rsid w:val="00245317"/>
    <w:rsid w:val="0024535F"/>
    <w:rsid w:val="00246044"/>
    <w:rsid w:val="002465BB"/>
    <w:rsid w:val="0025080E"/>
    <w:rsid w:val="00251395"/>
    <w:rsid w:val="00251DC8"/>
    <w:rsid w:val="00256473"/>
    <w:rsid w:val="00256F96"/>
    <w:rsid w:val="00264D0E"/>
    <w:rsid w:val="00267222"/>
    <w:rsid w:val="0026744F"/>
    <w:rsid w:val="00272116"/>
    <w:rsid w:val="00272BA0"/>
    <w:rsid w:val="002734FE"/>
    <w:rsid w:val="00273EB5"/>
    <w:rsid w:val="00274345"/>
    <w:rsid w:val="00276066"/>
    <w:rsid w:val="002804D1"/>
    <w:rsid w:val="00280535"/>
    <w:rsid w:val="00280B40"/>
    <w:rsid w:val="0028147E"/>
    <w:rsid w:val="002859B7"/>
    <w:rsid w:val="00287E5C"/>
    <w:rsid w:val="002909EB"/>
    <w:rsid w:val="002911AD"/>
    <w:rsid w:val="00292418"/>
    <w:rsid w:val="00293DA7"/>
    <w:rsid w:val="00296101"/>
    <w:rsid w:val="002969C0"/>
    <w:rsid w:val="002A193B"/>
    <w:rsid w:val="002A2AAD"/>
    <w:rsid w:val="002A5B22"/>
    <w:rsid w:val="002A7A96"/>
    <w:rsid w:val="002B010B"/>
    <w:rsid w:val="002B0BED"/>
    <w:rsid w:val="002B1C94"/>
    <w:rsid w:val="002B23B8"/>
    <w:rsid w:val="002B344E"/>
    <w:rsid w:val="002B6494"/>
    <w:rsid w:val="002B747B"/>
    <w:rsid w:val="002B7DCD"/>
    <w:rsid w:val="002C089B"/>
    <w:rsid w:val="002C1500"/>
    <w:rsid w:val="002C2C79"/>
    <w:rsid w:val="002C44BF"/>
    <w:rsid w:val="002C6A51"/>
    <w:rsid w:val="002D0E71"/>
    <w:rsid w:val="002D109B"/>
    <w:rsid w:val="002D1F2E"/>
    <w:rsid w:val="002D29BC"/>
    <w:rsid w:val="002D2E53"/>
    <w:rsid w:val="002D4356"/>
    <w:rsid w:val="002D5D22"/>
    <w:rsid w:val="002E0E52"/>
    <w:rsid w:val="002E2BBF"/>
    <w:rsid w:val="002E378E"/>
    <w:rsid w:val="002E3C79"/>
    <w:rsid w:val="002E3F40"/>
    <w:rsid w:val="002E3F91"/>
    <w:rsid w:val="002E4880"/>
    <w:rsid w:val="002E55E9"/>
    <w:rsid w:val="002E63CE"/>
    <w:rsid w:val="002E7BFD"/>
    <w:rsid w:val="002F1339"/>
    <w:rsid w:val="002F4CF9"/>
    <w:rsid w:val="002F561B"/>
    <w:rsid w:val="002F7710"/>
    <w:rsid w:val="002F7CAF"/>
    <w:rsid w:val="00300C9C"/>
    <w:rsid w:val="00301158"/>
    <w:rsid w:val="003016F6"/>
    <w:rsid w:val="003042BB"/>
    <w:rsid w:val="003047F9"/>
    <w:rsid w:val="00305455"/>
    <w:rsid w:val="00306181"/>
    <w:rsid w:val="003122EC"/>
    <w:rsid w:val="0031243B"/>
    <w:rsid w:val="003135E5"/>
    <w:rsid w:val="00316036"/>
    <w:rsid w:val="0031644B"/>
    <w:rsid w:val="00316D48"/>
    <w:rsid w:val="00316D5D"/>
    <w:rsid w:val="00316DEB"/>
    <w:rsid w:val="00320151"/>
    <w:rsid w:val="00320C0E"/>
    <w:rsid w:val="00321046"/>
    <w:rsid w:val="003217AE"/>
    <w:rsid w:val="00322CA9"/>
    <w:rsid w:val="0032595A"/>
    <w:rsid w:val="00331541"/>
    <w:rsid w:val="0033212B"/>
    <w:rsid w:val="00333772"/>
    <w:rsid w:val="0033471E"/>
    <w:rsid w:val="00336040"/>
    <w:rsid w:val="0033665F"/>
    <w:rsid w:val="00340A9D"/>
    <w:rsid w:val="003432D8"/>
    <w:rsid w:val="00343555"/>
    <w:rsid w:val="00343EFA"/>
    <w:rsid w:val="003476D9"/>
    <w:rsid w:val="00347A93"/>
    <w:rsid w:val="0035214D"/>
    <w:rsid w:val="00352817"/>
    <w:rsid w:val="003537A0"/>
    <w:rsid w:val="0035391C"/>
    <w:rsid w:val="00353F8B"/>
    <w:rsid w:val="003542D6"/>
    <w:rsid w:val="00354592"/>
    <w:rsid w:val="003547B9"/>
    <w:rsid w:val="00356AAE"/>
    <w:rsid w:val="00356C4C"/>
    <w:rsid w:val="00356CF2"/>
    <w:rsid w:val="00361EF9"/>
    <w:rsid w:val="00362C2A"/>
    <w:rsid w:val="00363D07"/>
    <w:rsid w:val="003648E4"/>
    <w:rsid w:val="003651B1"/>
    <w:rsid w:val="0036630F"/>
    <w:rsid w:val="00367E78"/>
    <w:rsid w:val="00370BA2"/>
    <w:rsid w:val="00370DAC"/>
    <w:rsid w:val="00372A64"/>
    <w:rsid w:val="003734DF"/>
    <w:rsid w:val="00373AD7"/>
    <w:rsid w:val="00373C05"/>
    <w:rsid w:val="00374D28"/>
    <w:rsid w:val="00376CAF"/>
    <w:rsid w:val="0038035B"/>
    <w:rsid w:val="003807BD"/>
    <w:rsid w:val="00380CB3"/>
    <w:rsid w:val="0038121B"/>
    <w:rsid w:val="003826EC"/>
    <w:rsid w:val="0038291E"/>
    <w:rsid w:val="00383861"/>
    <w:rsid w:val="0038425C"/>
    <w:rsid w:val="00390BB9"/>
    <w:rsid w:val="00392564"/>
    <w:rsid w:val="003936EC"/>
    <w:rsid w:val="0039385E"/>
    <w:rsid w:val="00394024"/>
    <w:rsid w:val="003A05A0"/>
    <w:rsid w:val="003A2CD8"/>
    <w:rsid w:val="003A39D3"/>
    <w:rsid w:val="003A3A0B"/>
    <w:rsid w:val="003A4CCC"/>
    <w:rsid w:val="003A50C1"/>
    <w:rsid w:val="003A53F6"/>
    <w:rsid w:val="003A7B09"/>
    <w:rsid w:val="003B2588"/>
    <w:rsid w:val="003B3E10"/>
    <w:rsid w:val="003B6142"/>
    <w:rsid w:val="003C037F"/>
    <w:rsid w:val="003C03E7"/>
    <w:rsid w:val="003C0FA2"/>
    <w:rsid w:val="003C1F1B"/>
    <w:rsid w:val="003C5964"/>
    <w:rsid w:val="003C5EF2"/>
    <w:rsid w:val="003C6C0E"/>
    <w:rsid w:val="003C7D90"/>
    <w:rsid w:val="003D03BC"/>
    <w:rsid w:val="003D1F6A"/>
    <w:rsid w:val="003D677E"/>
    <w:rsid w:val="003D73E4"/>
    <w:rsid w:val="003D79D8"/>
    <w:rsid w:val="003D7CBE"/>
    <w:rsid w:val="003E5B9A"/>
    <w:rsid w:val="003E779C"/>
    <w:rsid w:val="003F0258"/>
    <w:rsid w:val="003F07F3"/>
    <w:rsid w:val="003F18B1"/>
    <w:rsid w:val="003F517E"/>
    <w:rsid w:val="003F6EAF"/>
    <w:rsid w:val="003F76F5"/>
    <w:rsid w:val="003F77FC"/>
    <w:rsid w:val="00402DCF"/>
    <w:rsid w:val="004039C8"/>
    <w:rsid w:val="00403D57"/>
    <w:rsid w:val="004047EA"/>
    <w:rsid w:val="004059A4"/>
    <w:rsid w:val="00407A26"/>
    <w:rsid w:val="00407C3C"/>
    <w:rsid w:val="00412FBB"/>
    <w:rsid w:val="004161C8"/>
    <w:rsid w:val="00416639"/>
    <w:rsid w:val="00416696"/>
    <w:rsid w:val="00416D8B"/>
    <w:rsid w:val="004172FF"/>
    <w:rsid w:val="0041778B"/>
    <w:rsid w:val="00422466"/>
    <w:rsid w:val="00422EE1"/>
    <w:rsid w:val="00424CE4"/>
    <w:rsid w:val="00425087"/>
    <w:rsid w:val="00425ED0"/>
    <w:rsid w:val="004264A2"/>
    <w:rsid w:val="00430CC0"/>
    <w:rsid w:val="00430DBD"/>
    <w:rsid w:val="0043257C"/>
    <w:rsid w:val="00432E72"/>
    <w:rsid w:val="00435EDC"/>
    <w:rsid w:val="00436399"/>
    <w:rsid w:val="004378BA"/>
    <w:rsid w:val="00440F0A"/>
    <w:rsid w:val="00441158"/>
    <w:rsid w:val="00443064"/>
    <w:rsid w:val="004443F1"/>
    <w:rsid w:val="004448D3"/>
    <w:rsid w:val="004469C7"/>
    <w:rsid w:val="004472ED"/>
    <w:rsid w:val="004500FD"/>
    <w:rsid w:val="004520EC"/>
    <w:rsid w:val="004527F5"/>
    <w:rsid w:val="00452CB3"/>
    <w:rsid w:val="00452FAB"/>
    <w:rsid w:val="004559AD"/>
    <w:rsid w:val="0045633F"/>
    <w:rsid w:val="004579B6"/>
    <w:rsid w:val="00457D93"/>
    <w:rsid w:val="00457F14"/>
    <w:rsid w:val="00461CA3"/>
    <w:rsid w:val="00463C83"/>
    <w:rsid w:val="00465387"/>
    <w:rsid w:val="00467384"/>
    <w:rsid w:val="0047049F"/>
    <w:rsid w:val="00470F5A"/>
    <w:rsid w:val="0047201F"/>
    <w:rsid w:val="004723C3"/>
    <w:rsid w:val="00473507"/>
    <w:rsid w:val="004749EA"/>
    <w:rsid w:val="00474B22"/>
    <w:rsid w:val="00475177"/>
    <w:rsid w:val="004756FF"/>
    <w:rsid w:val="00477F60"/>
    <w:rsid w:val="004804B4"/>
    <w:rsid w:val="004842BC"/>
    <w:rsid w:val="0048444A"/>
    <w:rsid w:val="0048474F"/>
    <w:rsid w:val="004852AC"/>
    <w:rsid w:val="004852C4"/>
    <w:rsid w:val="004860DC"/>
    <w:rsid w:val="004877CF"/>
    <w:rsid w:val="00490223"/>
    <w:rsid w:val="00493A69"/>
    <w:rsid w:val="00494444"/>
    <w:rsid w:val="0049527E"/>
    <w:rsid w:val="004A0297"/>
    <w:rsid w:val="004A0A66"/>
    <w:rsid w:val="004A1DEA"/>
    <w:rsid w:val="004A2C5A"/>
    <w:rsid w:val="004A3EEB"/>
    <w:rsid w:val="004A4070"/>
    <w:rsid w:val="004A5E62"/>
    <w:rsid w:val="004A7DE6"/>
    <w:rsid w:val="004A7E69"/>
    <w:rsid w:val="004B02A5"/>
    <w:rsid w:val="004B437E"/>
    <w:rsid w:val="004B580C"/>
    <w:rsid w:val="004B60E1"/>
    <w:rsid w:val="004B6E4E"/>
    <w:rsid w:val="004B7331"/>
    <w:rsid w:val="004B75FD"/>
    <w:rsid w:val="004C0175"/>
    <w:rsid w:val="004C21AF"/>
    <w:rsid w:val="004C2625"/>
    <w:rsid w:val="004C2985"/>
    <w:rsid w:val="004C34C6"/>
    <w:rsid w:val="004C4D2F"/>
    <w:rsid w:val="004C615E"/>
    <w:rsid w:val="004C657B"/>
    <w:rsid w:val="004C6C82"/>
    <w:rsid w:val="004D25FE"/>
    <w:rsid w:val="004D2D73"/>
    <w:rsid w:val="004D31AC"/>
    <w:rsid w:val="004D3578"/>
    <w:rsid w:val="004D4C6E"/>
    <w:rsid w:val="004D51CE"/>
    <w:rsid w:val="004D5518"/>
    <w:rsid w:val="004D552B"/>
    <w:rsid w:val="004E18BD"/>
    <w:rsid w:val="004E32A4"/>
    <w:rsid w:val="004E50D3"/>
    <w:rsid w:val="004E5AD9"/>
    <w:rsid w:val="004E5C54"/>
    <w:rsid w:val="004E600D"/>
    <w:rsid w:val="004E62E7"/>
    <w:rsid w:val="004F0F88"/>
    <w:rsid w:val="004F206A"/>
    <w:rsid w:val="004F62FB"/>
    <w:rsid w:val="004F7873"/>
    <w:rsid w:val="005007BC"/>
    <w:rsid w:val="00500D5E"/>
    <w:rsid w:val="005021B6"/>
    <w:rsid w:val="00502422"/>
    <w:rsid w:val="0050315F"/>
    <w:rsid w:val="00503F8F"/>
    <w:rsid w:val="0050418D"/>
    <w:rsid w:val="0050496B"/>
    <w:rsid w:val="00505DD1"/>
    <w:rsid w:val="005061FC"/>
    <w:rsid w:val="00506F2B"/>
    <w:rsid w:val="00507549"/>
    <w:rsid w:val="00511D50"/>
    <w:rsid w:val="00516075"/>
    <w:rsid w:val="00516FE9"/>
    <w:rsid w:val="005232EF"/>
    <w:rsid w:val="005236DD"/>
    <w:rsid w:val="0052527A"/>
    <w:rsid w:val="00525B78"/>
    <w:rsid w:val="0052620D"/>
    <w:rsid w:val="00530C8F"/>
    <w:rsid w:val="005315CD"/>
    <w:rsid w:val="005315E2"/>
    <w:rsid w:val="00531E46"/>
    <w:rsid w:val="00531E6D"/>
    <w:rsid w:val="0053225F"/>
    <w:rsid w:val="00535EEE"/>
    <w:rsid w:val="00540099"/>
    <w:rsid w:val="005401DA"/>
    <w:rsid w:val="00540D74"/>
    <w:rsid w:val="005422C9"/>
    <w:rsid w:val="005424DC"/>
    <w:rsid w:val="0054261B"/>
    <w:rsid w:val="0054345B"/>
    <w:rsid w:val="00543F0C"/>
    <w:rsid w:val="0054413A"/>
    <w:rsid w:val="0054468D"/>
    <w:rsid w:val="0054544A"/>
    <w:rsid w:val="0054583C"/>
    <w:rsid w:val="00545FCF"/>
    <w:rsid w:val="00546169"/>
    <w:rsid w:val="00546879"/>
    <w:rsid w:val="00553AFE"/>
    <w:rsid w:val="00553E8A"/>
    <w:rsid w:val="005564DB"/>
    <w:rsid w:val="00560D30"/>
    <w:rsid w:val="00561128"/>
    <w:rsid w:val="00561944"/>
    <w:rsid w:val="00563832"/>
    <w:rsid w:val="005664C2"/>
    <w:rsid w:val="00566ACC"/>
    <w:rsid w:val="005675CB"/>
    <w:rsid w:val="00567F22"/>
    <w:rsid w:val="005712CC"/>
    <w:rsid w:val="00571B2E"/>
    <w:rsid w:val="005742F2"/>
    <w:rsid w:val="005749BF"/>
    <w:rsid w:val="00575F71"/>
    <w:rsid w:val="00576382"/>
    <w:rsid w:val="005775FD"/>
    <w:rsid w:val="00577D1D"/>
    <w:rsid w:val="00580993"/>
    <w:rsid w:val="005838D0"/>
    <w:rsid w:val="00583F1C"/>
    <w:rsid w:val="00585C33"/>
    <w:rsid w:val="00586CC3"/>
    <w:rsid w:val="00587023"/>
    <w:rsid w:val="005918DD"/>
    <w:rsid w:val="005920E2"/>
    <w:rsid w:val="00592EEE"/>
    <w:rsid w:val="0059721A"/>
    <w:rsid w:val="00597F23"/>
    <w:rsid w:val="005A04FC"/>
    <w:rsid w:val="005A152D"/>
    <w:rsid w:val="005A19BD"/>
    <w:rsid w:val="005A2590"/>
    <w:rsid w:val="005A2D24"/>
    <w:rsid w:val="005A30FD"/>
    <w:rsid w:val="005A3ADB"/>
    <w:rsid w:val="005A71C4"/>
    <w:rsid w:val="005B0384"/>
    <w:rsid w:val="005B07E5"/>
    <w:rsid w:val="005B0C56"/>
    <w:rsid w:val="005B0D19"/>
    <w:rsid w:val="005B1A6C"/>
    <w:rsid w:val="005B1BC5"/>
    <w:rsid w:val="005B249B"/>
    <w:rsid w:val="005B2D41"/>
    <w:rsid w:val="005B3276"/>
    <w:rsid w:val="005B362E"/>
    <w:rsid w:val="005B5595"/>
    <w:rsid w:val="005B7E9C"/>
    <w:rsid w:val="005C0109"/>
    <w:rsid w:val="005C31E4"/>
    <w:rsid w:val="005C38DA"/>
    <w:rsid w:val="005C5D67"/>
    <w:rsid w:val="005C7E42"/>
    <w:rsid w:val="005C7E82"/>
    <w:rsid w:val="005D19DA"/>
    <w:rsid w:val="005D1EF0"/>
    <w:rsid w:val="005D3019"/>
    <w:rsid w:val="005D6F75"/>
    <w:rsid w:val="005E1C2B"/>
    <w:rsid w:val="005E1F09"/>
    <w:rsid w:val="005E256A"/>
    <w:rsid w:val="005E6375"/>
    <w:rsid w:val="005E71C8"/>
    <w:rsid w:val="005F2A70"/>
    <w:rsid w:val="005F49EE"/>
    <w:rsid w:val="005F4D2A"/>
    <w:rsid w:val="005F5123"/>
    <w:rsid w:val="005F6990"/>
    <w:rsid w:val="005F78B1"/>
    <w:rsid w:val="006009FE"/>
    <w:rsid w:val="00601E78"/>
    <w:rsid w:val="00601EF7"/>
    <w:rsid w:val="006036C9"/>
    <w:rsid w:val="00605468"/>
    <w:rsid w:val="00606708"/>
    <w:rsid w:val="006144D0"/>
    <w:rsid w:val="00615FD2"/>
    <w:rsid w:val="00621960"/>
    <w:rsid w:val="00625B63"/>
    <w:rsid w:val="00626153"/>
    <w:rsid w:val="006263F4"/>
    <w:rsid w:val="00626624"/>
    <w:rsid w:val="00626837"/>
    <w:rsid w:val="00627139"/>
    <w:rsid w:val="00627646"/>
    <w:rsid w:val="006316F5"/>
    <w:rsid w:val="006318D1"/>
    <w:rsid w:val="00633775"/>
    <w:rsid w:val="00634018"/>
    <w:rsid w:val="006349FF"/>
    <w:rsid w:val="006351E0"/>
    <w:rsid w:val="00641BEC"/>
    <w:rsid w:val="00643245"/>
    <w:rsid w:val="006438DB"/>
    <w:rsid w:val="00644B34"/>
    <w:rsid w:val="00644F96"/>
    <w:rsid w:val="006455A3"/>
    <w:rsid w:val="006469D5"/>
    <w:rsid w:val="00650A58"/>
    <w:rsid w:val="00650E02"/>
    <w:rsid w:val="00651635"/>
    <w:rsid w:val="0065176D"/>
    <w:rsid w:val="006520D8"/>
    <w:rsid w:val="006550DA"/>
    <w:rsid w:val="00656782"/>
    <w:rsid w:val="006606B4"/>
    <w:rsid w:val="00661531"/>
    <w:rsid w:val="00663398"/>
    <w:rsid w:val="00664E0B"/>
    <w:rsid w:val="0066623A"/>
    <w:rsid w:val="00666E99"/>
    <w:rsid w:val="006672D5"/>
    <w:rsid w:val="00670AFA"/>
    <w:rsid w:val="00672170"/>
    <w:rsid w:val="006728A2"/>
    <w:rsid w:val="00674801"/>
    <w:rsid w:val="00674E6E"/>
    <w:rsid w:val="00677C31"/>
    <w:rsid w:val="00680A49"/>
    <w:rsid w:val="00680B0D"/>
    <w:rsid w:val="006879C5"/>
    <w:rsid w:val="00687CE9"/>
    <w:rsid w:val="00687E64"/>
    <w:rsid w:val="0069055E"/>
    <w:rsid w:val="0069079F"/>
    <w:rsid w:val="00690B43"/>
    <w:rsid w:val="006927F6"/>
    <w:rsid w:val="00692FA9"/>
    <w:rsid w:val="0069441D"/>
    <w:rsid w:val="00697072"/>
    <w:rsid w:val="006A0458"/>
    <w:rsid w:val="006A26F4"/>
    <w:rsid w:val="006A4D9A"/>
    <w:rsid w:val="006B39D4"/>
    <w:rsid w:val="006B7822"/>
    <w:rsid w:val="006B7E1E"/>
    <w:rsid w:val="006C2B12"/>
    <w:rsid w:val="006C3420"/>
    <w:rsid w:val="006C38BA"/>
    <w:rsid w:val="006C418B"/>
    <w:rsid w:val="006C4937"/>
    <w:rsid w:val="006C528C"/>
    <w:rsid w:val="006C5E13"/>
    <w:rsid w:val="006C60C9"/>
    <w:rsid w:val="006D0054"/>
    <w:rsid w:val="006D0936"/>
    <w:rsid w:val="006D4910"/>
    <w:rsid w:val="006D4E0F"/>
    <w:rsid w:val="006D59EE"/>
    <w:rsid w:val="006D64B9"/>
    <w:rsid w:val="006D67E8"/>
    <w:rsid w:val="006D7A83"/>
    <w:rsid w:val="006E3956"/>
    <w:rsid w:val="006E7E9B"/>
    <w:rsid w:val="006F0622"/>
    <w:rsid w:val="006F13E1"/>
    <w:rsid w:val="006F3551"/>
    <w:rsid w:val="006F3847"/>
    <w:rsid w:val="006F452D"/>
    <w:rsid w:val="006F4BB9"/>
    <w:rsid w:val="007006B5"/>
    <w:rsid w:val="00703B75"/>
    <w:rsid w:val="007063EF"/>
    <w:rsid w:val="007068B0"/>
    <w:rsid w:val="00707787"/>
    <w:rsid w:val="007079A7"/>
    <w:rsid w:val="007117A5"/>
    <w:rsid w:val="00711A9F"/>
    <w:rsid w:val="00712CD2"/>
    <w:rsid w:val="00714562"/>
    <w:rsid w:val="00714FBB"/>
    <w:rsid w:val="00717D74"/>
    <w:rsid w:val="0072028F"/>
    <w:rsid w:val="00721F8D"/>
    <w:rsid w:val="007230C9"/>
    <w:rsid w:val="007239A4"/>
    <w:rsid w:val="007240D6"/>
    <w:rsid w:val="0072571C"/>
    <w:rsid w:val="00725891"/>
    <w:rsid w:val="00725C9B"/>
    <w:rsid w:val="00726A0A"/>
    <w:rsid w:val="00727B8C"/>
    <w:rsid w:val="007301D1"/>
    <w:rsid w:val="00731A5E"/>
    <w:rsid w:val="00732F90"/>
    <w:rsid w:val="007338F6"/>
    <w:rsid w:val="007345BE"/>
    <w:rsid w:val="00735DD5"/>
    <w:rsid w:val="007408E5"/>
    <w:rsid w:val="00741A01"/>
    <w:rsid w:val="007443F9"/>
    <w:rsid w:val="007459BA"/>
    <w:rsid w:val="00747411"/>
    <w:rsid w:val="00747448"/>
    <w:rsid w:val="007504F6"/>
    <w:rsid w:val="0075184C"/>
    <w:rsid w:val="00752500"/>
    <w:rsid w:val="00752B61"/>
    <w:rsid w:val="00752C13"/>
    <w:rsid w:val="00753983"/>
    <w:rsid w:val="00753E4E"/>
    <w:rsid w:val="0075427E"/>
    <w:rsid w:val="007546B4"/>
    <w:rsid w:val="0075502E"/>
    <w:rsid w:val="0075655B"/>
    <w:rsid w:val="00756B31"/>
    <w:rsid w:val="00757FE6"/>
    <w:rsid w:val="00760B58"/>
    <w:rsid w:val="00760E82"/>
    <w:rsid w:val="00761032"/>
    <w:rsid w:val="00761311"/>
    <w:rsid w:val="007623BC"/>
    <w:rsid w:val="007628FC"/>
    <w:rsid w:val="00763B0C"/>
    <w:rsid w:val="00764597"/>
    <w:rsid w:val="007646CA"/>
    <w:rsid w:val="00765B40"/>
    <w:rsid w:val="00766978"/>
    <w:rsid w:val="00774172"/>
    <w:rsid w:val="00775047"/>
    <w:rsid w:val="00781304"/>
    <w:rsid w:val="00783D18"/>
    <w:rsid w:val="00783DEF"/>
    <w:rsid w:val="0078429D"/>
    <w:rsid w:val="00784929"/>
    <w:rsid w:val="00784C3E"/>
    <w:rsid w:val="00786F7D"/>
    <w:rsid w:val="0079110E"/>
    <w:rsid w:val="0079137D"/>
    <w:rsid w:val="00791488"/>
    <w:rsid w:val="00791C27"/>
    <w:rsid w:val="00792087"/>
    <w:rsid w:val="00792CCB"/>
    <w:rsid w:val="00792D61"/>
    <w:rsid w:val="00793AE1"/>
    <w:rsid w:val="00793CAB"/>
    <w:rsid w:val="0079423F"/>
    <w:rsid w:val="00795F73"/>
    <w:rsid w:val="007971CE"/>
    <w:rsid w:val="007A0667"/>
    <w:rsid w:val="007A1B58"/>
    <w:rsid w:val="007A21BE"/>
    <w:rsid w:val="007A30C7"/>
    <w:rsid w:val="007A46CB"/>
    <w:rsid w:val="007A4ED0"/>
    <w:rsid w:val="007A586B"/>
    <w:rsid w:val="007A5DB9"/>
    <w:rsid w:val="007A67F3"/>
    <w:rsid w:val="007A7E25"/>
    <w:rsid w:val="007B0AE7"/>
    <w:rsid w:val="007B0C29"/>
    <w:rsid w:val="007B3BFE"/>
    <w:rsid w:val="007B5B7F"/>
    <w:rsid w:val="007C042A"/>
    <w:rsid w:val="007C091C"/>
    <w:rsid w:val="007C593C"/>
    <w:rsid w:val="007C5FDC"/>
    <w:rsid w:val="007C6090"/>
    <w:rsid w:val="007C7046"/>
    <w:rsid w:val="007D01C2"/>
    <w:rsid w:val="007D292F"/>
    <w:rsid w:val="007D2F15"/>
    <w:rsid w:val="007D3EBF"/>
    <w:rsid w:val="007D400C"/>
    <w:rsid w:val="007D4FFD"/>
    <w:rsid w:val="007D5713"/>
    <w:rsid w:val="007E1BD5"/>
    <w:rsid w:val="007E2496"/>
    <w:rsid w:val="007E26E8"/>
    <w:rsid w:val="007E2E82"/>
    <w:rsid w:val="007E4E7D"/>
    <w:rsid w:val="007E59A7"/>
    <w:rsid w:val="007E5D5E"/>
    <w:rsid w:val="007F0F78"/>
    <w:rsid w:val="007F1BA7"/>
    <w:rsid w:val="007F1C30"/>
    <w:rsid w:val="007F251E"/>
    <w:rsid w:val="007F2B29"/>
    <w:rsid w:val="007F5F1A"/>
    <w:rsid w:val="007F5F3F"/>
    <w:rsid w:val="007F7333"/>
    <w:rsid w:val="007F7404"/>
    <w:rsid w:val="007F76B0"/>
    <w:rsid w:val="007F7B65"/>
    <w:rsid w:val="007F7F08"/>
    <w:rsid w:val="008000D4"/>
    <w:rsid w:val="00800255"/>
    <w:rsid w:val="0080173F"/>
    <w:rsid w:val="008021B2"/>
    <w:rsid w:val="00802B5E"/>
    <w:rsid w:val="00803C02"/>
    <w:rsid w:val="00804268"/>
    <w:rsid w:val="0080451F"/>
    <w:rsid w:val="0080755B"/>
    <w:rsid w:val="00810C25"/>
    <w:rsid w:val="00811740"/>
    <w:rsid w:val="008119D8"/>
    <w:rsid w:val="008131C5"/>
    <w:rsid w:val="00820188"/>
    <w:rsid w:val="00820A1A"/>
    <w:rsid w:val="00820C0C"/>
    <w:rsid w:val="00821F53"/>
    <w:rsid w:val="00822865"/>
    <w:rsid w:val="00823DC6"/>
    <w:rsid w:val="00825DCC"/>
    <w:rsid w:val="00826352"/>
    <w:rsid w:val="00827824"/>
    <w:rsid w:val="00827B1A"/>
    <w:rsid w:val="00830650"/>
    <w:rsid w:val="00830C3E"/>
    <w:rsid w:val="00831437"/>
    <w:rsid w:val="0083237F"/>
    <w:rsid w:val="008328D1"/>
    <w:rsid w:val="00833D66"/>
    <w:rsid w:val="00834FA0"/>
    <w:rsid w:val="00834FF2"/>
    <w:rsid w:val="0084311D"/>
    <w:rsid w:val="008434F1"/>
    <w:rsid w:val="00843E6B"/>
    <w:rsid w:val="008508F8"/>
    <w:rsid w:val="008523D4"/>
    <w:rsid w:val="008539AE"/>
    <w:rsid w:val="00853B8C"/>
    <w:rsid w:val="0086125E"/>
    <w:rsid w:val="00862B11"/>
    <w:rsid w:val="00864416"/>
    <w:rsid w:val="008653DE"/>
    <w:rsid w:val="0086611F"/>
    <w:rsid w:val="008662B0"/>
    <w:rsid w:val="00867002"/>
    <w:rsid w:val="00867F9A"/>
    <w:rsid w:val="0087085A"/>
    <w:rsid w:val="00871C81"/>
    <w:rsid w:val="008732A1"/>
    <w:rsid w:val="00874363"/>
    <w:rsid w:val="00874598"/>
    <w:rsid w:val="00875C64"/>
    <w:rsid w:val="00875E19"/>
    <w:rsid w:val="00876140"/>
    <w:rsid w:val="0088225A"/>
    <w:rsid w:val="00883193"/>
    <w:rsid w:val="008921C4"/>
    <w:rsid w:val="00892230"/>
    <w:rsid w:val="00895572"/>
    <w:rsid w:val="00896138"/>
    <w:rsid w:val="0089650D"/>
    <w:rsid w:val="00896EB2"/>
    <w:rsid w:val="00897355"/>
    <w:rsid w:val="00897969"/>
    <w:rsid w:val="00897BE1"/>
    <w:rsid w:val="008A012E"/>
    <w:rsid w:val="008A022B"/>
    <w:rsid w:val="008A1BE4"/>
    <w:rsid w:val="008A3440"/>
    <w:rsid w:val="008A52B6"/>
    <w:rsid w:val="008A556F"/>
    <w:rsid w:val="008A6305"/>
    <w:rsid w:val="008A7301"/>
    <w:rsid w:val="008B00B4"/>
    <w:rsid w:val="008B30E7"/>
    <w:rsid w:val="008B6DB9"/>
    <w:rsid w:val="008B6E8F"/>
    <w:rsid w:val="008B7156"/>
    <w:rsid w:val="008C034D"/>
    <w:rsid w:val="008C055D"/>
    <w:rsid w:val="008C1095"/>
    <w:rsid w:val="008C2D66"/>
    <w:rsid w:val="008C3385"/>
    <w:rsid w:val="008C79A7"/>
    <w:rsid w:val="008D0126"/>
    <w:rsid w:val="008D0BF7"/>
    <w:rsid w:val="008D12EB"/>
    <w:rsid w:val="008D1C5A"/>
    <w:rsid w:val="008D330F"/>
    <w:rsid w:val="008D33A4"/>
    <w:rsid w:val="008D3C8C"/>
    <w:rsid w:val="008D3E04"/>
    <w:rsid w:val="008D565C"/>
    <w:rsid w:val="008D633F"/>
    <w:rsid w:val="008D6F7B"/>
    <w:rsid w:val="008E4033"/>
    <w:rsid w:val="008E59AA"/>
    <w:rsid w:val="008E5FC2"/>
    <w:rsid w:val="008E7569"/>
    <w:rsid w:val="008F0D9F"/>
    <w:rsid w:val="008F14E4"/>
    <w:rsid w:val="008F1E48"/>
    <w:rsid w:val="008F3247"/>
    <w:rsid w:val="008F398D"/>
    <w:rsid w:val="008F4043"/>
    <w:rsid w:val="008F4238"/>
    <w:rsid w:val="008F4CB0"/>
    <w:rsid w:val="008F5E8B"/>
    <w:rsid w:val="00900115"/>
    <w:rsid w:val="00902CE8"/>
    <w:rsid w:val="00904FB4"/>
    <w:rsid w:val="009057C4"/>
    <w:rsid w:val="009074DF"/>
    <w:rsid w:val="00907D12"/>
    <w:rsid w:val="00910D00"/>
    <w:rsid w:val="00912857"/>
    <w:rsid w:val="0091309B"/>
    <w:rsid w:val="009142E1"/>
    <w:rsid w:val="00915A6F"/>
    <w:rsid w:val="00917AAF"/>
    <w:rsid w:val="00921052"/>
    <w:rsid w:val="0092183E"/>
    <w:rsid w:val="00923B64"/>
    <w:rsid w:val="009258E5"/>
    <w:rsid w:val="00926548"/>
    <w:rsid w:val="00930E4B"/>
    <w:rsid w:val="00931B6C"/>
    <w:rsid w:val="00933A7E"/>
    <w:rsid w:val="009359E2"/>
    <w:rsid w:val="0094010C"/>
    <w:rsid w:val="009402E4"/>
    <w:rsid w:val="00940400"/>
    <w:rsid w:val="0094250B"/>
    <w:rsid w:val="0094283C"/>
    <w:rsid w:val="00942948"/>
    <w:rsid w:val="00946589"/>
    <w:rsid w:val="00947284"/>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3DB6"/>
    <w:rsid w:val="0096540A"/>
    <w:rsid w:val="00970C90"/>
    <w:rsid w:val="009712EB"/>
    <w:rsid w:val="00973469"/>
    <w:rsid w:val="00974FF2"/>
    <w:rsid w:val="00977941"/>
    <w:rsid w:val="00981A6F"/>
    <w:rsid w:val="00982F2A"/>
    <w:rsid w:val="00983C0A"/>
    <w:rsid w:val="00985CF0"/>
    <w:rsid w:val="00985DB3"/>
    <w:rsid w:val="0098739E"/>
    <w:rsid w:val="00987CEE"/>
    <w:rsid w:val="0099016A"/>
    <w:rsid w:val="00991145"/>
    <w:rsid w:val="00991CBC"/>
    <w:rsid w:val="00993C5B"/>
    <w:rsid w:val="00994B1C"/>
    <w:rsid w:val="00996471"/>
    <w:rsid w:val="00997782"/>
    <w:rsid w:val="009A1D12"/>
    <w:rsid w:val="009A1E00"/>
    <w:rsid w:val="009A1EB8"/>
    <w:rsid w:val="009A2E41"/>
    <w:rsid w:val="009A3642"/>
    <w:rsid w:val="009A3A01"/>
    <w:rsid w:val="009A4B11"/>
    <w:rsid w:val="009A4B54"/>
    <w:rsid w:val="009A4F82"/>
    <w:rsid w:val="009A7302"/>
    <w:rsid w:val="009B23DC"/>
    <w:rsid w:val="009B3800"/>
    <w:rsid w:val="009B4ECA"/>
    <w:rsid w:val="009B6214"/>
    <w:rsid w:val="009B64BB"/>
    <w:rsid w:val="009B6EC5"/>
    <w:rsid w:val="009C11CF"/>
    <w:rsid w:val="009C1DA2"/>
    <w:rsid w:val="009C398F"/>
    <w:rsid w:val="009C3A16"/>
    <w:rsid w:val="009C44FD"/>
    <w:rsid w:val="009C64D2"/>
    <w:rsid w:val="009C672B"/>
    <w:rsid w:val="009D2FCA"/>
    <w:rsid w:val="009D3036"/>
    <w:rsid w:val="009D4658"/>
    <w:rsid w:val="009D7C62"/>
    <w:rsid w:val="009E0BA9"/>
    <w:rsid w:val="009E0BAB"/>
    <w:rsid w:val="009E1FE3"/>
    <w:rsid w:val="009E4120"/>
    <w:rsid w:val="009E444C"/>
    <w:rsid w:val="009E557D"/>
    <w:rsid w:val="009E5A17"/>
    <w:rsid w:val="009E5F12"/>
    <w:rsid w:val="009E6C86"/>
    <w:rsid w:val="009F239C"/>
    <w:rsid w:val="009F683B"/>
    <w:rsid w:val="009F6B76"/>
    <w:rsid w:val="00A02EAF"/>
    <w:rsid w:val="00A06D5A"/>
    <w:rsid w:val="00A119BF"/>
    <w:rsid w:val="00A1227D"/>
    <w:rsid w:val="00A12BC1"/>
    <w:rsid w:val="00A1410C"/>
    <w:rsid w:val="00A16786"/>
    <w:rsid w:val="00A23E00"/>
    <w:rsid w:val="00A24B08"/>
    <w:rsid w:val="00A24B10"/>
    <w:rsid w:val="00A2671E"/>
    <w:rsid w:val="00A26CA6"/>
    <w:rsid w:val="00A26D6F"/>
    <w:rsid w:val="00A31A8B"/>
    <w:rsid w:val="00A328A0"/>
    <w:rsid w:val="00A32EDA"/>
    <w:rsid w:val="00A3578F"/>
    <w:rsid w:val="00A360CF"/>
    <w:rsid w:val="00A36D4E"/>
    <w:rsid w:val="00A40C5C"/>
    <w:rsid w:val="00A416C2"/>
    <w:rsid w:val="00A41AEE"/>
    <w:rsid w:val="00A42651"/>
    <w:rsid w:val="00A44016"/>
    <w:rsid w:val="00A459AE"/>
    <w:rsid w:val="00A4661C"/>
    <w:rsid w:val="00A47CED"/>
    <w:rsid w:val="00A51DEC"/>
    <w:rsid w:val="00A525C3"/>
    <w:rsid w:val="00A534F0"/>
    <w:rsid w:val="00A569E7"/>
    <w:rsid w:val="00A56A6C"/>
    <w:rsid w:val="00A57941"/>
    <w:rsid w:val="00A6055F"/>
    <w:rsid w:val="00A62738"/>
    <w:rsid w:val="00A62BC0"/>
    <w:rsid w:val="00A63604"/>
    <w:rsid w:val="00A65071"/>
    <w:rsid w:val="00A6593D"/>
    <w:rsid w:val="00A66718"/>
    <w:rsid w:val="00A672D7"/>
    <w:rsid w:val="00A707BA"/>
    <w:rsid w:val="00A70EB4"/>
    <w:rsid w:val="00A71584"/>
    <w:rsid w:val="00A73A68"/>
    <w:rsid w:val="00A74195"/>
    <w:rsid w:val="00A74B2E"/>
    <w:rsid w:val="00A75A88"/>
    <w:rsid w:val="00A75D5B"/>
    <w:rsid w:val="00A76BB0"/>
    <w:rsid w:val="00A7721D"/>
    <w:rsid w:val="00A77264"/>
    <w:rsid w:val="00A77C4E"/>
    <w:rsid w:val="00A77E1E"/>
    <w:rsid w:val="00A804C5"/>
    <w:rsid w:val="00A80AFC"/>
    <w:rsid w:val="00A81148"/>
    <w:rsid w:val="00A825B7"/>
    <w:rsid w:val="00A82606"/>
    <w:rsid w:val="00A83D46"/>
    <w:rsid w:val="00A83E2A"/>
    <w:rsid w:val="00A84344"/>
    <w:rsid w:val="00A84C32"/>
    <w:rsid w:val="00A879BD"/>
    <w:rsid w:val="00A90B63"/>
    <w:rsid w:val="00A924A8"/>
    <w:rsid w:val="00A93F54"/>
    <w:rsid w:val="00A962BA"/>
    <w:rsid w:val="00A96815"/>
    <w:rsid w:val="00A9735F"/>
    <w:rsid w:val="00AA05BC"/>
    <w:rsid w:val="00AA27C6"/>
    <w:rsid w:val="00AA4279"/>
    <w:rsid w:val="00AA43B8"/>
    <w:rsid w:val="00AA52EB"/>
    <w:rsid w:val="00AA536E"/>
    <w:rsid w:val="00AA736A"/>
    <w:rsid w:val="00AA7849"/>
    <w:rsid w:val="00AB09FB"/>
    <w:rsid w:val="00AB0FF1"/>
    <w:rsid w:val="00AB1E5E"/>
    <w:rsid w:val="00AB4738"/>
    <w:rsid w:val="00AB4D91"/>
    <w:rsid w:val="00AB5BD0"/>
    <w:rsid w:val="00AB5E4D"/>
    <w:rsid w:val="00AB7DEA"/>
    <w:rsid w:val="00AC3664"/>
    <w:rsid w:val="00AC429E"/>
    <w:rsid w:val="00AC55F6"/>
    <w:rsid w:val="00AC6BFF"/>
    <w:rsid w:val="00AD2C10"/>
    <w:rsid w:val="00AD2CD9"/>
    <w:rsid w:val="00AD49DA"/>
    <w:rsid w:val="00AD53F5"/>
    <w:rsid w:val="00AD6BC1"/>
    <w:rsid w:val="00AD708B"/>
    <w:rsid w:val="00AE0997"/>
    <w:rsid w:val="00AE251A"/>
    <w:rsid w:val="00AE25F2"/>
    <w:rsid w:val="00AE5877"/>
    <w:rsid w:val="00AE62F2"/>
    <w:rsid w:val="00AF00BD"/>
    <w:rsid w:val="00AF1B57"/>
    <w:rsid w:val="00AF1DA3"/>
    <w:rsid w:val="00AF281C"/>
    <w:rsid w:val="00AF3356"/>
    <w:rsid w:val="00AF34C2"/>
    <w:rsid w:val="00AF51FE"/>
    <w:rsid w:val="00B0168C"/>
    <w:rsid w:val="00B03967"/>
    <w:rsid w:val="00B043A9"/>
    <w:rsid w:val="00B044E8"/>
    <w:rsid w:val="00B05C27"/>
    <w:rsid w:val="00B05C98"/>
    <w:rsid w:val="00B10C96"/>
    <w:rsid w:val="00B10F08"/>
    <w:rsid w:val="00B1158B"/>
    <w:rsid w:val="00B1318C"/>
    <w:rsid w:val="00B134C8"/>
    <w:rsid w:val="00B13F7E"/>
    <w:rsid w:val="00B1540F"/>
    <w:rsid w:val="00B15556"/>
    <w:rsid w:val="00B210BD"/>
    <w:rsid w:val="00B21998"/>
    <w:rsid w:val="00B24AFE"/>
    <w:rsid w:val="00B25057"/>
    <w:rsid w:val="00B274E8"/>
    <w:rsid w:val="00B32860"/>
    <w:rsid w:val="00B33C8E"/>
    <w:rsid w:val="00B365F4"/>
    <w:rsid w:val="00B36CC4"/>
    <w:rsid w:val="00B373F9"/>
    <w:rsid w:val="00B4105D"/>
    <w:rsid w:val="00B41652"/>
    <w:rsid w:val="00B42C27"/>
    <w:rsid w:val="00B42CAE"/>
    <w:rsid w:val="00B44A58"/>
    <w:rsid w:val="00B44E44"/>
    <w:rsid w:val="00B45292"/>
    <w:rsid w:val="00B455C0"/>
    <w:rsid w:val="00B52D61"/>
    <w:rsid w:val="00B52D98"/>
    <w:rsid w:val="00B53B61"/>
    <w:rsid w:val="00B55FC5"/>
    <w:rsid w:val="00B56882"/>
    <w:rsid w:val="00B6021C"/>
    <w:rsid w:val="00B62631"/>
    <w:rsid w:val="00B62870"/>
    <w:rsid w:val="00B64830"/>
    <w:rsid w:val="00B6753D"/>
    <w:rsid w:val="00B70F1A"/>
    <w:rsid w:val="00B7172F"/>
    <w:rsid w:val="00B726A0"/>
    <w:rsid w:val="00B727FD"/>
    <w:rsid w:val="00B73277"/>
    <w:rsid w:val="00B73BEA"/>
    <w:rsid w:val="00B76395"/>
    <w:rsid w:val="00B82042"/>
    <w:rsid w:val="00B82165"/>
    <w:rsid w:val="00B824B4"/>
    <w:rsid w:val="00B826B8"/>
    <w:rsid w:val="00B83713"/>
    <w:rsid w:val="00B84DA9"/>
    <w:rsid w:val="00B87561"/>
    <w:rsid w:val="00B87CDD"/>
    <w:rsid w:val="00B90C03"/>
    <w:rsid w:val="00B92B9D"/>
    <w:rsid w:val="00B933C4"/>
    <w:rsid w:val="00B943ED"/>
    <w:rsid w:val="00B96795"/>
    <w:rsid w:val="00B969EF"/>
    <w:rsid w:val="00B971FE"/>
    <w:rsid w:val="00BA36FA"/>
    <w:rsid w:val="00BA38A0"/>
    <w:rsid w:val="00BA3B68"/>
    <w:rsid w:val="00BA4362"/>
    <w:rsid w:val="00BA55A8"/>
    <w:rsid w:val="00BA5651"/>
    <w:rsid w:val="00BA5D07"/>
    <w:rsid w:val="00BA606D"/>
    <w:rsid w:val="00BB127A"/>
    <w:rsid w:val="00BB1290"/>
    <w:rsid w:val="00BB297A"/>
    <w:rsid w:val="00BB4121"/>
    <w:rsid w:val="00BB4D84"/>
    <w:rsid w:val="00BB7D4A"/>
    <w:rsid w:val="00BC286A"/>
    <w:rsid w:val="00BC337F"/>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FD"/>
    <w:rsid w:val="00BF02B4"/>
    <w:rsid w:val="00BF0CDB"/>
    <w:rsid w:val="00BF2252"/>
    <w:rsid w:val="00BF43E6"/>
    <w:rsid w:val="00BF4B0E"/>
    <w:rsid w:val="00BF6C99"/>
    <w:rsid w:val="00C01A3D"/>
    <w:rsid w:val="00C032E2"/>
    <w:rsid w:val="00C058E1"/>
    <w:rsid w:val="00C06264"/>
    <w:rsid w:val="00C07266"/>
    <w:rsid w:val="00C073E3"/>
    <w:rsid w:val="00C11228"/>
    <w:rsid w:val="00C11451"/>
    <w:rsid w:val="00C11C68"/>
    <w:rsid w:val="00C11C9D"/>
    <w:rsid w:val="00C1237F"/>
    <w:rsid w:val="00C129D4"/>
    <w:rsid w:val="00C137DC"/>
    <w:rsid w:val="00C14406"/>
    <w:rsid w:val="00C145E6"/>
    <w:rsid w:val="00C15F10"/>
    <w:rsid w:val="00C2028F"/>
    <w:rsid w:val="00C30B07"/>
    <w:rsid w:val="00C33325"/>
    <w:rsid w:val="00C348F6"/>
    <w:rsid w:val="00C359E9"/>
    <w:rsid w:val="00C4765B"/>
    <w:rsid w:val="00C5035E"/>
    <w:rsid w:val="00C50881"/>
    <w:rsid w:val="00C55043"/>
    <w:rsid w:val="00C56618"/>
    <w:rsid w:val="00C56E8A"/>
    <w:rsid w:val="00C623FE"/>
    <w:rsid w:val="00C62D0F"/>
    <w:rsid w:val="00C63CD3"/>
    <w:rsid w:val="00C64BD4"/>
    <w:rsid w:val="00C6572E"/>
    <w:rsid w:val="00C66639"/>
    <w:rsid w:val="00C67D65"/>
    <w:rsid w:val="00C72AA4"/>
    <w:rsid w:val="00C73A77"/>
    <w:rsid w:val="00C74680"/>
    <w:rsid w:val="00C77462"/>
    <w:rsid w:val="00C77DB6"/>
    <w:rsid w:val="00C81796"/>
    <w:rsid w:val="00C8241D"/>
    <w:rsid w:val="00C847E1"/>
    <w:rsid w:val="00C85319"/>
    <w:rsid w:val="00C8748B"/>
    <w:rsid w:val="00C87A6A"/>
    <w:rsid w:val="00C90295"/>
    <w:rsid w:val="00C9043E"/>
    <w:rsid w:val="00C90958"/>
    <w:rsid w:val="00C911D0"/>
    <w:rsid w:val="00C9135B"/>
    <w:rsid w:val="00C93570"/>
    <w:rsid w:val="00C94F64"/>
    <w:rsid w:val="00C9554B"/>
    <w:rsid w:val="00C95B25"/>
    <w:rsid w:val="00C97C99"/>
    <w:rsid w:val="00CA1A4D"/>
    <w:rsid w:val="00CA1CB0"/>
    <w:rsid w:val="00CA2D8C"/>
    <w:rsid w:val="00CA3971"/>
    <w:rsid w:val="00CA43A1"/>
    <w:rsid w:val="00CA4EC6"/>
    <w:rsid w:val="00CA5A4F"/>
    <w:rsid w:val="00CA5DA4"/>
    <w:rsid w:val="00CA6384"/>
    <w:rsid w:val="00CA6DC8"/>
    <w:rsid w:val="00CA7153"/>
    <w:rsid w:val="00CA73DD"/>
    <w:rsid w:val="00CB04D2"/>
    <w:rsid w:val="00CB1786"/>
    <w:rsid w:val="00CB1BBF"/>
    <w:rsid w:val="00CB3A6C"/>
    <w:rsid w:val="00CB4004"/>
    <w:rsid w:val="00CB539C"/>
    <w:rsid w:val="00CB583E"/>
    <w:rsid w:val="00CC01F6"/>
    <w:rsid w:val="00CC0759"/>
    <w:rsid w:val="00CC1038"/>
    <w:rsid w:val="00CC4633"/>
    <w:rsid w:val="00CC5E86"/>
    <w:rsid w:val="00CC62AA"/>
    <w:rsid w:val="00CC6FD4"/>
    <w:rsid w:val="00CC719F"/>
    <w:rsid w:val="00CD01E6"/>
    <w:rsid w:val="00CD2403"/>
    <w:rsid w:val="00CD2FC1"/>
    <w:rsid w:val="00CD3581"/>
    <w:rsid w:val="00CD4FD5"/>
    <w:rsid w:val="00CD53CF"/>
    <w:rsid w:val="00CD6822"/>
    <w:rsid w:val="00CE10AA"/>
    <w:rsid w:val="00CE12DB"/>
    <w:rsid w:val="00CE26E2"/>
    <w:rsid w:val="00CE3990"/>
    <w:rsid w:val="00CE4959"/>
    <w:rsid w:val="00CE5798"/>
    <w:rsid w:val="00CE6BBD"/>
    <w:rsid w:val="00CF06C5"/>
    <w:rsid w:val="00CF2803"/>
    <w:rsid w:val="00CF4562"/>
    <w:rsid w:val="00CF47ED"/>
    <w:rsid w:val="00CF4F39"/>
    <w:rsid w:val="00D02B80"/>
    <w:rsid w:val="00D06334"/>
    <w:rsid w:val="00D06EFA"/>
    <w:rsid w:val="00D076ED"/>
    <w:rsid w:val="00D1027F"/>
    <w:rsid w:val="00D109DF"/>
    <w:rsid w:val="00D10F1B"/>
    <w:rsid w:val="00D110A0"/>
    <w:rsid w:val="00D111E8"/>
    <w:rsid w:val="00D111F2"/>
    <w:rsid w:val="00D116D5"/>
    <w:rsid w:val="00D126AB"/>
    <w:rsid w:val="00D12E4B"/>
    <w:rsid w:val="00D14423"/>
    <w:rsid w:val="00D21642"/>
    <w:rsid w:val="00D21F01"/>
    <w:rsid w:val="00D23637"/>
    <w:rsid w:val="00D24128"/>
    <w:rsid w:val="00D275F1"/>
    <w:rsid w:val="00D30310"/>
    <w:rsid w:val="00D32016"/>
    <w:rsid w:val="00D329CC"/>
    <w:rsid w:val="00D33267"/>
    <w:rsid w:val="00D35C3D"/>
    <w:rsid w:val="00D37A25"/>
    <w:rsid w:val="00D42AD3"/>
    <w:rsid w:val="00D43516"/>
    <w:rsid w:val="00D502B1"/>
    <w:rsid w:val="00D5122D"/>
    <w:rsid w:val="00D52BBD"/>
    <w:rsid w:val="00D52C9D"/>
    <w:rsid w:val="00D52E0F"/>
    <w:rsid w:val="00D5300D"/>
    <w:rsid w:val="00D5420F"/>
    <w:rsid w:val="00D5471A"/>
    <w:rsid w:val="00D55A33"/>
    <w:rsid w:val="00D5776F"/>
    <w:rsid w:val="00D60D6E"/>
    <w:rsid w:val="00D6341F"/>
    <w:rsid w:val="00D63F1C"/>
    <w:rsid w:val="00D64A60"/>
    <w:rsid w:val="00D6573E"/>
    <w:rsid w:val="00D67BE0"/>
    <w:rsid w:val="00D71196"/>
    <w:rsid w:val="00D716CD"/>
    <w:rsid w:val="00D75000"/>
    <w:rsid w:val="00D807A5"/>
    <w:rsid w:val="00D80D18"/>
    <w:rsid w:val="00D82DDE"/>
    <w:rsid w:val="00D87042"/>
    <w:rsid w:val="00D87FFB"/>
    <w:rsid w:val="00D90606"/>
    <w:rsid w:val="00D91522"/>
    <w:rsid w:val="00D94475"/>
    <w:rsid w:val="00D9479F"/>
    <w:rsid w:val="00D94CFB"/>
    <w:rsid w:val="00D962C2"/>
    <w:rsid w:val="00D963C7"/>
    <w:rsid w:val="00D96406"/>
    <w:rsid w:val="00DA0350"/>
    <w:rsid w:val="00DA1660"/>
    <w:rsid w:val="00DA18A2"/>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493E"/>
    <w:rsid w:val="00DB6C54"/>
    <w:rsid w:val="00DC3551"/>
    <w:rsid w:val="00DC3DBA"/>
    <w:rsid w:val="00DC646E"/>
    <w:rsid w:val="00DC7066"/>
    <w:rsid w:val="00DC785A"/>
    <w:rsid w:val="00DD02A7"/>
    <w:rsid w:val="00DD0AF8"/>
    <w:rsid w:val="00DD11AC"/>
    <w:rsid w:val="00DD1E55"/>
    <w:rsid w:val="00DD227E"/>
    <w:rsid w:val="00DD22DA"/>
    <w:rsid w:val="00DD304D"/>
    <w:rsid w:val="00DD5F75"/>
    <w:rsid w:val="00DE16F2"/>
    <w:rsid w:val="00DE24BF"/>
    <w:rsid w:val="00DE2AD7"/>
    <w:rsid w:val="00DE3D57"/>
    <w:rsid w:val="00DE4911"/>
    <w:rsid w:val="00DE5319"/>
    <w:rsid w:val="00DE5812"/>
    <w:rsid w:val="00DE6048"/>
    <w:rsid w:val="00DE7DD9"/>
    <w:rsid w:val="00DF001C"/>
    <w:rsid w:val="00DF4636"/>
    <w:rsid w:val="00DF66A9"/>
    <w:rsid w:val="00DF7D09"/>
    <w:rsid w:val="00E0019F"/>
    <w:rsid w:val="00E00E79"/>
    <w:rsid w:val="00E01D43"/>
    <w:rsid w:val="00E0294A"/>
    <w:rsid w:val="00E0366E"/>
    <w:rsid w:val="00E04BA8"/>
    <w:rsid w:val="00E05277"/>
    <w:rsid w:val="00E1098A"/>
    <w:rsid w:val="00E11A22"/>
    <w:rsid w:val="00E11E1F"/>
    <w:rsid w:val="00E12BB5"/>
    <w:rsid w:val="00E12C1B"/>
    <w:rsid w:val="00E12F5D"/>
    <w:rsid w:val="00E1612D"/>
    <w:rsid w:val="00E16E9D"/>
    <w:rsid w:val="00E16EC0"/>
    <w:rsid w:val="00E23144"/>
    <w:rsid w:val="00E24300"/>
    <w:rsid w:val="00E31028"/>
    <w:rsid w:val="00E32501"/>
    <w:rsid w:val="00E32A0C"/>
    <w:rsid w:val="00E341A2"/>
    <w:rsid w:val="00E40374"/>
    <w:rsid w:val="00E41006"/>
    <w:rsid w:val="00E41E6E"/>
    <w:rsid w:val="00E422F5"/>
    <w:rsid w:val="00E43B56"/>
    <w:rsid w:val="00E443D3"/>
    <w:rsid w:val="00E44795"/>
    <w:rsid w:val="00E448B1"/>
    <w:rsid w:val="00E44EA4"/>
    <w:rsid w:val="00E465D8"/>
    <w:rsid w:val="00E467FA"/>
    <w:rsid w:val="00E50301"/>
    <w:rsid w:val="00E510D0"/>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535"/>
    <w:rsid w:val="00E81ECD"/>
    <w:rsid w:val="00E82F75"/>
    <w:rsid w:val="00E8317E"/>
    <w:rsid w:val="00E843D4"/>
    <w:rsid w:val="00E867FA"/>
    <w:rsid w:val="00E873BE"/>
    <w:rsid w:val="00E9104B"/>
    <w:rsid w:val="00E95451"/>
    <w:rsid w:val="00EA3FB7"/>
    <w:rsid w:val="00EA4065"/>
    <w:rsid w:val="00EA4400"/>
    <w:rsid w:val="00EA46B7"/>
    <w:rsid w:val="00EA4BC9"/>
    <w:rsid w:val="00EA5E72"/>
    <w:rsid w:val="00EA757A"/>
    <w:rsid w:val="00EA7AE4"/>
    <w:rsid w:val="00EB10FF"/>
    <w:rsid w:val="00EB1261"/>
    <w:rsid w:val="00EB195F"/>
    <w:rsid w:val="00EB3551"/>
    <w:rsid w:val="00EB508B"/>
    <w:rsid w:val="00EB5246"/>
    <w:rsid w:val="00EB64C0"/>
    <w:rsid w:val="00EB6E02"/>
    <w:rsid w:val="00EC149A"/>
    <w:rsid w:val="00EC20A8"/>
    <w:rsid w:val="00EC23C6"/>
    <w:rsid w:val="00EC3E23"/>
    <w:rsid w:val="00EC5B61"/>
    <w:rsid w:val="00EC6092"/>
    <w:rsid w:val="00EC6729"/>
    <w:rsid w:val="00EC720F"/>
    <w:rsid w:val="00ED0C61"/>
    <w:rsid w:val="00ED2044"/>
    <w:rsid w:val="00ED38C8"/>
    <w:rsid w:val="00ED431A"/>
    <w:rsid w:val="00ED5153"/>
    <w:rsid w:val="00ED6682"/>
    <w:rsid w:val="00ED76CF"/>
    <w:rsid w:val="00EE10F9"/>
    <w:rsid w:val="00EE1EC6"/>
    <w:rsid w:val="00EE1FC3"/>
    <w:rsid w:val="00EE301A"/>
    <w:rsid w:val="00EE309E"/>
    <w:rsid w:val="00EE3BD0"/>
    <w:rsid w:val="00EE5418"/>
    <w:rsid w:val="00EE7677"/>
    <w:rsid w:val="00EE7866"/>
    <w:rsid w:val="00EF0891"/>
    <w:rsid w:val="00EF2A85"/>
    <w:rsid w:val="00EF30C7"/>
    <w:rsid w:val="00EF4204"/>
    <w:rsid w:val="00EF5977"/>
    <w:rsid w:val="00EF7678"/>
    <w:rsid w:val="00EF77CA"/>
    <w:rsid w:val="00F00AA3"/>
    <w:rsid w:val="00F00D56"/>
    <w:rsid w:val="00F020B9"/>
    <w:rsid w:val="00F020C8"/>
    <w:rsid w:val="00F023BD"/>
    <w:rsid w:val="00F02EFA"/>
    <w:rsid w:val="00F03221"/>
    <w:rsid w:val="00F033B0"/>
    <w:rsid w:val="00F04D6A"/>
    <w:rsid w:val="00F05D92"/>
    <w:rsid w:val="00F06C44"/>
    <w:rsid w:val="00F10AE7"/>
    <w:rsid w:val="00F10CB7"/>
    <w:rsid w:val="00F10E83"/>
    <w:rsid w:val="00F11549"/>
    <w:rsid w:val="00F12180"/>
    <w:rsid w:val="00F12414"/>
    <w:rsid w:val="00F143C1"/>
    <w:rsid w:val="00F14985"/>
    <w:rsid w:val="00F15200"/>
    <w:rsid w:val="00F17365"/>
    <w:rsid w:val="00F175E7"/>
    <w:rsid w:val="00F17AF0"/>
    <w:rsid w:val="00F17E6F"/>
    <w:rsid w:val="00F20297"/>
    <w:rsid w:val="00F2057A"/>
    <w:rsid w:val="00F20AAD"/>
    <w:rsid w:val="00F2133B"/>
    <w:rsid w:val="00F24635"/>
    <w:rsid w:val="00F3085F"/>
    <w:rsid w:val="00F313BD"/>
    <w:rsid w:val="00F31910"/>
    <w:rsid w:val="00F32415"/>
    <w:rsid w:val="00F32CF0"/>
    <w:rsid w:val="00F3405C"/>
    <w:rsid w:val="00F35597"/>
    <w:rsid w:val="00F36762"/>
    <w:rsid w:val="00F37593"/>
    <w:rsid w:val="00F44CB5"/>
    <w:rsid w:val="00F45698"/>
    <w:rsid w:val="00F45F3D"/>
    <w:rsid w:val="00F4606C"/>
    <w:rsid w:val="00F52237"/>
    <w:rsid w:val="00F55D2C"/>
    <w:rsid w:val="00F5646F"/>
    <w:rsid w:val="00F565DF"/>
    <w:rsid w:val="00F56F87"/>
    <w:rsid w:val="00F574F9"/>
    <w:rsid w:val="00F576A9"/>
    <w:rsid w:val="00F6076C"/>
    <w:rsid w:val="00F60AB5"/>
    <w:rsid w:val="00F61A73"/>
    <w:rsid w:val="00F6308D"/>
    <w:rsid w:val="00F64B01"/>
    <w:rsid w:val="00F67032"/>
    <w:rsid w:val="00F67709"/>
    <w:rsid w:val="00F71A41"/>
    <w:rsid w:val="00F71DEA"/>
    <w:rsid w:val="00F72BAA"/>
    <w:rsid w:val="00F73632"/>
    <w:rsid w:val="00F740C7"/>
    <w:rsid w:val="00F76BA5"/>
    <w:rsid w:val="00F813CB"/>
    <w:rsid w:val="00F82804"/>
    <w:rsid w:val="00F82C58"/>
    <w:rsid w:val="00F847C4"/>
    <w:rsid w:val="00F8488C"/>
    <w:rsid w:val="00F84E77"/>
    <w:rsid w:val="00F8640E"/>
    <w:rsid w:val="00F91368"/>
    <w:rsid w:val="00F930CE"/>
    <w:rsid w:val="00F94D44"/>
    <w:rsid w:val="00F96525"/>
    <w:rsid w:val="00F97D88"/>
    <w:rsid w:val="00FA28B7"/>
    <w:rsid w:val="00FA2D87"/>
    <w:rsid w:val="00FA3A4F"/>
    <w:rsid w:val="00FA3FDE"/>
    <w:rsid w:val="00FA443F"/>
    <w:rsid w:val="00FA463D"/>
    <w:rsid w:val="00FA5961"/>
    <w:rsid w:val="00FB0D80"/>
    <w:rsid w:val="00FB24D8"/>
    <w:rsid w:val="00FB4DFA"/>
    <w:rsid w:val="00FB52BE"/>
    <w:rsid w:val="00FB56FE"/>
    <w:rsid w:val="00FB5E0A"/>
    <w:rsid w:val="00FB767C"/>
    <w:rsid w:val="00FC150A"/>
    <w:rsid w:val="00FC22A0"/>
    <w:rsid w:val="00FC25D9"/>
    <w:rsid w:val="00FC5E13"/>
    <w:rsid w:val="00FC5F56"/>
    <w:rsid w:val="00FC6FBF"/>
    <w:rsid w:val="00FC72E1"/>
    <w:rsid w:val="00FC7446"/>
    <w:rsid w:val="00FC76CB"/>
    <w:rsid w:val="00FD029D"/>
    <w:rsid w:val="00FD35EC"/>
    <w:rsid w:val="00FD4233"/>
    <w:rsid w:val="00FD450F"/>
    <w:rsid w:val="00FD7146"/>
    <w:rsid w:val="00FD7316"/>
    <w:rsid w:val="00FD7994"/>
    <w:rsid w:val="00FE0C67"/>
    <w:rsid w:val="00FE1763"/>
    <w:rsid w:val="00FE1A3F"/>
    <w:rsid w:val="00FE2481"/>
    <w:rsid w:val="00FE4403"/>
    <w:rsid w:val="00FE61B1"/>
    <w:rsid w:val="00FE6F86"/>
    <w:rsid w:val="00FE7283"/>
    <w:rsid w:val="00FF0DE8"/>
    <w:rsid w:val="00FF0E08"/>
    <w:rsid w:val="00FF2149"/>
    <w:rsid w:val="00FF5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685720-FC92-48B4-820A-AD5BF90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B56882"/>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B56882"/>
    <w:rPr>
      <w:rFonts w:ascii="Calibri" w:hAnsi="Calibri" w:cs="Calibri"/>
    </w:rPr>
  </w:style>
  <w:style w:type="character" w:styleId="Refdenotaalpie">
    <w:name w:val="footnote reference"/>
    <w:basedOn w:val="Fuentedeprrafopredeter"/>
    <w:uiPriority w:val="99"/>
    <w:semiHidden/>
    <w:unhideWhenUsed/>
    <w:rsid w:val="00B56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09715328">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79387968">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072341450">
      <w:bodyDiv w:val="1"/>
      <w:marLeft w:val="0"/>
      <w:marRight w:val="0"/>
      <w:marTop w:val="0"/>
      <w:marBottom w:val="0"/>
      <w:divBdr>
        <w:top w:val="none" w:sz="0" w:space="0" w:color="auto"/>
        <w:left w:val="none" w:sz="0" w:space="0" w:color="auto"/>
        <w:bottom w:val="none" w:sz="0" w:space="0" w:color="auto"/>
        <w:right w:val="none" w:sz="0" w:space="0" w:color="auto"/>
      </w:divBdr>
    </w:div>
    <w:div w:id="2098403620">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ifrem.edomex.gob.mx/organigrama" TargetMode="External"/><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footnotes.xml.rels><?xml version="1.0" encoding="UTF-8" standalone="yes"?>
<Relationships xmlns="http://schemas.openxmlformats.org/package/2006/relationships"><Relationship Id="rId2" Type="http://schemas.openxmlformats.org/officeDocument/2006/relationships/hyperlink" Target="https://www.fitchratings.com/site/pr/10106627" TargetMode="External"/><Relationship Id="rId1" Type="http://schemas.openxmlformats.org/officeDocument/2006/relationships/hyperlink" Target="https://www.standardandpoors.com/es_LA/delegate/getPDF?articleId=2485922&amp;type=NEWS&amp;subType=RATING_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47E7-40DC-4188-ADD9-E1AA644E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28</Pages>
  <Words>8482</Words>
  <Characters>46653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rodriguez cruz</dc:creator>
  <cp:lastModifiedBy>Sub Finanzas</cp:lastModifiedBy>
  <cp:revision>16</cp:revision>
  <cp:lastPrinted>2020-10-14T22:29:00Z</cp:lastPrinted>
  <dcterms:created xsi:type="dcterms:W3CDTF">2020-10-14T21:38:00Z</dcterms:created>
  <dcterms:modified xsi:type="dcterms:W3CDTF">2020-10-15T19:49:00Z</dcterms:modified>
</cp:coreProperties>
</file>