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C7" w:rsidRPr="007E2E82" w:rsidRDefault="00EF30C7" w:rsidP="00EF30C7">
      <w:pPr>
        <w:numPr>
          <w:ilvl w:val="0"/>
          <w:numId w:val="14"/>
        </w:numPr>
        <w:spacing w:after="101" w:line="276" w:lineRule="auto"/>
        <w:ind w:right="-1"/>
        <w:jc w:val="center"/>
        <w:rPr>
          <w:rFonts w:eastAsia="Times New Roman" w:cs="Arial"/>
          <w:b/>
          <w:lang w:val="es-ES" w:eastAsia="es-ES"/>
        </w:rPr>
      </w:pPr>
      <w:bookmarkStart w:id="0" w:name="_GoBack"/>
      <w:bookmarkEnd w:id="0"/>
      <w:r w:rsidRPr="007E2E82">
        <w:rPr>
          <w:rFonts w:eastAsia="Times New Roman" w:cs="Arial"/>
          <w:b/>
          <w:lang w:val="es-ES" w:eastAsia="es-ES"/>
        </w:rPr>
        <w:t>NOTAS A LOS ESTADOS FINANCIEROS</w:t>
      </w:r>
    </w:p>
    <w:p w:rsidR="00EF30C7" w:rsidRPr="007E2E82" w:rsidRDefault="00EF30C7" w:rsidP="00EF30C7">
      <w:pPr>
        <w:spacing w:line="276" w:lineRule="auto"/>
        <w:ind w:right="-1"/>
        <w:jc w:val="center"/>
        <w:outlineLvl w:val="0"/>
      </w:pPr>
      <w:r w:rsidRPr="007E2E82">
        <w:rPr>
          <w:b/>
        </w:rPr>
        <w:t xml:space="preserve">Entidad: </w:t>
      </w:r>
      <w:r w:rsidRPr="007E2E82">
        <w:rPr>
          <w:u w:val="single"/>
        </w:rPr>
        <w:t>Instituto de la Función Registral del Estado de México</w:t>
      </w:r>
      <w:r w:rsidRPr="007E2E82">
        <w:t xml:space="preserve"> (IFREM).</w:t>
      </w:r>
    </w:p>
    <w:p w:rsidR="00EF30C7" w:rsidRPr="007E2E82" w:rsidRDefault="00EF30C7" w:rsidP="00EF30C7">
      <w:pPr>
        <w:spacing w:line="276" w:lineRule="auto"/>
        <w:ind w:right="-1"/>
        <w:jc w:val="center"/>
        <w:outlineLvl w:val="0"/>
        <w:rPr>
          <w:u w:val="single"/>
        </w:rPr>
      </w:pPr>
      <w:r w:rsidRPr="007E2E82">
        <w:rPr>
          <w:b/>
        </w:rPr>
        <w:t xml:space="preserve">Mes: </w:t>
      </w:r>
      <w:r>
        <w:rPr>
          <w:u w:val="single"/>
        </w:rPr>
        <w:t>Marzo</w:t>
      </w:r>
      <w:r w:rsidRPr="007E2E82">
        <w:t xml:space="preserve"> </w:t>
      </w:r>
      <w:r w:rsidRPr="007E2E82">
        <w:rPr>
          <w:b/>
        </w:rPr>
        <w:t>de</w:t>
      </w:r>
      <w:r w:rsidRPr="007E2E82">
        <w:t xml:space="preserve"> </w:t>
      </w:r>
      <w:r>
        <w:rPr>
          <w:u w:val="single"/>
        </w:rPr>
        <w:t>2020</w:t>
      </w:r>
      <w:r w:rsidRPr="007E2E82">
        <w:rPr>
          <w:u w:val="single"/>
        </w:rPr>
        <w:t>.</w:t>
      </w:r>
    </w:p>
    <w:p w:rsidR="00EF30C7" w:rsidRPr="004D25FE" w:rsidRDefault="00EF30C7" w:rsidP="00EF30C7">
      <w:pPr>
        <w:numPr>
          <w:ilvl w:val="0"/>
          <w:numId w:val="15"/>
        </w:numPr>
        <w:tabs>
          <w:tab w:val="left" w:pos="3836"/>
        </w:tabs>
        <w:spacing w:after="0" w:line="276" w:lineRule="auto"/>
        <w:ind w:left="714" w:right="-1" w:hanging="357"/>
        <w:contextualSpacing/>
        <w:outlineLvl w:val="0"/>
        <w:rPr>
          <w:rFonts w:eastAsia="Times New Roman" w:cs="Arial"/>
          <w:b/>
          <w:lang w:eastAsia="es-MX"/>
        </w:rPr>
      </w:pPr>
      <w:r>
        <w:rPr>
          <w:rFonts w:eastAsia="Times New Roman" w:cs="Arial"/>
          <w:b/>
          <w:lang w:eastAsia="es-MX"/>
        </w:rPr>
        <w:t>NOTAS DE DESGLOSE</w:t>
      </w:r>
    </w:p>
    <w:p w:rsidR="00EF30C7" w:rsidRPr="004D25FE" w:rsidRDefault="00EF30C7" w:rsidP="00EF30C7">
      <w:pPr>
        <w:tabs>
          <w:tab w:val="left" w:pos="3836"/>
        </w:tabs>
        <w:spacing w:after="0" w:line="276" w:lineRule="auto"/>
        <w:ind w:left="714" w:right="-1"/>
        <w:contextualSpacing/>
        <w:outlineLvl w:val="0"/>
        <w:rPr>
          <w:rFonts w:eastAsia="Times New Roman" w:cs="Arial"/>
          <w:b/>
          <w:sz w:val="8"/>
          <w:lang w:eastAsia="es-MX"/>
        </w:rPr>
      </w:pPr>
    </w:p>
    <w:p w:rsidR="00EF30C7" w:rsidRPr="004D25FE" w:rsidRDefault="00EF30C7" w:rsidP="00EF30C7">
      <w:pPr>
        <w:numPr>
          <w:ilvl w:val="0"/>
          <w:numId w:val="16"/>
        </w:numPr>
        <w:spacing w:before="240" w:after="240" w:line="276" w:lineRule="auto"/>
        <w:ind w:right="-1"/>
        <w:contextualSpacing/>
        <w:outlineLvl w:val="0"/>
        <w:rPr>
          <w:rFonts w:eastAsia="Times New Roman" w:cs="Arial"/>
          <w:b/>
          <w:lang w:eastAsia="es-MX"/>
        </w:rPr>
      </w:pPr>
      <w:r w:rsidRPr="004D25FE">
        <w:rPr>
          <w:rFonts w:eastAsia="Times New Roman" w:cs="Arial"/>
          <w:b/>
          <w:lang w:eastAsia="es-MX"/>
        </w:rPr>
        <w:t>NOTAS AL ESTADO DE SITUACIÓN FINANCIERA</w:t>
      </w:r>
    </w:p>
    <w:p w:rsidR="00EF30C7" w:rsidRPr="004D25FE" w:rsidRDefault="00EF30C7" w:rsidP="00EF30C7">
      <w:pPr>
        <w:spacing w:before="240" w:after="240" w:line="276" w:lineRule="auto"/>
        <w:ind w:right="-1"/>
        <w:outlineLvl w:val="0"/>
        <w:rPr>
          <w:rFonts w:cs="Arial"/>
          <w:b/>
        </w:rPr>
      </w:pPr>
      <w:r w:rsidRPr="004D25FE">
        <w:rPr>
          <w:rFonts w:cs="Arial"/>
          <w:b/>
        </w:rPr>
        <w:t>Activo Circulante</w:t>
      </w:r>
    </w:p>
    <w:p w:rsidR="00EF30C7" w:rsidRPr="004D25FE" w:rsidRDefault="00EF30C7" w:rsidP="00EF30C7">
      <w:pPr>
        <w:tabs>
          <w:tab w:val="left" w:pos="3836"/>
        </w:tabs>
        <w:spacing w:line="276" w:lineRule="auto"/>
        <w:ind w:right="-1"/>
        <w:jc w:val="both"/>
        <w:rPr>
          <w:rFonts w:cs="Arial"/>
        </w:rPr>
      </w:pPr>
      <w:r w:rsidRPr="004D25FE">
        <w:rPr>
          <w:rFonts w:cs="Arial"/>
          <w:b/>
        </w:rPr>
        <w:t xml:space="preserve">Efectivo y Equivalentes. - </w:t>
      </w:r>
      <w:r w:rsidRPr="004D25FE">
        <w:rPr>
          <w:rFonts w:cs="Arial"/>
        </w:rPr>
        <w:t xml:space="preserve">El saldo de </w:t>
      </w:r>
      <w:r w:rsidRPr="00CC62AA">
        <w:rPr>
          <w:rFonts w:cs="Arial"/>
        </w:rPr>
        <w:t>221,380,455.53</w:t>
      </w:r>
      <w:r w:rsidRPr="004D25FE">
        <w:rPr>
          <w:rFonts w:cs="Arial"/>
        </w:rPr>
        <w:t>, se integra con las siguientes cuentas:</w:t>
      </w:r>
    </w:p>
    <w:p w:rsidR="00EF30C7" w:rsidRPr="004D25FE" w:rsidRDefault="00EF30C7" w:rsidP="00EF30C7">
      <w:pPr>
        <w:numPr>
          <w:ilvl w:val="0"/>
          <w:numId w:val="1"/>
        </w:numPr>
        <w:spacing w:line="276" w:lineRule="auto"/>
        <w:ind w:right="-1"/>
        <w:jc w:val="both"/>
        <w:rPr>
          <w:rFonts w:cs="Arial"/>
        </w:rPr>
      </w:pPr>
      <w:r w:rsidRPr="004D25FE">
        <w:rPr>
          <w:rFonts w:cs="Arial"/>
          <w:b/>
        </w:rPr>
        <w:t xml:space="preserve">Efectivo. - </w:t>
      </w:r>
      <w:r w:rsidRPr="004D25FE">
        <w:rPr>
          <w:rFonts w:cs="Arial"/>
        </w:rPr>
        <w:t xml:space="preserve">El saldo de </w:t>
      </w:r>
      <w:r w:rsidRPr="004D25FE">
        <w:rPr>
          <w:rFonts w:cs="Arial"/>
          <w:color w:val="000000" w:themeColor="text1"/>
        </w:rPr>
        <w:t xml:space="preserve">33,000.00, </w:t>
      </w:r>
      <w:r w:rsidRPr="004D25FE">
        <w:rPr>
          <w:rFonts w:cs="Arial"/>
        </w:rPr>
        <w:t>es el importe de efectivo disponible para solventar gastos menores y cubrir necesidades urgentes de gasto corriente que se requieran en las oficinas administrativas de la Dirección General.</w:t>
      </w:r>
      <w:r w:rsidRPr="004D25FE">
        <w:t xml:space="preserve"> </w:t>
      </w:r>
    </w:p>
    <w:p w:rsidR="00EF30C7" w:rsidRPr="00915A6F" w:rsidRDefault="00EF30C7" w:rsidP="00EF30C7">
      <w:pPr>
        <w:numPr>
          <w:ilvl w:val="0"/>
          <w:numId w:val="1"/>
        </w:numPr>
        <w:spacing w:after="0" w:line="276" w:lineRule="auto"/>
        <w:ind w:right="-1"/>
        <w:jc w:val="both"/>
        <w:rPr>
          <w:rFonts w:cs="Arial"/>
          <w:b/>
        </w:rPr>
      </w:pPr>
      <w:r w:rsidRPr="004D25FE">
        <w:rPr>
          <w:rFonts w:cs="Arial"/>
          <w:b/>
        </w:rPr>
        <w:t xml:space="preserve">Bancos/Tesorería. - </w:t>
      </w:r>
      <w:r w:rsidRPr="004D25FE">
        <w:rPr>
          <w:rFonts w:cs="Arial"/>
        </w:rPr>
        <w:t xml:space="preserve">El saldo </w:t>
      </w:r>
      <w:r w:rsidRPr="004D25FE">
        <w:rPr>
          <w:rFonts w:cs="Arial"/>
          <w:color w:val="000000" w:themeColor="text1"/>
        </w:rPr>
        <w:t xml:space="preserve">de </w:t>
      </w:r>
      <w:r w:rsidRPr="00CC62AA">
        <w:rPr>
          <w:rFonts w:cs="Arial"/>
          <w:color w:val="000000" w:themeColor="text1"/>
        </w:rPr>
        <w:t>7,600,589.02</w:t>
      </w:r>
      <w:r w:rsidRPr="004D25FE">
        <w:rPr>
          <w:rFonts w:cs="Arial"/>
        </w:rPr>
        <w:t>, refleja la disponibilidad financiera para cubrir los gastos por las necesidades de la</w:t>
      </w:r>
      <w:r w:rsidRPr="007E2E82">
        <w:rPr>
          <w:rFonts w:cs="Arial"/>
        </w:rPr>
        <w:t xml:space="preserve"> operación y de inversión, con la finalidad de cumplir con los compromisos de pago en tiempo y forma. La relación de cuentas productivas especificas es la siguiente:</w:t>
      </w:r>
    </w:p>
    <w:p w:rsidR="00EF30C7" w:rsidRPr="00C14406" w:rsidRDefault="00EF30C7" w:rsidP="00EF30C7">
      <w:pPr>
        <w:spacing w:after="0" w:line="276" w:lineRule="auto"/>
        <w:ind w:left="502" w:right="-1"/>
        <w:jc w:val="both"/>
        <w:rPr>
          <w:rFonts w:cs="Arial"/>
          <w:b/>
        </w:rPr>
      </w:pPr>
    </w:p>
    <w:p w:rsidR="00EF30C7" w:rsidRPr="00C14406" w:rsidRDefault="00EF30C7" w:rsidP="00EF30C7">
      <w:pPr>
        <w:spacing w:after="0" w:line="276" w:lineRule="auto"/>
        <w:ind w:left="360" w:right="-1"/>
        <w:jc w:val="center"/>
        <w:rPr>
          <w:rFonts w:cs="Arial"/>
          <w:b/>
        </w:rPr>
      </w:pPr>
      <w:r w:rsidRPr="00CC62AA">
        <w:rPr>
          <w:noProof/>
          <w:lang w:eastAsia="es-MX"/>
        </w:rPr>
        <w:drawing>
          <wp:inline distT="0" distB="0" distL="0" distR="0" wp14:anchorId="6C340AC8" wp14:editId="238E849B">
            <wp:extent cx="5029200" cy="37623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762375"/>
                    </a:xfrm>
                    <a:prstGeom prst="rect">
                      <a:avLst/>
                    </a:prstGeom>
                    <a:noFill/>
                    <a:ln>
                      <a:noFill/>
                    </a:ln>
                  </pic:spPr>
                </pic:pic>
              </a:graphicData>
            </a:graphic>
          </wp:inline>
        </w:drawing>
      </w:r>
    </w:p>
    <w:p w:rsidR="00EF30C7" w:rsidRDefault="00EF30C7" w:rsidP="00EF30C7">
      <w:pPr>
        <w:spacing w:after="0" w:line="276" w:lineRule="auto"/>
        <w:ind w:left="360" w:right="-1"/>
        <w:jc w:val="center"/>
        <w:rPr>
          <w:rFonts w:cs="Arial"/>
          <w:b/>
        </w:rPr>
      </w:pPr>
    </w:p>
    <w:p w:rsidR="00EF30C7" w:rsidRDefault="00EF30C7" w:rsidP="00EF30C7">
      <w:pPr>
        <w:numPr>
          <w:ilvl w:val="0"/>
          <w:numId w:val="1"/>
        </w:numPr>
        <w:spacing w:after="0" w:line="276" w:lineRule="auto"/>
        <w:contextualSpacing/>
        <w:jc w:val="both"/>
        <w:rPr>
          <w:rFonts w:eastAsia="Times New Roman" w:cs="Arial"/>
          <w:szCs w:val="24"/>
          <w:lang w:eastAsia="es-MX"/>
        </w:rPr>
      </w:pPr>
      <w:r w:rsidRPr="004D25FE">
        <w:rPr>
          <w:rFonts w:eastAsia="Times New Roman" w:cs="Arial"/>
          <w:b/>
          <w:szCs w:val="24"/>
          <w:lang w:eastAsia="es-MX"/>
        </w:rPr>
        <w:lastRenderedPageBreak/>
        <w:t>Inversiones Temporales (Hasta 3 meses). -</w:t>
      </w:r>
      <w:r w:rsidRPr="004D25FE">
        <w:rPr>
          <w:rFonts w:eastAsia="Times New Roman" w:cs="Arial"/>
          <w:szCs w:val="24"/>
          <w:lang w:eastAsia="es-MX"/>
        </w:rPr>
        <w:t>El</w:t>
      </w:r>
      <w:r w:rsidRPr="007E2E82">
        <w:rPr>
          <w:rFonts w:eastAsia="Times New Roman" w:cs="Arial"/>
          <w:szCs w:val="24"/>
          <w:lang w:eastAsia="es-MX"/>
        </w:rPr>
        <w:t xml:space="preserve"> saldo </w:t>
      </w:r>
      <w:r w:rsidRPr="00AB4D91">
        <w:rPr>
          <w:rFonts w:eastAsia="Times New Roman" w:cs="Arial"/>
          <w:color w:val="000000" w:themeColor="text1"/>
          <w:szCs w:val="24"/>
          <w:lang w:eastAsia="es-MX"/>
        </w:rPr>
        <w:t xml:space="preserve">de </w:t>
      </w:r>
      <w:r w:rsidRPr="00CC62AA">
        <w:rPr>
          <w:rFonts w:eastAsia="Times New Roman" w:cs="Arial"/>
          <w:color w:val="000000" w:themeColor="text1"/>
          <w:szCs w:val="24"/>
          <w:lang w:eastAsia="es-MX"/>
        </w:rPr>
        <w:t>213,746,866.51</w:t>
      </w:r>
      <w:r>
        <w:rPr>
          <w:rFonts w:eastAsia="Times New Roman" w:cs="Arial"/>
          <w:color w:val="000000" w:themeColor="text1"/>
          <w:szCs w:val="24"/>
          <w:lang w:eastAsia="es-MX"/>
        </w:rPr>
        <w:t xml:space="preserve"> </w:t>
      </w:r>
      <w:r w:rsidRPr="007E2E82">
        <w:rPr>
          <w:rFonts w:eastAsia="Times New Roman" w:cs="Arial"/>
          <w:szCs w:val="24"/>
          <w:lang w:eastAsia="es-MX"/>
        </w:rPr>
        <w:t xml:space="preserve">refleja los depósitos bancarios a la vista para tener disponibilidades financieras en instrumentos de renta fija y poder cubrir con oportunidad los gastos de operación y de inversión del Instituto. Los intereses se registran en Otros Ingresos Financieros. </w:t>
      </w:r>
    </w:p>
    <w:p w:rsidR="00EF30C7" w:rsidRDefault="00EF30C7" w:rsidP="00EF30C7">
      <w:pPr>
        <w:tabs>
          <w:tab w:val="left" w:pos="639"/>
          <w:tab w:val="left" w:pos="3836"/>
        </w:tabs>
        <w:spacing w:before="240" w:line="276" w:lineRule="auto"/>
        <w:ind w:right="-1"/>
        <w:jc w:val="center"/>
        <w:rPr>
          <w:rFonts w:cs="Arial"/>
          <w:b/>
        </w:rPr>
      </w:pPr>
      <w:r>
        <w:rPr>
          <w:rFonts w:cs="Arial"/>
          <w:b/>
        </w:rPr>
        <w:t xml:space="preserve">   </w:t>
      </w:r>
      <w:r w:rsidRPr="00513D85">
        <w:rPr>
          <w:noProof/>
          <w:lang w:eastAsia="es-MX"/>
        </w:rPr>
        <w:drawing>
          <wp:inline distT="0" distB="0" distL="0" distR="0" wp14:anchorId="2D820228" wp14:editId="6F9975D2">
            <wp:extent cx="5029200" cy="3905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90525"/>
                    </a:xfrm>
                    <a:prstGeom prst="rect">
                      <a:avLst/>
                    </a:prstGeom>
                    <a:noFill/>
                    <a:ln>
                      <a:noFill/>
                    </a:ln>
                  </pic:spPr>
                </pic:pic>
              </a:graphicData>
            </a:graphic>
          </wp:inline>
        </w:drawing>
      </w:r>
    </w:p>
    <w:p w:rsidR="00EF30C7" w:rsidRDefault="00EF30C7" w:rsidP="00EF30C7">
      <w:pPr>
        <w:tabs>
          <w:tab w:val="left" w:pos="639"/>
          <w:tab w:val="left" w:pos="3836"/>
        </w:tabs>
        <w:spacing w:before="240" w:line="276" w:lineRule="auto"/>
        <w:ind w:right="-1"/>
        <w:jc w:val="both"/>
        <w:rPr>
          <w:rFonts w:cs="Arial"/>
        </w:rPr>
      </w:pPr>
      <w:r w:rsidRPr="004D25FE">
        <w:rPr>
          <w:rFonts w:cs="Arial"/>
          <w:b/>
        </w:rPr>
        <w:t>Derecho a Recibir Efectivo o Equivalentes.</w:t>
      </w:r>
      <w:r w:rsidRPr="00015FA6">
        <w:rPr>
          <w:rFonts w:cs="Arial"/>
          <w:b/>
        </w:rPr>
        <w:t xml:space="preserve"> - </w:t>
      </w:r>
      <w:r w:rsidRPr="00015FA6">
        <w:rPr>
          <w:rFonts w:cs="Arial"/>
        </w:rPr>
        <w:t xml:space="preserve">El saldo </w:t>
      </w:r>
      <w:r w:rsidRPr="00015FA6">
        <w:rPr>
          <w:rFonts w:cs="Arial"/>
          <w:color w:val="000000" w:themeColor="text1"/>
        </w:rPr>
        <w:t xml:space="preserve">de </w:t>
      </w:r>
      <w:r w:rsidRPr="00E9104B">
        <w:rPr>
          <w:rFonts w:cs="Arial"/>
          <w:color w:val="000000" w:themeColor="text1"/>
          <w:shd w:val="clear" w:color="auto" w:fill="FFFFFF" w:themeFill="background1"/>
        </w:rPr>
        <w:t>231,844.00</w:t>
      </w:r>
      <w:r w:rsidRPr="00015FA6">
        <w:rPr>
          <w:rFonts w:cs="Arial"/>
          <w:color w:val="000000" w:themeColor="text1"/>
          <w:shd w:val="clear" w:color="auto" w:fill="FFFFFF" w:themeFill="background1"/>
        </w:rPr>
        <w:t>,</w:t>
      </w:r>
      <w:r w:rsidRPr="00015FA6">
        <w:rPr>
          <w:rFonts w:cs="Arial"/>
          <w:color w:val="000000" w:themeColor="text1"/>
        </w:rPr>
        <w:t xml:space="preserve"> </w:t>
      </w:r>
      <w:r w:rsidRPr="00015FA6">
        <w:rPr>
          <w:rFonts w:cs="Arial"/>
        </w:rPr>
        <w:t>se integra de las siguientes cuentas:</w:t>
      </w:r>
    </w:p>
    <w:p w:rsidR="00EF30C7" w:rsidRDefault="00EF30C7" w:rsidP="00EF30C7">
      <w:pPr>
        <w:tabs>
          <w:tab w:val="left" w:pos="639"/>
          <w:tab w:val="left" w:pos="3836"/>
        </w:tabs>
        <w:spacing w:before="240" w:line="276" w:lineRule="auto"/>
        <w:ind w:right="-1"/>
        <w:jc w:val="center"/>
        <w:rPr>
          <w:rFonts w:cs="Arial"/>
        </w:rPr>
      </w:pPr>
      <w:r w:rsidRPr="00E9104B">
        <w:rPr>
          <w:noProof/>
          <w:lang w:eastAsia="es-MX"/>
        </w:rPr>
        <w:drawing>
          <wp:inline distT="0" distB="0" distL="0" distR="0" wp14:anchorId="6D49E974" wp14:editId="478E0432">
            <wp:extent cx="6389370" cy="127787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1277874"/>
                    </a:xfrm>
                    <a:prstGeom prst="rect">
                      <a:avLst/>
                    </a:prstGeom>
                    <a:noFill/>
                    <a:ln>
                      <a:noFill/>
                    </a:ln>
                  </pic:spPr>
                </pic:pic>
              </a:graphicData>
            </a:graphic>
          </wp:inline>
        </w:drawing>
      </w:r>
    </w:p>
    <w:p w:rsidR="00EF30C7" w:rsidRPr="004D25FE" w:rsidRDefault="00EF30C7" w:rsidP="00EF30C7">
      <w:pPr>
        <w:numPr>
          <w:ilvl w:val="0"/>
          <w:numId w:val="1"/>
        </w:numPr>
        <w:tabs>
          <w:tab w:val="left" w:pos="639"/>
          <w:tab w:val="left" w:pos="3836"/>
        </w:tabs>
        <w:spacing w:before="240" w:after="0" w:line="276" w:lineRule="auto"/>
        <w:ind w:right="-1"/>
        <w:contextualSpacing/>
        <w:jc w:val="both"/>
        <w:rPr>
          <w:rFonts w:cs="Arial"/>
        </w:rPr>
      </w:pPr>
      <w:r w:rsidRPr="004D25FE">
        <w:rPr>
          <w:rFonts w:cs="Arial"/>
          <w:b/>
        </w:rPr>
        <w:t>Deudores Diversos. -</w:t>
      </w:r>
      <w:r w:rsidRPr="004D25FE">
        <w:rPr>
          <w:rFonts w:cs="Arial"/>
        </w:rPr>
        <w:t xml:space="preserve"> El </w:t>
      </w:r>
      <w:r w:rsidRPr="004D25FE">
        <w:rPr>
          <w:rFonts w:cs="Arial"/>
          <w:color w:val="000000" w:themeColor="text1"/>
        </w:rPr>
        <w:t xml:space="preserve">saldo de </w:t>
      </w:r>
      <w:r w:rsidRPr="00E9104B">
        <w:rPr>
          <w:rFonts w:cs="Arial"/>
          <w:color w:val="000000" w:themeColor="text1"/>
        </w:rPr>
        <w:t>231,844.00</w:t>
      </w:r>
      <w:r>
        <w:rPr>
          <w:rFonts w:cs="Arial"/>
          <w:color w:val="000000" w:themeColor="text1"/>
        </w:rPr>
        <w:t xml:space="preserve"> </w:t>
      </w:r>
      <w:r w:rsidRPr="004D25FE">
        <w:rPr>
          <w:rFonts w:cs="Arial"/>
          <w:color w:val="000000" w:themeColor="text1"/>
        </w:rPr>
        <w:t xml:space="preserve">se integra </w:t>
      </w:r>
      <w:r>
        <w:rPr>
          <w:rFonts w:cs="Arial"/>
          <w:color w:val="000000" w:themeColor="text1"/>
        </w:rPr>
        <w:t>del importe de gastos a comprobar de los servidores públicos en cumplimiento de sus funciones</w:t>
      </w:r>
      <w:r w:rsidRPr="004D25FE">
        <w:rPr>
          <w:rFonts w:cs="Arial"/>
        </w:rPr>
        <w:t>.</w:t>
      </w:r>
    </w:p>
    <w:p w:rsidR="00EF30C7" w:rsidRPr="004D25FE" w:rsidRDefault="00EF30C7" w:rsidP="00EF30C7">
      <w:pPr>
        <w:spacing w:after="0" w:line="276" w:lineRule="auto"/>
        <w:ind w:right="-1"/>
        <w:jc w:val="both"/>
        <w:rPr>
          <w:rFonts w:cs="Arial"/>
          <w:b/>
        </w:rPr>
      </w:pPr>
    </w:p>
    <w:p w:rsidR="00EF30C7" w:rsidRPr="004D25FE" w:rsidRDefault="00EF30C7" w:rsidP="00EF30C7">
      <w:pPr>
        <w:spacing w:after="0" w:line="276" w:lineRule="auto"/>
        <w:ind w:right="-1"/>
        <w:jc w:val="both"/>
        <w:rPr>
          <w:rFonts w:cs="Arial"/>
          <w:b/>
        </w:rPr>
      </w:pPr>
      <w:r w:rsidRPr="004D25FE">
        <w:rPr>
          <w:rFonts w:cs="Arial"/>
          <w:b/>
        </w:rPr>
        <w:t>Activo No Circulante</w:t>
      </w:r>
    </w:p>
    <w:p w:rsidR="00EF30C7" w:rsidRPr="004D25FE" w:rsidRDefault="00EF30C7" w:rsidP="00EF30C7">
      <w:pPr>
        <w:spacing w:after="0" w:line="276" w:lineRule="auto"/>
        <w:ind w:right="-1"/>
        <w:jc w:val="both"/>
        <w:rPr>
          <w:rFonts w:cs="Arial"/>
          <w:b/>
          <w:sz w:val="12"/>
        </w:rPr>
      </w:pPr>
    </w:p>
    <w:p w:rsidR="00EF30C7" w:rsidRPr="004D25FE" w:rsidRDefault="00EF30C7" w:rsidP="00EF30C7">
      <w:pPr>
        <w:tabs>
          <w:tab w:val="left" w:pos="3836"/>
        </w:tabs>
        <w:spacing w:line="276" w:lineRule="auto"/>
        <w:ind w:right="-1"/>
        <w:jc w:val="both"/>
        <w:rPr>
          <w:rFonts w:cs="Arial"/>
          <w:b/>
        </w:rPr>
      </w:pPr>
      <w:r w:rsidRPr="004D25FE">
        <w:rPr>
          <w:rFonts w:cs="Arial"/>
          <w:b/>
        </w:rPr>
        <w:t xml:space="preserve">Inversiones Financieras a Largo Plazo. - </w:t>
      </w:r>
      <w:r w:rsidRPr="004D25FE">
        <w:rPr>
          <w:rFonts w:cs="Arial"/>
        </w:rPr>
        <w:t>El saldo se integra con la siguiente cuenta</w:t>
      </w:r>
      <w:r w:rsidRPr="004D25FE">
        <w:rPr>
          <w:rFonts w:cs="Arial"/>
          <w:b/>
        </w:rPr>
        <w:t>:</w:t>
      </w:r>
      <w:r w:rsidRPr="004D25FE">
        <w:t xml:space="preserve"> </w:t>
      </w:r>
    </w:p>
    <w:p w:rsidR="00EF30C7" w:rsidRPr="00965C8C" w:rsidRDefault="00EF30C7" w:rsidP="00EF30C7">
      <w:pPr>
        <w:pStyle w:val="Prrafodelista"/>
        <w:numPr>
          <w:ilvl w:val="0"/>
          <w:numId w:val="1"/>
        </w:numPr>
        <w:spacing w:line="276" w:lineRule="auto"/>
        <w:ind w:right="-1"/>
        <w:jc w:val="both"/>
        <w:rPr>
          <w:rFonts w:cs="Arial"/>
          <w:b/>
          <w:color w:val="000000" w:themeColor="text1"/>
          <w:sz w:val="4"/>
        </w:rPr>
      </w:pPr>
      <w:r w:rsidRPr="00965C8C">
        <w:rPr>
          <w:rFonts w:ascii="HelveticaNeueLT Std" w:eastAsiaTheme="minorHAnsi" w:hAnsi="HelveticaNeueLT Std" w:cs="Arial"/>
          <w:b/>
          <w:color w:val="000000" w:themeColor="text1"/>
          <w:sz w:val="20"/>
          <w:szCs w:val="20"/>
          <w:lang w:eastAsia="en-US"/>
        </w:rPr>
        <w:t>Fideicomisos, Mandatos y Contratos Análogos. -</w:t>
      </w:r>
      <w:r w:rsidRPr="00965C8C">
        <w:rPr>
          <w:rFonts w:ascii="HelveticaNeueLT Std" w:eastAsiaTheme="minorHAnsi" w:hAnsi="HelveticaNeueLT Std" w:cs="Arial"/>
          <w:color w:val="000000" w:themeColor="text1"/>
          <w:sz w:val="20"/>
          <w:szCs w:val="20"/>
          <w:lang w:eastAsia="en-US"/>
        </w:rPr>
        <w:t xml:space="preserve"> El saldo de esta cuenta al mes que se analiza es por </w:t>
      </w:r>
      <w:r w:rsidRPr="001A42C4">
        <w:rPr>
          <w:rFonts w:ascii="HelveticaNeueLT Std" w:eastAsiaTheme="minorHAnsi" w:hAnsi="HelveticaNeueLT Std" w:cs="Arial"/>
          <w:color w:val="000000" w:themeColor="text1"/>
          <w:sz w:val="20"/>
          <w:szCs w:val="20"/>
          <w:lang w:eastAsia="en-US"/>
        </w:rPr>
        <w:t>4,989,439,853.26</w:t>
      </w:r>
      <w:r w:rsidRPr="00965C8C">
        <w:rPr>
          <w:rFonts w:ascii="HelveticaNeueLT Std" w:eastAsiaTheme="minorHAnsi" w:hAnsi="HelveticaNeueLT Std" w:cs="Arial"/>
          <w:color w:val="000000" w:themeColor="text1"/>
          <w:sz w:val="20"/>
          <w:szCs w:val="20"/>
          <w:lang w:eastAsia="en-US"/>
        </w:rPr>
        <w:t>, que refleja los recursos transferidos</w:t>
      </w:r>
      <w:r>
        <w:rPr>
          <w:rFonts w:ascii="HelveticaNeueLT Std" w:eastAsiaTheme="minorHAnsi" w:hAnsi="HelveticaNeueLT Std" w:cs="Arial"/>
          <w:color w:val="000000" w:themeColor="text1"/>
          <w:sz w:val="20"/>
          <w:szCs w:val="20"/>
          <w:lang w:eastAsia="en-US"/>
        </w:rPr>
        <w:t xml:space="preserve"> </w:t>
      </w:r>
      <w:r w:rsidRPr="00965C8C">
        <w:rPr>
          <w:rFonts w:ascii="HelveticaNeueLT Std" w:eastAsiaTheme="minorHAnsi" w:hAnsi="HelveticaNeueLT Std" w:cs="Arial"/>
          <w:color w:val="000000" w:themeColor="text1"/>
          <w:sz w:val="20"/>
          <w:szCs w:val="20"/>
          <w:lang w:eastAsia="en-US"/>
        </w:rPr>
        <w:t xml:space="preserve">al Fideicomiso de Cobranza, que corresponden al RPP por </w:t>
      </w:r>
      <w:r w:rsidRPr="001A42C4">
        <w:rPr>
          <w:rFonts w:ascii="HelveticaNeueLT Std" w:eastAsiaTheme="minorHAnsi" w:hAnsi="HelveticaNeueLT Std" w:cs="Arial"/>
          <w:color w:val="000000" w:themeColor="text1"/>
          <w:sz w:val="20"/>
          <w:szCs w:val="20"/>
          <w:lang w:eastAsia="en-US"/>
        </w:rPr>
        <w:t>4,879,706,436.14</w:t>
      </w:r>
      <w:r>
        <w:rPr>
          <w:rFonts w:ascii="HelveticaNeueLT Std" w:eastAsiaTheme="minorHAnsi" w:hAnsi="HelveticaNeueLT Std" w:cs="Arial"/>
          <w:color w:val="000000" w:themeColor="text1"/>
          <w:sz w:val="20"/>
          <w:szCs w:val="20"/>
          <w:lang w:eastAsia="en-US"/>
        </w:rPr>
        <w:t>,</w:t>
      </w:r>
      <w:r w:rsidRPr="00965C8C">
        <w:rPr>
          <w:rFonts w:ascii="HelveticaNeueLT Std" w:eastAsiaTheme="minorHAnsi" w:hAnsi="HelveticaNeueLT Std" w:cs="Arial"/>
          <w:color w:val="000000" w:themeColor="text1"/>
          <w:sz w:val="20"/>
          <w:szCs w:val="20"/>
          <w:lang w:eastAsia="en-US"/>
        </w:rPr>
        <w:t xml:space="preserve"> al RPC por </w:t>
      </w:r>
      <w:r w:rsidRPr="001A42C4">
        <w:rPr>
          <w:rFonts w:ascii="HelveticaNeueLT Std" w:eastAsiaTheme="minorHAnsi" w:hAnsi="HelveticaNeueLT Std" w:cs="Arial"/>
          <w:color w:val="000000" w:themeColor="text1"/>
          <w:sz w:val="20"/>
          <w:szCs w:val="20"/>
          <w:lang w:eastAsia="en-US"/>
        </w:rPr>
        <w:t>11,177,980.40</w:t>
      </w:r>
      <w:r>
        <w:rPr>
          <w:rFonts w:ascii="HelveticaNeueLT Std" w:eastAsiaTheme="minorHAnsi" w:hAnsi="HelveticaNeueLT Std" w:cs="Arial"/>
          <w:color w:val="000000" w:themeColor="text1"/>
          <w:sz w:val="20"/>
          <w:szCs w:val="20"/>
          <w:lang w:eastAsia="en-US"/>
        </w:rPr>
        <w:t xml:space="preserve"> y a pago de intereses de los CEBURS por a cantidad de </w:t>
      </w:r>
      <w:r w:rsidRPr="00513D85">
        <w:rPr>
          <w:rFonts w:ascii="HelveticaNeueLT Std" w:eastAsiaTheme="minorHAnsi" w:hAnsi="HelveticaNeueLT Std" w:cs="Arial"/>
          <w:color w:val="000000" w:themeColor="text1"/>
          <w:sz w:val="20"/>
          <w:szCs w:val="20"/>
          <w:lang w:eastAsia="en-US"/>
        </w:rPr>
        <w:t>98,555,436.72</w:t>
      </w:r>
      <w:r>
        <w:rPr>
          <w:rFonts w:ascii="HelveticaNeueLT Std" w:eastAsiaTheme="minorHAnsi" w:hAnsi="HelveticaNeueLT Std" w:cs="Arial"/>
          <w:color w:val="000000" w:themeColor="text1"/>
          <w:sz w:val="20"/>
          <w:szCs w:val="20"/>
          <w:lang w:eastAsia="en-US"/>
        </w:rPr>
        <w:t>.</w:t>
      </w:r>
    </w:p>
    <w:p w:rsidR="00EF30C7" w:rsidRPr="00965C8C" w:rsidRDefault="00EF30C7" w:rsidP="00EF30C7">
      <w:pPr>
        <w:spacing w:line="276" w:lineRule="auto"/>
        <w:ind w:right="-1"/>
        <w:jc w:val="both"/>
        <w:rPr>
          <w:rFonts w:cs="Arial"/>
          <w:b/>
          <w:color w:val="000000" w:themeColor="text1"/>
          <w:sz w:val="4"/>
        </w:rPr>
      </w:pPr>
    </w:p>
    <w:p w:rsidR="00EF30C7" w:rsidRPr="00965C8C" w:rsidRDefault="00EF30C7" w:rsidP="00EF30C7">
      <w:pPr>
        <w:pStyle w:val="Prrafodelista"/>
        <w:spacing w:line="276" w:lineRule="auto"/>
        <w:ind w:left="502" w:right="-1"/>
        <w:jc w:val="both"/>
        <w:rPr>
          <w:rFonts w:cs="Arial"/>
          <w:b/>
          <w:color w:val="000000" w:themeColor="text1"/>
          <w:sz w:val="4"/>
        </w:rPr>
      </w:pPr>
    </w:p>
    <w:p w:rsidR="00EF30C7" w:rsidRPr="004D25FE" w:rsidRDefault="00EF30C7" w:rsidP="00EF30C7">
      <w:pPr>
        <w:spacing w:line="276" w:lineRule="auto"/>
        <w:ind w:right="-1"/>
        <w:jc w:val="both"/>
        <w:rPr>
          <w:rFonts w:cs="Arial"/>
          <w:b/>
        </w:rPr>
      </w:pPr>
      <w:r w:rsidRPr="004D25FE">
        <w:rPr>
          <w:rFonts w:cs="Arial"/>
          <w:b/>
        </w:rPr>
        <w:t>Bienes Inmuebles, Infraestruct</w:t>
      </w:r>
      <w:r w:rsidR="00B044E8">
        <w:rPr>
          <w:rFonts w:cs="Arial"/>
          <w:b/>
        </w:rPr>
        <w:t>ura y Construcciones en Proceso</w:t>
      </w:r>
    </w:p>
    <w:p w:rsidR="00EF30C7" w:rsidRPr="00820A1A" w:rsidRDefault="00EF30C7" w:rsidP="00EF30C7">
      <w:pPr>
        <w:numPr>
          <w:ilvl w:val="0"/>
          <w:numId w:val="1"/>
        </w:numPr>
        <w:spacing w:after="0" w:line="276" w:lineRule="auto"/>
        <w:ind w:right="-1"/>
        <w:jc w:val="both"/>
        <w:rPr>
          <w:rFonts w:cs="Arial"/>
          <w:b/>
          <w:color w:val="000000" w:themeColor="text1"/>
        </w:rPr>
      </w:pPr>
      <w:r w:rsidRPr="004D25FE">
        <w:rPr>
          <w:rFonts w:cs="Arial"/>
          <w:b/>
        </w:rPr>
        <w:t xml:space="preserve">Edificios no Habitacionales. - </w:t>
      </w:r>
      <w:r w:rsidRPr="004D25FE">
        <w:rPr>
          <w:rFonts w:cs="Arial"/>
        </w:rPr>
        <w:t>A la fecha</w:t>
      </w:r>
      <w:r w:rsidRPr="003A2CD8">
        <w:rPr>
          <w:rFonts w:cs="Arial"/>
        </w:rPr>
        <w:t xml:space="preserve"> de estas notas presentaron un valor histórico de </w:t>
      </w:r>
      <w:r w:rsidRPr="00F45698">
        <w:rPr>
          <w:rFonts w:cs="Arial"/>
        </w:rPr>
        <w:t>86,325,735.19</w:t>
      </w:r>
      <w:r>
        <w:rPr>
          <w:rFonts w:cs="Arial"/>
        </w:rPr>
        <w:t>, l</w:t>
      </w:r>
      <w:r w:rsidRPr="003A2CD8">
        <w:rPr>
          <w:rFonts w:cs="Arial"/>
          <w:color w:val="000000" w:themeColor="text1"/>
        </w:rPr>
        <w:t xml:space="preserve">a depreciación acumulada al mes actual fue de </w:t>
      </w:r>
      <w:r w:rsidRPr="00963DB6">
        <w:rPr>
          <w:rFonts w:cs="Arial"/>
          <w:color w:val="000000" w:themeColor="text1"/>
        </w:rPr>
        <w:t>7,578,501.09</w:t>
      </w:r>
      <w:r w:rsidRPr="003A2CD8">
        <w:rPr>
          <w:rFonts w:cs="Arial"/>
          <w:color w:val="000000" w:themeColor="text1"/>
        </w:rPr>
        <w:t xml:space="preserve">, se afecta contra el resultado del ejercicio por lo que se determinó un valor neto en libros de </w:t>
      </w:r>
      <w:r w:rsidRPr="00963DB6">
        <w:rPr>
          <w:rFonts w:cs="Arial"/>
          <w:color w:val="000000" w:themeColor="text1"/>
        </w:rPr>
        <w:t>78,747,234.10</w:t>
      </w:r>
      <w:r>
        <w:rPr>
          <w:rFonts w:cs="Arial"/>
          <w:color w:val="000000" w:themeColor="text1"/>
        </w:rPr>
        <w:t>.</w:t>
      </w:r>
    </w:p>
    <w:p w:rsidR="00EF30C7" w:rsidRPr="00820A1A" w:rsidRDefault="00EF30C7" w:rsidP="00EF30C7">
      <w:pPr>
        <w:spacing w:after="0" w:line="276" w:lineRule="auto"/>
        <w:ind w:left="502" w:right="-1"/>
        <w:jc w:val="both"/>
        <w:rPr>
          <w:rFonts w:cs="Arial"/>
          <w:b/>
          <w:color w:val="000000" w:themeColor="text1"/>
        </w:rPr>
      </w:pPr>
    </w:p>
    <w:p w:rsidR="00EF30C7" w:rsidRDefault="00EF30C7" w:rsidP="00EF30C7">
      <w:pPr>
        <w:spacing w:line="259" w:lineRule="auto"/>
        <w:rPr>
          <w:rFonts w:cs="Arial"/>
        </w:rPr>
      </w:pPr>
      <w:r>
        <w:rPr>
          <w:rFonts w:cs="Arial"/>
          <w:color w:val="000000" w:themeColor="text1"/>
        </w:rPr>
        <w:br w:type="page"/>
      </w:r>
      <w:r>
        <w:rPr>
          <w:rFonts w:cs="Arial"/>
          <w:b/>
        </w:rPr>
        <w:lastRenderedPageBreak/>
        <w:t xml:space="preserve">Bienes Muebles.- </w:t>
      </w:r>
      <w:r w:rsidRPr="00621960">
        <w:rPr>
          <w:rFonts w:cs="Arial"/>
        </w:rPr>
        <w:t>De acuerdo con el Análisis de Movimientos del Activo No Circulante y su Depreciación:</w:t>
      </w:r>
    </w:p>
    <w:p w:rsidR="00EF30C7" w:rsidRDefault="00EF30C7" w:rsidP="00EF30C7">
      <w:pPr>
        <w:spacing w:after="0" w:line="276" w:lineRule="auto"/>
        <w:ind w:right="-1"/>
        <w:jc w:val="both"/>
        <w:rPr>
          <w:rFonts w:cs="Arial"/>
        </w:rPr>
      </w:pPr>
      <w:r w:rsidRPr="00E873BE">
        <w:rPr>
          <w:noProof/>
          <w:lang w:eastAsia="es-MX"/>
        </w:rPr>
        <w:drawing>
          <wp:inline distT="0" distB="0" distL="0" distR="0" wp14:anchorId="2E43D226" wp14:editId="7AE1C96D">
            <wp:extent cx="6389370" cy="194811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9370" cy="1948110"/>
                    </a:xfrm>
                    <a:prstGeom prst="rect">
                      <a:avLst/>
                    </a:prstGeom>
                    <a:noFill/>
                    <a:ln>
                      <a:noFill/>
                    </a:ln>
                  </pic:spPr>
                </pic:pic>
              </a:graphicData>
            </a:graphic>
          </wp:inline>
        </w:drawing>
      </w:r>
    </w:p>
    <w:p w:rsidR="00EF30C7" w:rsidRPr="008A1BE4" w:rsidRDefault="00EF30C7" w:rsidP="00EF30C7">
      <w:pPr>
        <w:spacing w:after="0" w:line="276" w:lineRule="auto"/>
        <w:ind w:right="-1"/>
        <w:jc w:val="both"/>
        <w:rPr>
          <w:sz w:val="14"/>
          <w:highlight w:val="yellow"/>
        </w:rPr>
      </w:pPr>
    </w:p>
    <w:p w:rsidR="00EF30C7" w:rsidRDefault="00EF30C7" w:rsidP="00EF30C7">
      <w:pPr>
        <w:spacing w:after="0" w:line="276" w:lineRule="auto"/>
        <w:ind w:right="-1"/>
        <w:jc w:val="both"/>
        <w:rPr>
          <w:rFonts w:cs="Arial"/>
        </w:rPr>
      </w:pPr>
      <w:r w:rsidRPr="00C9554B">
        <w:rPr>
          <w:rFonts w:cs="Arial"/>
          <w:b/>
        </w:rPr>
        <w:t xml:space="preserve">Nota: </w:t>
      </w:r>
      <w:r w:rsidRPr="00C9554B">
        <w:rPr>
          <w:rFonts w:cs="Arial"/>
        </w:rPr>
        <w:t>Las bajas de los bienes de equipo de cómputo y muebles de oficina son por donación</w:t>
      </w:r>
      <w:r>
        <w:rPr>
          <w:rFonts w:cs="Arial"/>
        </w:rPr>
        <w:t xml:space="preserve"> </w:t>
      </w:r>
      <w:r w:rsidRPr="00C9554B">
        <w:rPr>
          <w:rFonts w:cs="Arial"/>
        </w:rPr>
        <w:t>y bienes</w:t>
      </w:r>
      <w:r>
        <w:rPr>
          <w:rFonts w:cs="Arial"/>
        </w:rPr>
        <w:t xml:space="preserve"> obsoletos o en mal estado.</w:t>
      </w:r>
    </w:p>
    <w:p w:rsidR="00EF30C7" w:rsidRDefault="00EF30C7" w:rsidP="00EF30C7">
      <w:pPr>
        <w:spacing w:after="0" w:line="276" w:lineRule="auto"/>
        <w:ind w:right="-1"/>
        <w:rPr>
          <w:rFonts w:cs="Arial"/>
          <w:b/>
        </w:rPr>
      </w:pPr>
    </w:p>
    <w:p w:rsidR="00EF30C7" w:rsidRPr="007E2E82" w:rsidRDefault="00EF30C7" w:rsidP="00EF30C7">
      <w:pPr>
        <w:spacing w:after="0" w:line="276" w:lineRule="auto"/>
        <w:ind w:right="-1"/>
        <w:rPr>
          <w:rFonts w:cs="Arial"/>
          <w:b/>
        </w:rPr>
      </w:pPr>
      <w:r>
        <w:rPr>
          <w:rFonts w:cs="Arial"/>
          <w:b/>
        </w:rPr>
        <w:t>Activos Diferidos.-</w:t>
      </w:r>
      <w:r w:rsidRPr="00DA51E4">
        <w:rPr>
          <w:rFonts w:cs="Arial"/>
        </w:rPr>
        <w:t xml:space="preserve"> </w:t>
      </w:r>
      <w:r w:rsidRPr="00F6308D">
        <w:rPr>
          <w:rFonts w:cs="Arial"/>
        </w:rPr>
        <w:t xml:space="preserve">El saldo de </w:t>
      </w:r>
      <w:r w:rsidRPr="0052620D">
        <w:rPr>
          <w:rFonts w:cs="Arial"/>
          <w:color w:val="000000" w:themeColor="text1"/>
        </w:rPr>
        <w:t>61,839.00</w:t>
      </w:r>
      <w:r w:rsidRPr="00F6308D">
        <w:rPr>
          <w:rFonts w:cs="Arial"/>
          <w:color w:val="000000" w:themeColor="text1"/>
        </w:rPr>
        <w:t xml:space="preserve">, </w:t>
      </w:r>
      <w:r w:rsidRPr="00F6308D">
        <w:rPr>
          <w:rFonts w:cs="Arial"/>
        </w:rPr>
        <w:t>se integra por la siguiente cuenta:</w:t>
      </w:r>
    </w:p>
    <w:p w:rsidR="00EF30C7" w:rsidRPr="00F6308D" w:rsidRDefault="00EF30C7" w:rsidP="00EF30C7">
      <w:pPr>
        <w:spacing w:after="0" w:line="276" w:lineRule="auto"/>
        <w:ind w:right="-1"/>
        <w:jc w:val="both"/>
        <w:rPr>
          <w:rFonts w:cs="Arial"/>
        </w:rPr>
      </w:pPr>
    </w:p>
    <w:p w:rsidR="00EF30C7" w:rsidRPr="004D25FE" w:rsidRDefault="00EF30C7" w:rsidP="00EF30C7">
      <w:pPr>
        <w:pStyle w:val="Prrafodelista"/>
        <w:numPr>
          <w:ilvl w:val="0"/>
          <w:numId w:val="1"/>
        </w:numPr>
        <w:spacing w:line="276" w:lineRule="auto"/>
        <w:ind w:right="-1"/>
        <w:jc w:val="both"/>
        <w:outlineLvl w:val="0"/>
        <w:rPr>
          <w:rFonts w:ascii="HelveticaNeueLT Std" w:eastAsiaTheme="minorHAnsi" w:hAnsi="HelveticaNeueLT Std" w:cs="Arial"/>
          <w:sz w:val="20"/>
          <w:szCs w:val="20"/>
          <w:lang w:eastAsia="en-US"/>
        </w:rPr>
      </w:pPr>
      <w:r w:rsidRPr="004D25FE">
        <w:rPr>
          <w:rFonts w:ascii="HelveticaNeueLT Std" w:eastAsiaTheme="minorHAnsi" w:hAnsi="HelveticaNeueLT Std" w:cs="Arial"/>
          <w:b/>
          <w:sz w:val="20"/>
          <w:szCs w:val="20"/>
          <w:lang w:eastAsia="en-US"/>
        </w:rPr>
        <w:t>Otros Activos Diferidos. -</w:t>
      </w:r>
      <w:r w:rsidRPr="004D25FE">
        <w:rPr>
          <w:rFonts w:ascii="HelveticaNeueLT Std" w:eastAsiaTheme="minorHAnsi" w:hAnsi="HelveticaNeueLT Std" w:cs="Arial"/>
          <w:sz w:val="20"/>
          <w:szCs w:val="20"/>
          <w:lang w:eastAsia="en-US"/>
        </w:rPr>
        <w:t xml:space="preserve"> Su saldo representa los depósitos en garantía que se han otorgado a la </w:t>
      </w:r>
      <w:r>
        <w:rPr>
          <w:rFonts w:ascii="HelveticaNeueLT Std" w:eastAsiaTheme="minorHAnsi" w:hAnsi="HelveticaNeueLT Std" w:cs="Arial"/>
          <w:sz w:val="20"/>
          <w:szCs w:val="20"/>
          <w:lang w:eastAsia="en-US"/>
        </w:rPr>
        <w:t>Comisión Federal de Electricidad</w:t>
      </w:r>
      <w:r w:rsidRPr="004D25FE">
        <w:rPr>
          <w:rFonts w:ascii="HelveticaNeueLT Std" w:eastAsiaTheme="minorHAnsi" w:hAnsi="HelveticaNeueLT Std" w:cs="Arial"/>
          <w:sz w:val="20"/>
          <w:szCs w:val="20"/>
          <w:lang w:eastAsia="en-US"/>
        </w:rPr>
        <w:t xml:space="preserve"> (CFE) para prestar el servicio de energía eléctrica.</w:t>
      </w:r>
    </w:p>
    <w:p w:rsidR="00EF30C7" w:rsidRPr="004D25FE" w:rsidRDefault="00EF30C7" w:rsidP="00EF30C7">
      <w:pPr>
        <w:spacing w:after="0" w:line="276" w:lineRule="auto"/>
        <w:ind w:right="-1"/>
        <w:jc w:val="both"/>
        <w:rPr>
          <w:rFonts w:cs="Arial"/>
          <w:b/>
        </w:rPr>
      </w:pPr>
    </w:p>
    <w:p w:rsidR="00EF30C7" w:rsidRDefault="00EF30C7" w:rsidP="00EF30C7">
      <w:pPr>
        <w:spacing w:line="276" w:lineRule="auto"/>
        <w:ind w:right="-1"/>
        <w:jc w:val="both"/>
        <w:outlineLvl w:val="0"/>
        <w:rPr>
          <w:rFonts w:cs="Arial"/>
          <w:b/>
        </w:rPr>
      </w:pPr>
      <w:r w:rsidRPr="004D25FE">
        <w:rPr>
          <w:rFonts w:cs="Arial"/>
          <w:b/>
        </w:rPr>
        <w:t>Pasivo Circulante</w:t>
      </w:r>
    </w:p>
    <w:p w:rsidR="00EF30C7" w:rsidRPr="008E59AA" w:rsidRDefault="00EF30C7" w:rsidP="00EF30C7">
      <w:pPr>
        <w:pStyle w:val="Prrafodelista"/>
        <w:numPr>
          <w:ilvl w:val="0"/>
          <w:numId w:val="1"/>
        </w:numPr>
        <w:spacing w:line="276" w:lineRule="auto"/>
        <w:ind w:right="-1"/>
        <w:jc w:val="both"/>
        <w:outlineLvl w:val="0"/>
        <w:rPr>
          <w:rFonts w:cs="Arial"/>
          <w:sz w:val="22"/>
          <w:szCs w:val="22"/>
        </w:rPr>
      </w:pPr>
      <w:r w:rsidRPr="004D25FE">
        <w:rPr>
          <w:rFonts w:ascii="HelveticaNeueLT Std" w:eastAsiaTheme="minorHAnsi" w:hAnsi="HelveticaNeueLT Std" w:cs="Arial"/>
          <w:b/>
          <w:sz w:val="20"/>
          <w:szCs w:val="20"/>
          <w:lang w:eastAsia="en-US"/>
        </w:rPr>
        <w:t xml:space="preserve">Cuentas por </w:t>
      </w:r>
      <w:r>
        <w:rPr>
          <w:rFonts w:ascii="HelveticaNeueLT Std" w:eastAsiaTheme="minorHAnsi" w:hAnsi="HelveticaNeueLT Std" w:cs="Arial"/>
          <w:b/>
          <w:sz w:val="20"/>
          <w:szCs w:val="20"/>
          <w:lang w:eastAsia="en-US"/>
        </w:rPr>
        <w:t>Pagar a Corto Plazo.-</w:t>
      </w:r>
      <w:r w:rsidRPr="004D25FE">
        <w:rPr>
          <w:rFonts w:cs="Arial"/>
          <w:b/>
          <w:sz w:val="22"/>
          <w:szCs w:val="22"/>
        </w:rPr>
        <w:t xml:space="preserve"> </w:t>
      </w:r>
      <w:r w:rsidRPr="004D25FE">
        <w:rPr>
          <w:rFonts w:ascii="HelveticaNeueLT Std" w:hAnsi="HelveticaNeueLT Std" w:cs="Arial"/>
          <w:sz w:val="20"/>
          <w:szCs w:val="20"/>
        </w:rPr>
        <w:t xml:space="preserve">El saldo de este rubro </w:t>
      </w:r>
      <w:r w:rsidRPr="004D25FE">
        <w:rPr>
          <w:rFonts w:ascii="HelveticaNeueLT Std" w:hAnsi="HelveticaNeueLT Std" w:cs="Arial"/>
          <w:color w:val="000000" w:themeColor="text1"/>
          <w:sz w:val="20"/>
          <w:szCs w:val="20"/>
        </w:rPr>
        <w:t xml:space="preserve">por </w:t>
      </w:r>
      <w:r w:rsidRPr="005424DC">
        <w:rPr>
          <w:rFonts w:ascii="HelveticaNeueLT Std" w:hAnsi="HelveticaNeueLT Std" w:cs="Arial"/>
          <w:color w:val="000000" w:themeColor="text1"/>
          <w:sz w:val="20"/>
          <w:szCs w:val="20"/>
        </w:rPr>
        <w:t>26,931,867.03</w:t>
      </w:r>
      <w:r w:rsidRPr="004D25FE">
        <w:rPr>
          <w:rFonts w:ascii="HelveticaNeueLT Std" w:hAnsi="HelveticaNeueLT Std" w:cs="Arial"/>
          <w:color w:val="000000" w:themeColor="text1"/>
          <w:sz w:val="20"/>
          <w:szCs w:val="20"/>
        </w:rPr>
        <w:t xml:space="preserve">, </w:t>
      </w:r>
      <w:r w:rsidRPr="004D25FE">
        <w:rPr>
          <w:rFonts w:ascii="HelveticaNeueLT Std" w:hAnsi="HelveticaNeueLT Std" w:cs="Arial"/>
          <w:sz w:val="20"/>
          <w:szCs w:val="20"/>
        </w:rPr>
        <w:t>se integra de la forma y con la antigüedad de saldos siguientes:</w:t>
      </w:r>
    </w:p>
    <w:p w:rsidR="00EF30C7" w:rsidRPr="008E59AA" w:rsidRDefault="00EF30C7" w:rsidP="00EF30C7">
      <w:pPr>
        <w:pStyle w:val="Prrafodelista"/>
        <w:spacing w:line="276" w:lineRule="auto"/>
        <w:ind w:left="502" w:right="-1"/>
        <w:jc w:val="both"/>
        <w:outlineLvl w:val="0"/>
        <w:rPr>
          <w:rFonts w:cs="Arial"/>
          <w:sz w:val="22"/>
          <w:szCs w:val="22"/>
        </w:rPr>
      </w:pPr>
    </w:p>
    <w:p w:rsidR="00EF30C7" w:rsidRPr="004D25FE" w:rsidRDefault="00EF30C7" w:rsidP="00EF30C7">
      <w:pPr>
        <w:pStyle w:val="Prrafodelista"/>
        <w:spacing w:line="276" w:lineRule="auto"/>
        <w:ind w:left="502" w:right="-1"/>
        <w:jc w:val="center"/>
        <w:outlineLvl w:val="0"/>
        <w:rPr>
          <w:rFonts w:cs="Arial"/>
          <w:sz w:val="22"/>
          <w:szCs w:val="22"/>
        </w:rPr>
      </w:pPr>
      <w:r w:rsidRPr="005424DC">
        <w:rPr>
          <w:noProof/>
        </w:rPr>
        <w:drawing>
          <wp:inline distT="0" distB="0" distL="0" distR="0" wp14:anchorId="42F961B2" wp14:editId="7425B052">
            <wp:extent cx="5238750" cy="5715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571500"/>
                    </a:xfrm>
                    <a:prstGeom prst="rect">
                      <a:avLst/>
                    </a:prstGeom>
                    <a:noFill/>
                    <a:ln>
                      <a:noFill/>
                    </a:ln>
                  </pic:spPr>
                </pic:pic>
              </a:graphicData>
            </a:graphic>
          </wp:inline>
        </w:drawing>
      </w:r>
    </w:p>
    <w:p w:rsidR="00EF30C7" w:rsidRDefault="00EF30C7" w:rsidP="00EF30C7">
      <w:pPr>
        <w:spacing w:line="276" w:lineRule="auto"/>
        <w:ind w:right="-1"/>
        <w:outlineLvl w:val="0"/>
        <w:rPr>
          <w:rFonts w:cs="Arial"/>
        </w:rPr>
      </w:pPr>
    </w:p>
    <w:p w:rsidR="00EF30C7" w:rsidRDefault="00EF30C7" w:rsidP="00EF30C7">
      <w:pPr>
        <w:spacing w:line="276" w:lineRule="auto"/>
        <w:ind w:right="-1"/>
        <w:outlineLvl w:val="0"/>
        <w:rPr>
          <w:rFonts w:cs="Arial"/>
        </w:rPr>
      </w:pPr>
      <w:r>
        <w:rPr>
          <w:rFonts w:cs="Arial"/>
        </w:rPr>
        <w:t>El importe a más de 365 días se debe a la cancelación de cheques en tránsito los cuales deben de permanecer en cuentas por pagar de acuerdo con la normatividad vigente.</w:t>
      </w:r>
    </w:p>
    <w:p w:rsidR="00EF30C7" w:rsidRPr="004D25FE" w:rsidRDefault="00EF30C7" w:rsidP="00EF30C7">
      <w:pPr>
        <w:spacing w:after="0" w:line="240" w:lineRule="auto"/>
        <w:ind w:left="502"/>
        <w:contextualSpacing/>
        <w:jc w:val="both"/>
        <w:rPr>
          <w:rFonts w:eastAsia="Times New Roman" w:cs="Times New Roman"/>
          <w:color w:val="000000"/>
          <w:lang w:eastAsia="es-MX"/>
        </w:rPr>
      </w:pPr>
    </w:p>
    <w:p w:rsidR="00EF30C7" w:rsidRPr="003537A0" w:rsidRDefault="00EF30C7" w:rsidP="00EF30C7">
      <w:pPr>
        <w:numPr>
          <w:ilvl w:val="0"/>
          <w:numId w:val="1"/>
        </w:numPr>
        <w:spacing w:after="0" w:line="240" w:lineRule="auto"/>
        <w:ind w:right="-1"/>
        <w:contextualSpacing/>
        <w:jc w:val="both"/>
        <w:rPr>
          <w:rFonts w:eastAsia="Times New Roman" w:cs="Arial"/>
          <w:sz w:val="24"/>
          <w:szCs w:val="24"/>
          <w:lang w:eastAsia="es-MX"/>
        </w:rPr>
      </w:pPr>
      <w:r w:rsidRPr="003537A0">
        <w:rPr>
          <w:rFonts w:eastAsia="Times New Roman" w:cs="Arial"/>
          <w:b/>
          <w:lang w:eastAsia="es-MX"/>
        </w:rPr>
        <w:t>Retenciones y Contribuciones por Pagar a Corto Plazo. -</w:t>
      </w:r>
      <w:r w:rsidRPr="003537A0">
        <w:rPr>
          <w:rFonts w:eastAsia="Times New Roman" w:cs="Arial"/>
          <w:lang w:eastAsia="es-MX"/>
        </w:rPr>
        <w:t xml:space="preserve"> El saldo </w:t>
      </w:r>
      <w:r w:rsidRPr="003537A0">
        <w:rPr>
          <w:rFonts w:eastAsia="Times New Roman" w:cs="Arial"/>
          <w:color w:val="000000" w:themeColor="text1"/>
          <w:lang w:eastAsia="es-MX"/>
        </w:rPr>
        <w:t xml:space="preserve">de </w:t>
      </w:r>
      <w:r w:rsidRPr="000476DA">
        <w:rPr>
          <w:rFonts w:eastAsia="Times New Roman" w:cs="Arial"/>
          <w:color w:val="000000" w:themeColor="text1"/>
          <w:lang w:eastAsia="es-MX"/>
        </w:rPr>
        <w:t>1,128,342.57</w:t>
      </w:r>
      <w:r w:rsidRPr="003537A0">
        <w:rPr>
          <w:rFonts w:eastAsia="Times New Roman" w:cs="Arial"/>
          <w:color w:val="000000" w:themeColor="text1"/>
          <w:lang w:eastAsia="es-MX"/>
        </w:rPr>
        <w:t xml:space="preserve">, representa </w:t>
      </w:r>
      <w:r w:rsidRPr="003537A0">
        <w:rPr>
          <w:rFonts w:eastAsia="Times New Roman" w:cs="Arial"/>
          <w:lang w:eastAsia="es-MX"/>
        </w:rPr>
        <w:t>el importe de las retenciones pendientes de pago principalmente retenciones de Impuesto Sobre la Renta (I.S.R.).</w:t>
      </w:r>
    </w:p>
    <w:p w:rsidR="00EF30C7" w:rsidRPr="003537A0" w:rsidRDefault="00EF30C7" w:rsidP="00EF30C7">
      <w:pPr>
        <w:spacing w:after="0" w:line="240" w:lineRule="auto"/>
        <w:ind w:right="-1"/>
        <w:contextualSpacing/>
        <w:jc w:val="both"/>
        <w:rPr>
          <w:rFonts w:eastAsia="Times New Roman" w:cs="Arial"/>
          <w:sz w:val="24"/>
          <w:szCs w:val="24"/>
          <w:lang w:eastAsia="es-MX"/>
        </w:rPr>
      </w:pPr>
    </w:p>
    <w:p w:rsidR="00EF30C7" w:rsidRPr="00EA4BC9" w:rsidRDefault="00EF30C7" w:rsidP="00EA4BC9">
      <w:pPr>
        <w:numPr>
          <w:ilvl w:val="0"/>
          <w:numId w:val="1"/>
        </w:numPr>
        <w:spacing w:after="0" w:line="276" w:lineRule="auto"/>
        <w:ind w:right="-1"/>
        <w:jc w:val="both"/>
        <w:rPr>
          <w:rFonts w:cs="Arial"/>
        </w:rPr>
      </w:pPr>
      <w:r w:rsidRPr="004D25FE">
        <w:rPr>
          <w:rFonts w:cs="Arial"/>
          <w:b/>
        </w:rPr>
        <w:t>Otras Cuentas por Pagar a Corto Plazo. -</w:t>
      </w:r>
      <w:r w:rsidRPr="004D25FE">
        <w:rPr>
          <w:rFonts w:cs="Arial"/>
        </w:rPr>
        <w:t xml:space="preserve"> El saldo de </w:t>
      </w:r>
      <w:r w:rsidRPr="000476DA">
        <w:rPr>
          <w:rFonts w:cs="Arial"/>
          <w:color w:val="000000" w:themeColor="text1"/>
        </w:rPr>
        <w:t>1,812,305.08</w:t>
      </w:r>
      <w:r w:rsidRPr="004D25FE">
        <w:rPr>
          <w:rFonts w:cs="Arial"/>
          <w:color w:val="002060"/>
        </w:rPr>
        <w:t xml:space="preserve">, </w:t>
      </w:r>
      <w:r w:rsidRPr="004D25FE">
        <w:rPr>
          <w:rFonts w:cs="Arial"/>
        </w:rPr>
        <w:t>en este mes representa principalmente,</w:t>
      </w:r>
      <w:r>
        <w:rPr>
          <w:rFonts w:cs="Arial"/>
        </w:rPr>
        <w:t xml:space="preserve"> Aportaciones ISSEMYM, del adeudo con el Gobierno del Estado de Mexico por </w:t>
      </w:r>
      <w:r w:rsidRPr="0066508F">
        <w:rPr>
          <w:rFonts w:cs="Arial"/>
        </w:rPr>
        <w:t>960,651.30</w:t>
      </w:r>
      <w:r>
        <w:rPr>
          <w:rFonts w:cs="Arial"/>
        </w:rPr>
        <w:t xml:space="preserve"> y cheques en tránsito cancelados por d</w:t>
      </w:r>
      <w:r w:rsidRPr="004D25FE">
        <w:rPr>
          <w:rFonts w:cs="Arial"/>
        </w:rPr>
        <w:t>evoluciones de ingresos indebidos</w:t>
      </w:r>
      <w:r w:rsidRPr="004D25FE">
        <w:rPr>
          <w:rFonts w:cs="Arial"/>
          <w:color w:val="000000" w:themeColor="text1"/>
        </w:rPr>
        <w:t>.</w:t>
      </w:r>
    </w:p>
    <w:p w:rsidR="00EF30C7" w:rsidRPr="00316D5D" w:rsidRDefault="00EF30C7" w:rsidP="00EF30C7">
      <w:pPr>
        <w:numPr>
          <w:ilvl w:val="0"/>
          <w:numId w:val="1"/>
        </w:numPr>
        <w:spacing w:after="0" w:line="276" w:lineRule="auto"/>
        <w:ind w:right="-1"/>
        <w:jc w:val="both"/>
        <w:rPr>
          <w:rFonts w:cs="Arial"/>
          <w:b/>
        </w:rPr>
      </w:pPr>
      <w:r w:rsidRPr="00316D5D">
        <w:rPr>
          <w:rFonts w:cs="Arial"/>
          <w:b/>
        </w:rPr>
        <w:lastRenderedPageBreak/>
        <w:t>Porción a Corto Plazo de la Deuda Pública Interna</w:t>
      </w:r>
      <w:r w:rsidRPr="00316D5D">
        <w:rPr>
          <w:rFonts w:cs="Arial"/>
        </w:rPr>
        <w:t xml:space="preserve">.- </w:t>
      </w:r>
      <w:r>
        <w:rPr>
          <w:rFonts w:cs="Arial"/>
        </w:rPr>
        <w:t xml:space="preserve">La variación contra el mes anterior  representa </w:t>
      </w:r>
      <w:r w:rsidRPr="00316D5D">
        <w:rPr>
          <w:rFonts w:cs="Arial"/>
        </w:rPr>
        <w:t xml:space="preserve"> el  pago de la amortización de capital </w:t>
      </w:r>
      <w:r>
        <w:rPr>
          <w:rFonts w:cs="Arial"/>
        </w:rPr>
        <w:t xml:space="preserve"> del primer semestre </w:t>
      </w:r>
      <w:r w:rsidRPr="00316D5D">
        <w:rPr>
          <w:rFonts w:cs="Arial"/>
        </w:rPr>
        <w:t>de los Certificados Bursátiles del Fideicomiso de Cobranza de la Serie Subordinada C</w:t>
      </w:r>
      <w:r>
        <w:rPr>
          <w:rFonts w:cs="Arial"/>
        </w:rPr>
        <w:t xml:space="preserve"> por la cantidad de </w:t>
      </w:r>
      <w:r w:rsidRPr="00904183">
        <w:rPr>
          <w:rFonts w:cs="Arial"/>
        </w:rPr>
        <w:t>87,344,579.47</w:t>
      </w:r>
      <w:r>
        <w:rPr>
          <w:rFonts w:cs="Arial"/>
        </w:rPr>
        <w:t xml:space="preserve"> y por la reclasificación a Largo Plazo de los pasivos con base en la proyección en UDIS.</w:t>
      </w:r>
    </w:p>
    <w:p w:rsidR="00EF30C7" w:rsidRPr="00FB52BE" w:rsidRDefault="00EF30C7" w:rsidP="00EF30C7">
      <w:pPr>
        <w:spacing w:after="0" w:line="276" w:lineRule="auto"/>
        <w:ind w:left="502" w:right="-1"/>
        <w:jc w:val="both"/>
        <w:rPr>
          <w:rFonts w:cs="Arial"/>
          <w:b/>
        </w:rPr>
      </w:pPr>
    </w:p>
    <w:p w:rsidR="00EF30C7" w:rsidRPr="004D25FE" w:rsidRDefault="00EF30C7" w:rsidP="00EF30C7">
      <w:pPr>
        <w:spacing w:line="276" w:lineRule="auto"/>
        <w:ind w:right="-1"/>
        <w:jc w:val="both"/>
        <w:outlineLvl w:val="0"/>
        <w:rPr>
          <w:rFonts w:cs="Arial"/>
          <w:b/>
        </w:rPr>
      </w:pPr>
      <w:r w:rsidRPr="004D25FE">
        <w:rPr>
          <w:rFonts w:cs="Arial"/>
          <w:b/>
        </w:rPr>
        <w:t>Pasivo No Circulante</w:t>
      </w:r>
    </w:p>
    <w:p w:rsidR="00EF30C7" w:rsidRPr="004D25FE" w:rsidRDefault="00EF30C7" w:rsidP="00EF30C7">
      <w:pPr>
        <w:spacing w:after="0" w:line="276" w:lineRule="auto"/>
        <w:ind w:right="-1"/>
        <w:contextualSpacing/>
        <w:jc w:val="both"/>
        <w:outlineLvl w:val="0"/>
        <w:rPr>
          <w:rFonts w:eastAsia="Times New Roman" w:cs="Arial"/>
          <w:lang w:eastAsia="es-MX"/>
        </w:rPr>
      </w:pPr>
      <w:r w:rsidRPr="004D25FE">
        <w:rPr>
          <w:rFonts w:eastAsia="Times New Roman" w:cs="Arial"/>
          <w:b/>
          <w:lang w:eastAsia="es-MX"/>
        </w:rPr>
        <w:t>Documentos por Pagar a Largo Plazo</w:t>
      </w:r>
      <w:r w:rsidRPr="004D25FE">
        <w:rPr>
          <w:rFonts w:eastAsia="Times New Roman" w:cs="Arial"/>
          <w:lang w:eastAsia="es-MX"/>
        </w:rPr>
        <w:t>. - Se integra por:</w:t>
      </w:r>
    </w:p>
    <w:p w:rsidR="00EF30C7" w:rsidRPr="004D25FE" w:rsidRDefault="00EF30C7" w:rsidP="00EF30C7">
      <w:pPr>
        <w:spacing w:after="0" w:line="276" w:lineRule="auto"/>
        <w:ind w:left="360" w:right="-1"/>
        <w:contextualSpacing/>
        <w:jc w:val="both"/>
        <w:outlineLvl w:val="0"/>
        <w:rPr>
          <w:rFonts w:eastAsia="Times New Roman" w:cs="Arial"/>
          <w:sz w:val="24"/>
          <w:szCs w:val="24"/>
          <w:lang w:eastAsia="es-MX"/>
        </w:rPr>
      </w:pPr>
    </w:p>
    <w:p w:rsidR="00EF30C7" w:rsidRDefault="00EF30C7" w:rsidP="005F3488">
      <w:pPr>
        <w:numPr>
          <w:ilvl w:val="0"/>
          <w:numId w:val="1"/>
        </w:numPr>
        <w:spacing w:after="0" w:line="276" w:lineRule="auto"/>
        <w:ind w:right="-1"/>
        <w:jc w:val="both"/>
        <w:rPr>
          <w:rFonts w:cs="Arial"/>
        </w:rPr>
      </w:pPr>
      <w:r w:rsidRPr="000B027A">
        <w:rPr>
          <w:rFonts w:cs="Arial"/>
          <w:b/>
        </w:rPr>
        <w:t xml:space="preserve">Documentos Comerciales por Pagar a Largo Plazo.- </w:t>
      </w:r>
      <w:r w:rsidRPr="000B027A">
        <w:rPr>
          <w:rFonts w:cs="Arial"/>
        </w:rPr>
        <w:t xml:space="preserve">El saldo de </w:t>
      </w:r>
      <w:r w:rsidR="005F3488" w:rsidRPr="005F3488">
        <w:rPr>
          <w:rFonts w:cs="Arial"/>
          <w:color w:val="000000" w:themeColor="text1"/>
        </w:rPr>
        <w:t>5,062,389,105.02</w:t>
      </w:r>
      <w:r w:rsidR="005F3488">
        <w:rPr>
          <w:rFonts w:cs="Arial"/>
          <w:color w:val="000000" w:themeColor="text1"/>
        </w:rPr>
        <w:t xml:space="preserve"> </w:t>
      </w:r>
      <w:r w:rsidRPr="000B027A">
        <w:rPr>
          <w:rFonts w:cs="Arial"/>
        </w:rPr>
        <w:t>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 del IFREM, de acuerdo al Decreto de Autorización No. 79 publicado en la Gaceta del Gobierno de fecha 12 de mayo del 2010</w:t>
      </w:r>
      <w:r>
        <w:rPr>
          <w:rFonts w:cs="Arial"/>
        </w:rPr>
        <w:t>.</w:t>
      </w:r>
    </w:p>
    <w:p w:rsidR="009A2E41" w:rsidRDefault="009A2E41" w:rsidP="009A2E41">
      <w:pPr>
        <w:spacing w:after="0" w:line="276" w:lineRule="auto"/>
        <w:ind w:right="-1"/>
        <w:jc w:val="both"/>
        <w:rPr>
          <w:rFonts w:cs="Arial"/>
        </w:rPr>
      </w:pPr>
    </w:p>
    <w:p w:rsidR="00BC5EAD" w:rsidRPr="00311CDE" w:rsidRDefault="00BC5EAD" w:rsidP="00BC5EAD">
      <w:pPr>
        <w:numPr>
          <w:ilvl w:val="0"/>
          <w:numId w:val="6"/>
        </w:numPr>
        <w:spacing w:before="240" w:after="240" w:line="276" w:lineRule="auto"/>
        <w:ind w:right="-1"/>
        <w:contextualSpacing/>
        <w:outlineLvl w:val="0"/>
        <w:rPr>
          <w:rFonts w:eastAsia="Times New Roman" w:cs="Arial"/>
          <w:b/>
          <w:lang w:eastAsia="es-MX"/>
        </w:rPr>
      </w:pPr>
      <w:r w:rsidRPr="00311CDE">
        <w:rPr>
          <w:rFonts w:eastAsia="Times New Roman" w:cs="Arial"/>
          <w:b/>
          <w:lang w:eastAsia="es-MX"/>
        </w:rPr>
        <w:t>NOTAS AL ESTADO DE ACTIVIDADES</w:t>
      </w:r>
    </w:p>
    <w:p w:rsidR="00BC5EAD" w:rsidRPr="0096540A" w:rsidRDefault="00BC5EAD" w:rsidP="00BC5EAD">
      <w:pPr>
        <w:spacing w:before="240" w:after="240" w:line="276" w:lineRule="auto"/>
        <w:ind w:left="1068" w:right="-1"/>
        <w:contextualSpacing/>
        <w:outlineLvl w:val="0"/>
        <w:rPr>
          <w:rFonts w:eastAsia="Times New Roman" w:cs="Arial"/>
          <w:b/>
          <w:sz w:val="16"/>
          <w:lang w:eastAsia="es-MX"/>
        </w:rPr>
      </w:pPr>
    </w:p>
    <w:p w:rsidR="00BC5EAD" w:rsidRPr="00DA5FD6" w:rsidRDefault="00B044E8" w:rsidP="00BC5EAD">
      <w:pPr>
        <w:spacing w:line="276" w:lineRule="auto"/>
        <w:ind w:right="-1"/>
        <w:jc w:val="both"/>
        <w:outlineLvl w:val="0"/>
        <w:rPr>
          <w:rFonts w:cs="Arial"/>
          <w:b/>
        </w:rPr>
      </w:pPr>
      <w:r>
        <w:rPr>
          <w:rFonts w:cs="Arial"/>
          <w:b/>
        </w:rPr>
        <w:t>Ingresos de la Gestión</w:t>
      </w:r>
    </w:p>
    <w:p w:rsidR="00BC5EAD" w:rsidRPr="007267ED" w:rsidRDefault="00BC5EAD" w:rsidP="00BC5EAD">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118,292,642.00</w:t>
      </w:r>
      <w:r w:rsidRPr="00DA5FD6">
        <w:rPr>
          <w:rFonts w:eastAsia="Times New Roman" w:cs="Arial"/>
          <w:lang w:eastAsia="es-MX"/>
        </w:rPr>
        <w:t xml:space="preserve"> obteniendo una recaudación en los recursos del Registro Público de la Propiedad (RPP) por </w:t>
      </w:r>
      <w:r>
        <w:rPr>
          <w:rFonts w:eastAsia="Times New Roman" w:cs="Arial"/>
          <w:lang w:eastAsia="es-MX"/>
        </w:rPr>
        <w:t>115,867,335.00</w:t>
      </w:r>
      <w:r w:rsidRPr="00DA5FD6">
        <w:rPr>
          <w:rFonts w:eastAsia="Times New Roman" w:cs="Arial"/>
          <w:lang w:eastAsia="es-MX"/>
        </w:rPr>
        <w:t xml:space="preserve"> y los recursos del Registro Público del Comercio (RPC) por </w:t>
      </w:r>
      <w:r>
        <w:rPr>
          <w:rFonts w:eastAsia="Times New Roman" w:cs="Arial"/>
          <w:lang w:eastAsia="es-MX"/>
        </w:rPr>
        <w:t>2,425,307</w:t>
      </w:r>
      <w:r w:rsidRPr="00DA5FD6">
        <w:rPr>
          <w:rFonts w:eastAsia="Times New Roman" w:cs="Arial"/>
          <w:lang w:eastAsia="es-MX"/>
        </w:rPr>
        <w:t>.</w:t>
      </w:r>
      <w:r>
        <w:rPr>
          <w:rFonts w:eastAsia="Times New Roman" w:cs="Arial"/>
          <w:lang w:eastAsia="es-MX"/>
        </w:rPr>
        <w:t>00.</w:t>
      </w:r>
      <w:r w:rsidRPr="00DA5FD6">
        <w:rPr>
          <w:rFonts w:eastAsia="Times New Roman" w:cs="Arial"/>
          <w:lang w:eastAsia="es-MX"/>
        </w:rPr>
        <w:t xml:space="preserve"> Al mes se lleva un total acumulado por </w:t>
      </w:r>
      <w:r>
        <w:rPr>
          <w:rFonts w:eastAsia="Times New Roman" w:cs="Arial"/>
          <w:lang w:eastAsia="es-MX"/>
        </w:rPr>
        <w:t>326,808,651.00.</w:t>
      </w:r>
    </w:p>
    <w:p w:rsidR="00BC5EAD" w:rsidRPr="0096540A" w:rsidRDefault="00BC5EAD" w:rsidP="00BC5EAD">
      <w:pPr>
        <w:spacing w:after="0" w:line="276" w:lineRule="auto"/>
        <w:ind w:right="-1"/>
        <w:jc w:val="both"/>
        <w:rPr>
          <w:rFonts w:cs="Arial"/>
          <w:sz w:val="16"/>
        </w:rPr>
      </w:pPr>
    </w:p>
    <w:p w:rsidR="00BC5EAD" w:rsidRPr="00DA5FD6" w:rsidRDefault="00BC5EAD" w:rsidP="00BC5EAD">
      <w:pPr>
        <w:numPr>
          <w:ilvl w:val="0"/>
          <w:numId w:val="18"/>
        </w:numPr>
        <w:spacing w:after="0" w:line="276" w:lineRule="auto"/>
        <w:ind w:right="-1"/>
        <w:contextualSpacing/>
        <w:jc w:val="both"/>
        <w:rPr>
          <w:rFonts w:eastAsia="Times New Roman" w:cs="Arial"/>
          <w:sz w:val="24"/>
          <w:szCs w:val="24"/>
          <w:lang w:eastAsia="es-MX"/>
        </w:rPr>
      </w:pPr>
      <w:r w:rsidRPr="004A1CA2">
        <w:rPr>
          <w:rFonts w:eastAsia="Times New Roman" w:cs="Arial"/>
          <w:b/>
          <w:lang w:eastAsia="es-MX"/>
        </w:rPr>
        <w:t>Participaciones, Aportaciones, Convenios, Incentivos Derivados de la Colaboración Fiscal, Fondos Distintos de Aportaciones, Transferencias, Asignaciones, Subsidios y Subvencione</w:t>
      </w:r>
      <w:r>
        <w:rPr>
          <w:rFonts w:eastAsia="Times New Roman" w:cs="Arial"/>
          <w:b/>
          <w:lang w:eastAsia="es-MX"/>
        </w:rPr>
        <w:t>s, y Pensiones y Jubilaciones</w:t>
      </w:r>
      <w:r w:rsidRPr="00DA5FD6">
        <w:rPr>
          <w:rFonts w:eastAsia="Times New Roman" w:cs="Arial"/>
          <w:lang w:eastAsia="es-MX"/>
        </w:rPr>
        <w:t>. - E</w:t>
      </w:r>
      <w:r>
        <w:rPr>
          <w:rFonts w:eastAsia="Times New Roman" w:cs="Arial"/>
          <w:lang w:eastAsia="es-MX"/>
        </w:rPr>
        <w:t>l saldo corresponde</w:t>
      </w:r>
      <w:r w:rsidRPr="00DA5FD6">
        <w:rPr>
          <w:rFonts w:eastAsia="Times New Roman" w:cs="Arial"/>
          <w:lang w:eastAsia="es-MX"/>
        </w:rPr>
        <w:t xml:space="preserve"> al Programa </w:t>
      </w:r>
      <w:r>
        <w:rPr>
          <w:rFonts w:eastAsia="Times New Roman" w:cs="Arial"/>
          <w:lang w:eastAsia="es-MX"/>
        </w:rPr>
        <w:t>de Acciones</w:t>
      </w:r>
      <w:r w:rsidRPr="00DA5FD6">
        <w:rPr>
          <w:rFonts w:eastAsia="Times New Roman" w:cs="Arial"/>
          <w:lang w:eastAsia="es-MX"/>
        </w:rPr>
        <w:t xml:space="preserve"> </w:t>
      </w:r>
      <w:r>
        <w:rPr>
          <w:rFonts w:eastAsia="Times New Roman" w:cs="Arial"/>
          <w:lang w:eastAsia="es-MX"/>
        </w:rPr>
        <w:t>para el Desarrollo (</w:t>
      </w:r>
      <w:r w:rsidRPr="00DA5FD6">
        <w:rPr>
          <w:rFonts w:eastAsia="Times New Roman" w:cs="Arial"/>
          <w:lang w:eastAsia="es-MX"/>
        </w:rPr>
        <w:t>PAD</w:t>
      </w:r>
      <w:r>
        <w:rPr>
          <w:rFonts w:eastAsia="Times New Roman" w:cs="Arial"/>
          <w:lang w:eastAsia="es-MX"/>
        </w:rPr>
        <w:t xml:space="preserve">), del “Programa de Regularización de </w:t>
      </w:r>
      <w:r w:rsidRPr="00DA5FD6">
        <w:rPr>
          <w:rFonts w:eastAsia="Times New Roman" w:cs="Arial"/>
          <w:lang w:eastAsia="es-MX"/>
        </w:rPr>
        <w:t>Tenencia de la Tierra</w:t>
      </w:r>
      <w:r>
        <w:rPr>
          <w:rFonts w:eastAsia="Times New Roman" w:cs="Arial"/>
          <w:lang w:eastAsia="es-MX"/>
        </w:rPr>
        <w:t>”,</w:t>
      </w:r>
      <w:r w:rsidRPr="00DA5FD6">
        <w:rPr>
          <w:rFonts w:eastAsia="Times New Roman" w:cs="Arial"/>
          <w:lang w:eastAsia="es-MX"/>
        </w:rPr>
        <w:t xml:space="preserve"> </w:t>
      </w:r>
      <w:r>
        <w:rPr>
          <w:rFonts w:eastAsia="Times New Roman" w:cs="Arial"/>
          <w:lang w:eastAsia="es-MX"/>
        </w:rPr>
        <w:t xml:space="preserve">en este mes el  </w:t>
      </w:r>
      <w:r w:rsidRPr="00DA5FD6">
        <w:rPr>
          <w:rFonts w:eastAsia="Times New Roman" w:cs="Arial"/>
          <w:lang w:eastAsia="es-MX"/>
        </w:rPr>
        <w:t xml:space="preserve">devengado </w:t>
      </w:r>
      <w:r>
        <w:rPr>
          <w:rFonts w:eastAsia="Times New Roman" w:cs="Arial"/>
          <w:lang w:eastAsia="es-MX"/>
        </w:rPr>
        <w:t>y</w:t>
      </w:r>
      <w:r w:rsidRPr="00DA5FD6">
        <w:rPr>
          <w:rFonts w:eastAsia="Times New Roman" w:cs="Arial"/>
          <w:lang w:eastAsia="es-MX"/>
        </w:rPr>
        <w:t xml:space="preserve"> el recaudado </w:t>
      </w:r>
      <w:r>
        <w:rPr>
          <w:rFonts w:eastAsia="Times New Roman" w:cs="Arial"/>
          <w:lang w:eastAsia="es-MX"/>
        </w:rPr>
        <w:t>es de 2,875,248.91. Al mes se tiene un monto acumulado por 8,625,746.73.</w:t>
      </w:r>
    </w:p>
    <w:p w:rsidR="00BC5EAD" w:rsidRPr="0096540A" w:rsidRDefault="00BC5EAD" w:rsidP="00BC5EAD">
      <w:pPr>
        <w:spacing w:after="0" w:line="276" w:lineRule="auto"/>
        <w:ind w:right="-1"/>
        <w:contextualSpacing/>
        <w:jc w:val="both"/>
        <w:rPr>
          <w:rFonts w:eastAsia="Times New Roman" w:cs="Arial"/>
          <w:sz w:val="14"/>
          <w:szCs w:val="24"/>
          <w:lang w:eastAsia="es-MX"/>
        </w:rPr>
      </w:pPr>
    </w:p>
    <w:p w:rsidR="00BC5EAD" w:rsidRPr="00D16623" w:rsidRDefault="00BC5EAD" w:rsidP="00BC5EAD">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Otros Ingresos y Beneficios</w:t>
      </w:r>
      <w:r w:rsidR="00B044E8">
        <w:rPr>
          <w:rFonts w:eastAsia="Times New Roman" w:cs="Arial"/>
          <w:b/>
          <w:lang w:eastAsia="es-MX"/>
        </w:rPr>
        <w:t>.-</w:t>
      </w:r>
      <w:r w:rsidRPr="00DA5FD6">
        <w:rPr>
          <w:rFonts w:eastAsia="Times New Roman" w:cs="Arial"/>
          <w:lang w:eastAsia="es-MX"/>
        </w:rPr>
        <w:t xml:space="preserve"> En el mes</w:t>
      </w:r>
      <w:r>
        <w:rPr>
          <w:rFonts w:eastAsia="Times New Roman" w:cs="Arial"/>
          <w:lang w:eastAsia="es-MX"/>
        </w:rPr>
        <w:t xml:space="preserve"> que se comenta,</w:t>
      </w:r>
      <w:r w:rsidRPr="00DA5FD6">
        <w:rPr>
          <w:rFonts w:eastAsia="Times New Roman" w:cs="Arial"/>
          <w:lang w:eastAsia="es-MX"/>
        </w:rPr>
        <w:t xml:space="preserve"> se o</w:t>
      </w:r>
      <w:r>
        <w:rPr>
          <w:rFonts w:eastAsia="Times New Roman" w:cs="Arial"/>
          <w:lang w:eastAsia="es-MX"/>
        </w:rPr>
        <w:t xml:space="preserve">bserva un monto de 99,768,004.33, al mes se tiene un acumulado </w:t>
      </w:r>
      <w:r w:rsidRPr="00410DDD">
        <w:rPr>
          <w:rFonts w:eastAsia="Times New Roman" w:cs="Arial"/>
          <w:lang w:eastAsia="es-MX"/>
        </w:rPr>
        <w:t>por</w:t>
      </w:r>
      <w:r>
        <w:rPr>
          <w:rFonts w:eastAsia="Times New Roman" w:cs="Arial"/>
          <w:lang w:eastAsia="es-MX"/>
        </w:rPr>
        <w:t xml:space="preserve"> 238,113,240.22, </w:t>
      </w:r>
      <w:r w:rsidRPr="00D16623">
        <w:rPr>
          <w:rFonts w:eastAsia="Times New Roman" w:cs="Arial"/>
          <w:lang w:eastAsia="es-MX"/>
        </w:rPr>
        <w:t>que corresponden a:</w:t>
      </w:r>
    </w:p>
    <w:p w:rsidR="00BC5EAD" w:rsidRPr="0096540A" w:rsidRDefault="00BC5EAD" w:rsidP="00BC5EAD">
      <w:pPr>
        <w:spacing w:after="0" w:line="276" w:lineRule="auto"/>
        <w:ind w:right="-1"/>
        <w:jc w:val="both"/>
        <w:rPr>
          <w:rFonts w:cs="Arial"/>
          <w:sz w:val="16"/>
        </w:rPr>
      </w:pPr>
    </w:p>
    <w:p w:rsidR="00BC5EAD" w:rsidRPr="00DA5FD6" w:rsidRDefault="00BC5EAD" w:rsidP="00BC5EAD">
      <w:pPr>
        <w:spacing w:line="276" w:lineRule="auto"/>
        <w:ind w:left="644" w:right="-1"/>
        <w:jc w:val="both"/>
        <w:outlineLvl w:val="0"/>
        <w:rPr>
          <w:rFonts w:cs="Arial"/>
        </w:rPr>
      </w:pPr>
      <w:r w:rsidRPr="00DA5FD6">
        <w:rPr>
          <w:rFonts w:cs="Arial"/>
          <w:b/>
        </w:rPr>
        <w:t>Ingresos Financieros</w:t>
      </w:r>
      <w:r w:rsidRPr="00DA5FD6">
        <w:rPr>
          <w:rFonts w:cs="Arial"/>
        </w:rPr>
        <w:t xml:space="preserve">. - Se observa en el mes un saldo </w:t>
      </w:r>
      <w:r>
        <w:rPr>
          <w:rFonts w:cs="Arial"/>
        </w:rPr>
        <w:t>de 99,737,269.10</w:t>
      </w:r>
      <w:r w:rsidRPr="00DA5FD6">
        <w:rPr>
          <w:rFonts w:cs="Arial"/>
        </w:rPr>
        <w:t xml:space="preserve">, </w:t>
      </w:r>
      <w:r>
        <w:rPr>
          <w:rFonts w:eastAsia="Times New Roman" w:cs="Arial"/>
          <w:lang w:eastAsia="es-MX"/>
        </w:rPr>
        <w:t>de los cuales se registraron 98,555,</w:t>
      </w:r>
      <w:r w:rsidRPr="00A573FF">
        <w:rPr>
          <w:rFonts w:eastAsia="Times New Roman" w:cs="Arial"/>
          <w:lang w:eastAsia="es-MX"/>
        </w:rPr>
        <w:t>4</w:t>
      </w:r>
      <w:r>
        <w:rPr>
          <w:rFonts w:eastAsia="Times New Roman" w:cs="Arial"/>
          <w:lang w:eastAsia="es-MX"/>
        </w:rPr>
        <w:t>36</w:t>
      </w:r>
      <w:r w:rsidRPr="00A573FF">
        <w:rPr>
          <w:rFonts w:eastAsia="Times New Roman" w:cs="Arial"/>
          <w:lang w:eastAsia="es-MX"/>
        </w:rPr>
        <w:t>.</w:t>
      </w:r>
      <w:r>
        <w:rPr>
          <w:rFonts w:eastAsia="Times New Roman" w:cs="Arial"/>
          <w:lang w:eastAsia="es-MX"/>
        </w:rPr>
        <w:t>72, para el p</w:t>
      </w:r>
      <w:r w:rsidRPr="00A573FF">
        <w:rPr>
          <w:rFonts w:eastAsia="Times New Roman" w:cs="Arial"/>
          <w:lang w:eastAsia="es-MX"/>
        </w:rPr>
        <w:t>ago a l</w:t>
      </w:r>
      <w:r>
        <w:rPr>
          <w:rFonts w:eastAsia="Times New Roman" w:cs="Arial"/>
          <w:lang w:eastAsia="es-MX"/>
        </w:rPr>
        <w:t>a Fiduciaria (Bonos) Intereses,</w:t>
      </w:r>
      <w:r w:rsidRPr="00DA5FD6">
        <w:rPr>
          <w:rFonts w:cs="Arial"/>
        </w:rPr>
        <w:t xml:space="preserve"> que corresponden</w:t>
      </w:r>
      <w:r w:rsidRPr="00DA5FD6">
        <w:t xml:space="preserve"> a </w:t>
      </w:r>
      <w:r>
        <w:t>la Serie</w:t>
      </w:r>
      <w:r w:rsidR="00E708E5">
        <w:t xml:space="preserve"> Subordinada</w:t>
      </w:r>
      <w:r>
        <w:t xml:space="preserve"> C del Fideicomiso de Cobranza, </w:t>
      </w:r>
      <w:r w:rsidRPr="00DA5FD6">
        <w:rPr>
          <w:rFonts w:cs="Arial"/>
        </w:rPr>
        <w:t>los intereses de las cuentas bancarias productivas</w:t>
      </w:r>
      <w:r>
        <w:rPr>
          <w:rFonts w:cs="Arial"/>
        </w:rPr>
        <w:t xml:space="preserve"> y la cuenta de inversión</w:t>
      </w:r>
      <w:r w:rsidRPr="00DA5FD6">
        <w:rPr>
          <w:rFonts w:cs="Arial"/>
        </w:rPr>
        <w:t xml:space="preserve"> del Instituto</w:t>
      </w:r>
      <w:r>
        <w:rPr>
          <w:rFonts w:cs="Arial"/>
        </w:rPr>
        <w:t xml:space="preserve"> fueron de 1,181,832.38</w:t>
      </w:r>
      <w:r w:rsidRPr="00DA5FD6">
        <w:rPr>
          <w:rFonts w:cs="Arial"/>
        </w:rPr>
        <w:t>. Al mes se tiene un acumulado</w:t>
      </w:r>
      <w:r>
        <w:rPr>
          <w:rFonts w:cs="Arial"/>
        </w:rPr>
        <w:t xml:space="preserve"> por 238,053,018.33</w:t>
      </w:r>
      <w:r w:rsidRPr="00DA5FD6">
        <w:rPr>
          <w:rFonts w:cs="Arial"/>
        </w:rPr>
        <w:t>.</w:t>
      </w:r>
    </w:p>
    <w:p w:rsidR="00BC5EAD" w:rsidRPr="00DA5FD6" w:rsidRDefault="00BC5EAD" w:rsidP="00EA4BC9">
      <w:pPr>
        <w:spacing w:line="276" w:lineRule="auto"/>
        <w:ind w:left="644" w:right="-1"/>
        <w:jc w:val="both"/>
        <w:outlineLvl w:val="0"/>
        <w:rPr>
          <w:rFonts w:cs="Arial"/>
        </w:rPr>
      </w:pPr>
      <w:r w:rsidRPr="00D16623">
        <w:rPr>
          <w:rFonts w:cs="Arial"/>
          <w:b/>
        </w:rPr>
        <w:t>Otros Ingresos y Beneficios Varios</w:t>
      </w:r>
      <w:r>
        <w:rPr>
          <w:rFonts w:cs="Arial"/>
        </w:rPr>
        <w:t>. - Se observa en  el mes</w:t>
      </w:r>
      <w:r w:rsidRPr="00D16623">
        <w:rPr>
          <w:rFonts w:cs="Arial"/>
        </w:rPr>
        <w:t xml:space="preserve"> </w:t>
      </w:r>
      <w:r>
        <w:rPr>
          <w:rFonts w:cs="Arial"/>
        </w:rPr>
        <w:t>un saldo</w:t>
      </w:r>
      <w:r w:rsidRPr="00D16623">
        <w:rPr>
          <w:rFonts w:cs="Arial"/>
        </w:rPr>
        <w:t xml:space="preserve">, </w:t>
      </w:r>
      <w:r>
        <w:rPr>
          <w:rFonts w:cs="Arial"/>
        </w:rPr>
        <w:t xml:space="preserve">por </w:t>
      </w:r>
      <w:r w:rsidRPr="00D16623">
        <w:rPr>
          <w:rFonts w:cs="Arial"/>
        </w:rPr>
        <w:t xml:space="preserve">la cantidad de </w:t>
      </w:r>
      <w:r>
        <w:rPr>
          <w:rFonts w:cs="Arial"/>
        </w:rPr>
        <w:t xml:space="preserve">30,735.23 </w:t>
      </w:r>
      <w:r w:rsidRPr="00DA5FD6">
        <w:rPr>
          <w:rFonts w:cs="Arial"/>
        </w:rPr>
        <w:t xml:space="preserve">por </w:t>
      </w:r>
      <w:r>
        <w:rPr>
          <w:rFonts w:cs="Arial"/>
        </w:rPr>
        <w:t xml:space="preserve">venta de bases para concurso, aprovechamientos por sanción o incumplimiento, </w:t>
      </w:r>
      <w:r w:rsidRPr="00DA5FD6">
        <w:rPr>
          <w:rFonts w:cs="Arial"/>
        </w:rPr>
        <w:t>depósito</w:t>
      </w:r>
      <w:r>
        <w:rPr>
          <w:rFonts w:cs="Arial"/>
        </w:rPr>
        <w:t>s en efectivo no referenciados, y rendimientos de la remesa de los ingresos por RPC.</w:t>
      </w:r>
      <w:r w:rsidRPr="007C7CED">
        <w:rPr>
          <w:rFonts w:cs="Arial"/>
        </w:rPr>
        <w:t xml:space="preserve"> </w:t>
      </w:r>
      <w:r w:rsidRPr="00DA5FD6">
        <w:rPr>
          <w:rFonts w:cs="Arial"/>
        </w:rPr>
        <w:t xml:space="preserve">Presenta un saldo acumulado </w:t>
      </w:r>
      <w:r>
        <w:rPr>
          <w:rFonts w:cs="Arial"/>
        </w:rPr>
        <w:t>por 60,221.89.</w:t>
      </w:r>
    </w:p>
    <w:p w:rsidR="00BC5EAD" w:rsidRDefault="00BC5EAD" w:rsidP="00BC5EAD">
      <w:pPr>
        <w:spacing w:line="276" w:lineRule="auto"/>
        <w:ind w:right="-1"/>
        <w:jc w:val="both"/>
        <w:outlineLvl w:val="0"/>
        <w:rPr>
          <w:rFonts w:cs="Arial"/>
          <w:b/>
        </w:rPr>
      </w:pPr>
      <w:r w:rsidRPr="00543156">
        <w:rPr>
          <w:rFonts w:cs="Arial"/>
          <w:b/>
        </w:rPr>
        <w:lastRenderedPageBreak/>
        <w:t>Gastos y Otras Pérdidas</w:t>
      </w:r>
      <w:r>
        <w:rPr>
          <w:rFonts w:cs="Arial"/>
          <w:b/>
        </w:rPr>
        <w:t xml:space="preserve"> </w:t>
      </w:r>
    </w:p>
    <w:p w:rsidR="00BC5EAD" w:rsidRPr="007759F0" w:rsidRDefault="00BC5EAD" w:rsidP="00BC5EAD">
      <w:pPr>
        <w:pStyle w:val="Prrafodelista"/>
        <w:numPr>
          <w:ilvl w:val="0"/>
          <w:numId w:val="19"/>
        </w:numPr>
        <w:spacing w:line="276" w:lineRule="auto"/>
        <w:ind w:right="-1"/>
        <w:jc w:val="both"/>
        <w:outlineLvl w:val="0"/>
        <w:rPr>
          <w:rFonts w:ascii="HelveticaNeueLT Std" w:eastAsiaTheme="minorHAnsi" w:hAnsi="HelveticaNeueLT Std" w:cs="Arial"/>
          <w:sz w:val="20"/>
          <w:szCs w:val="20"/>
          <w:lang w:eastAsia="en-US"/>
        </w:rPr>
      </w:pPr>
      <w:r w:rsidRPr="007759F0">
        <w:rPr>
          <w:rFonts w:ascii="HelveticaNeueLT Std" w:eastAsiaTheme="minorHAnsi" w:hAnsi="HelveticaNeueLT Std" w:cs="Arial"/>
          <w:b/>
          <w:sz w:val="20"/>
          <w:szCs w:val="20"/>
          <w:lang w:eastAsia="en-US"/>
        </w:rPr>
        <w:t>Gastos de Funcionamiento</w:t>
      </w:r>
      <w:r w:rsidRPr="007759F0">
        <w:rPr>
          <w:rFonts w:cs="Arial"/>
        </w:rPr>
        <w:t xml:space="preserve">. - </w:t>
      </w:r>
      <w:r w:rsidRPr="007759F0">
        <w:rPr>
          <w:rFonts w:ascii="HelveticaNeueLT Std" w:eastAsiaTheme="minorHAnsi" w:hAnsi="HelveticaNeueLT Std" w:cs="Arial"/>
          <w:sz w:val="20"/>
          <w:szCs w:val="20"/>
          <w:lang w:eastAsia="en-US"/>
        </w:rPr>
        <w:t xml:space="preserve">Para la operación del Instituto, se han erogado en este mes la cantidad de </w:t>
      </w:r>
      <w:r>
        <w:rPr>
          <w:rFonts w:ascii="HelveticaNeueLT Std" w:eastAsiaTheme="minorHAnsi" w:hAnsi="HelveticaNeueLT Std" w:cs="Arial"/>
          <w:sz w:val="20"/>
          <w:szCs w:val="20"/>
          <w:lang w:eastAsia="en-US"/>
        </w:rPr>
        <w:t>17</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410</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576</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80</w:t>
      </w:r>
      <w:r w:rsidRPr="007759F0">
        <w:rPr>
          <w:rFonts w:ascii="HelveticaNeueLT Std" w:eastAsiaTheme="minorHAnsi" w:hAnsi="HelveticaNeueLT Std" w:cs="Arial"/>
          <w:sz w:val="20"/>
          <w:szCs w:val="20"/>
          <w:lang w:eastAsia="en-US"/>
        </w:rPr>
        <w:t xml:space="preserve">, integrados </w:t>
      </w:r>
      <w:r>
        <w:rPr>
          <w:rFonts w:ascii="HelveticaNeueLT Std" w:eastAsiaTheme="minorHAnsi" w:hAnsi="HelveticaNeueLT Std" w:cs="Arial"/>
          <w:sz w:val="20"/>
          <w:szCs w:val="20"/>
          <w:lang w:eastAsia="en-US"/>
        </w:rPr>
        <w:t xml:space="preserve">principalmente </w:t>
      </w:r>
      <w:r w:rsidRPr="007759F0">
        <w:rPr>
          <w:rFonts w:ascii="HelveticaNeueLT Std" w:eastAsiaTheme="minorHAnsi" w:hAnsi="HelveticaNeueLT Std" w:cs="Arial"/>
          <w:sz w:val="20"/>
          <w:szCs w:val="20"/>
          <w:lang w:eastAsia="en-US"/>
        </w:rPr>
        <w:t xml:space="preserve">por: “Servicios Personales” (pagos de la nómina y sus colaterales) </w:t>
      </w:r>
      <w:r>
        <w:rPr>
          <w:rFonts w:ascii="HelveticaNeueLT Std" w:eastAsiaTheme="minorHAnsi" w:hAnsi="HelveticaNeueLT Std" w:cs="Arial"/>
          <w:sz w:val="20"/>
          <w:szCs w:val="20"/>
          <w:lang w:eastAsia="en-US"/>
        </w:rPr>
        <w:t>con un</w:t>
      </w:r>
      <w:r w:rsidRPr="007759F0">
        <w:rPr>
          <w:rFonts w:ascii="HelveticaNeueLT Std" w:eastAsiaTheme="minorHAnsi" w:hAnsi="HelveticaNeueLT Std" w:cs="Arial"/>
          <w:sz w:val="20"/>
          <w:szCs w:val="20"/>
          <w:lang w:eastAsia="en-US"/>
        </w:rPr>
        <w:t xml:space="preserve"> importe de </w:t>
      </w:r>
      <w:r>
        <w:rPr>
          <w:rFonts w:ascii="HelveticaNeueLT Std" w:eastAsiaTheme="minorHAnsi" w:hAnsi="HelveticaNeueLT Std" w:cs="Arial"/>
          <w:sz w:val="20"/>
          <w:szCs w:val="20"/>
          <w:lang w:eastAsia="en-US"/>
        </w:rPr>
        <w:t>12,522</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377</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 xml:space="preserve">39, que representa el 71.92 por ciento, el </w:t>
      </w:r>
      <w:r w:rsidRPr="007759F0">
        <w:rPr>
          <w:rFonts w:ascii="HelveticaNeueLT Std" w:eastAsiaTheme="minorHAnsi" w:hAnsi="HelveticaNeueLT Std" w:cs="Arial"/>
          <w:sz w:val="20"/>
          <w:szCs w:val="20"/>
          <w:lang w:eastAsia="en-US"/>
        </w:rPr>
        <w:t>concep</w:t>
      </w:r>
      <w:r>
        <w:rPr>
          <w:rFonts w:ascii="HelveticaNeueLT Std" w:eastAsiaTheme="minorHAnsi" w:hAnsi="HelveticaNeueLT Std" w:cs="Arial"/>
          <w:sz w:val="20"/>
          <w:szCs w:val="20"/>
          <w:lang w:eastAsia="en-US"/>
        </w:rPr>
        <w:t>to de “Materiales y Suministros” con un importe de 87,848.10 que representa 0.51 por ciento, en el concepto de “Servicios Generales” por 4,800</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351</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31</w:t>
      </w:r>
      <w:r w:rsidRPr="007759F0">
        <w:rPr>
          <w:rFonts w:ascii="HelveticaNeueLT Std" w:eastAsiaTheme="minorHAnsi" w:hAnsi="HelveticaNeueLT Std" w:cs="Arial"/>
          <w:sz w:val="20"/>
          <w:szCs w:val="20"/>
          <w:lang w:eastAsia="en-US"/>
        </w:rPr>
        <w:t xml:space="preserve"> </w:t>
      </w:r>
      <w:r>
        <w:rPr>
          <w:rFonts w:ascii="HelveticaNeueLT Std" w:eastAsiaTheme="minorHAnsi" w:hAnsi="HelveticaNeueLT Std" w:cs="Arial"/>
          <w:sz w:val="20"/>
          <w:szCs w:val="20"/>
          <w:lang w:eastAsia="en-US"/>
        </w:rPr>
        <w:t xml:space="preserve">que </w:t>
      </w:r>
      <w:r w:rsidRPr="007759F0">
        <w:rPr>
          <w:rFonts w:ascii="HelveticaNeueLT Std" w:eastAsiaTheme="minorHAnsi" w:hAnsi="HelveticaNeueLT Std" w:cs="Arial"/>
          <w:sz w:val="20"/>
          <w:szCs w:val="20"/>
          <w:lang w:eastAsia="en-US"/>
        </w:rPr>
        <w:t xml:space="preserve">representa el </w:t>
      </w:r>
      <w:r>
        <w:rPr>
          <w:rFonts w:ascii="HelveticaNeueLT Std" w:eastAsiaTheme="minorHAnsi" w:hAnsi="HelveticaNeueLT Std" w:cs="Arial"/>
          <w:sz w:val="20"/>
          <w:szCs w:val="20"/>
          <w:lang w:eastAsia="en-US"/>
        </w:rPr>
        <w:t>27</w:t>
      </w:r>
      <w:r w:rsidRPr="007759F0">
        <w:rPr>
          <w:rFonts w:ascii="HelveticaNeueLT Std" w:eastAsiaTheme="minorHAnsi" w:hAnsi="HelveticaNeueLT Std" w:cs="Arial"/>
          <w:sz w:val="20"/>
          <w:szCs w:val="20"/>
          <w:lang w:eastAsia="en-US"/>
        </w:rPr>
        <w:t>.</w:t>
      </w:r>
      <w:r>
        <w:rPr>
          <w:rFonts w:ascii="HelveticaNeueLT Std" w:eastAsiaTheme="minorHAnsi" w:hAnsi="HelveticaNeueLT Std" w:cs="Arial"/>
          <w:sz w:val="20"/>
          <w:szCs w:val="20"/>
          <w:lang w:eastAsia="en-US"/>
        </w:rPr>
        <w:t>57 por ciento. Este rubro presenta un saldo acumulado por 41,010,600.57.</w:t>
      </w:r>
    </w:p>
    <w:p w:rsidR="00BC5EAD" w:rsidRPr="00714562" w:rsidRDefault="00BC5EAD" w:rsidP="00BC5EAD">
      <w:pPr>
        <w:spacing w:after="0" w:line="276" w:lineRule="auto"/>
        <w:ind w:left="644" w:right="-1"/>
        <w:jc w:val="both"/>
        <w:rPr>
          <w:rFonts w:cs="Arial"/>
        </w:rPr>
      </w:pPr>
    </w:p>
    <w:p w:rsidR="00BC5EAD" w:rsidRDefault="00BC5EAD" w:rsidP="00BC5EAD">
      <w:pPr>
        <w:numPr>
          <w:ilvl w:val="0"/>
          <w:numId w:val="19"/>
        </w:numPr>
        <w:spacing w:after="0" w:line="276" w:lineRule="auto"/>
        <w:ind w:right="-1"/>
        <w:jc w:val="both"/>
        <w:rPr>
          <w:rFonts w:cs="Arial"/>
        </w:rPr>
      </w:pPr>
      <w:r w:rsidRPr="00DA5FD6">
        <w:rPr>
          <w:rFonts w:cs="Arial"/>
          <w:b/>
        </w:rPr>
        <w:t>Transferencias, Asignaciones, Subsidios y Otras Ayudas. -</w:t>
      </w:r>
      <w:r w:rsidRPr="00DA5FD6">
        <w:rPr>
          <w:rFonts w:cs="Arial"/>
        </w:rPr>
        <w:t xml:space="preserve"> Se observa en este mes </w:t>
      </w:r>
      <w:r>
        <w:rPr>
          <w:rFonts w:cs="Arial"/>
        </w:rPr>
        <w:t xml:space="preserve">164,740.89, por las devoluciones de Ingresos Indebidos. Presenta un saldo acumulado por 344,157.04. </w:t>
      </w:r>
    </w:p>
    <w:p w:rsidR="00BC5EAD" w:rsidRDefault="00BC5EAD" w:rsidP="00BC5EAD">
      <w:pPr>
        <w:pStyle w:val="Prrafodelista"/>
        <w:rPr>
          <w:rFonts w:cs="Arial"/>
        </w:rPr>
      </w:pPr>
    </w:p>
    <w:p w:rsidR="00BC5EAD" w:rsidRPr="00AA61F6" w:rsidRDefault="00BC5EAD" w:rsidP="00BC5EAD">
      <w:pPr>
        <w:numPr>
          <w:ilvl w:val="0"/>
          <w:numId w:val="19"/>
        </w:numPr>
        <w:spacing w:after="0" w:line="276" w:lineRule="auto"/>
        <w:ind w:right="-1"/>
        <w:jc w:val="both"/>
        <w:rPr>
          <w:rFonts w:cs="Arial"/>
        </w:rPr>
      </w:pPr>
      <w:r w:rsidRPr="00AA61F6">
        <w:rPr>
          <w:rFonts w:cs="Arial"/>
          <w:b/>
        </w:rPr>
        <w:t xml:space="preserve">Intereses, Comisiones y Otros Gastos de la Deuda Pública. - </w:t>
      </w:r>
      <w:r w:rsidR="00EA4BC9">
        <w:rPr>
          <w:rFonts w:cs="Arial"/>
        </w:rPr>
        <w:t xml:space="preserve">Se observa </w:t>
      </w:r>
      <w:r w:rsidRPr="00AA61F6">
        <w:rPr>
          <w:rFonts w:cs="Arial"/>
        </w:rPr>
        <w:t xml:space="preserve">un monto de </w:t>
      </w:r>
      <w:r>
        <w:rPr>
          <w:rFonts w:cs="Arial"/>
        </w:rPr>
        <w:t>98</w:t>
      </w:r>
      <w:r w:rsidRPr="00AA61F6">
        <w:rPr>
          <w:rFonts w:cs="Arial"/>
        </w:rPr>
        <w:t>,</w:t>
      </w:r>
      <w:r>
        <w:rPr>
          <w:rFonts w:cs="Arial"/>
        </w:rPr>
        <w:t>555</w:t>
      </w:r>
      <w:r w:rsidRPr="00AA61F6">
        <w:rPr>
          <w:rFonts w:cs="Arial"/>
        </w:rPr>
        <w:t>,</w:t>
      </w:r>
      <w:r>
        <w:rPr>
          <w:rFonts w:cs="Arial"/>
        </w:rPr>
        <w:t>436</w:t>
      </w:r>
      <w:r w:rsidRPr="00AA61F6">
        <w:rPr>
          <w:rFonts w:cs="Arial"/>
        </w:rPr>
        <w:t>.</w:t>
      </w:r>
      <w:r>
        <w:rPr>
          <w:rFonts w:cs="Arial"/>
        </w:rPr>
        <w:t>72</w:t>
      </w:r>
      <w:r w:rsidRPr="00AA61F6">
        <w:rPr>
          <w:rFonts w:cs="Arial"/>
        </w:rPr>
        <w:t>, que refleja</w:t>
      </w:r>
      <w:r>
        <w:rPr>
          <w:rFonts w:cs="Arial"/>
        </w:rPr>
        <w:t xml:space="preserve"> las transferencias al fiduciario para el pago de</w:t>
      </w:r>
      <w:r w:rsidRPr="00AA61F6">
        <w:rPr>
          <w:rFonts w:cs="Arial"/>
        </w:rPr>
        <w:t xml:space="preserve"> intereses de la deuda de los cupones serie “</w:t>
      </w:r>
      <w:r>
        <w:rPr>
          <w:rFonts w:cs="Arial"/>
        </w:rPr>
        <w:t>C</w:t>
      </w:r>
      <w:r w:rsidRPr="00AA61F6">
        <w:rPr>
          <w:rFonts w:cs="Arial"/>
        </w:rPr>
        <w:t>”.</w:t>
      </w:r>
      <w:r>
        <w:rPr>
          <w:rFonts w:cs="Arial"/>
        </w:rPr>
        <w:t xml:space="preserve"> Presenta un saldo acumulado total por 234, 415,921.11 de los cupones de las series “A”, “B” y “C”. </w:t>
      </w:r>
    </w:p>
    <w:p w:rsidR="00BC5EAD" w:rsidRPr="00C2579F" w:rsidRDefault="00BC5EAD" w:rsidP="00BC5EAD">
      <w:pPr>
        <w:spacing w:after="0" w:line="276" w:lineRule="auto"/>
        <w:ind w:left="644" w:right="-1"/>
        <w:jc w:val="both"/>
        <w:rPr>
          <w:rFonts w:cs="Arial"/>
        </w:rPr>
      </w:pPr>
      <w:r w:rsidRPr="00C2579F">
        <w:rPr>
          <w:rFonts w:cs="Arial"/>
        </w:rPr>
        <w:t xml:space="preserve"> </w:t>
      </w:r>
    </w:p>
    <w:p w:rsidR="00BC5EAD" w:rsidRDefault="00BC5EAD" w:rsidP="00BC5EAD">
      <w:pPr>
        <w:numPr>
          <w:ilvl w:val="0"/>
          <w:numId w:val="19"/>
        </w:numPr>
        <w:spacing w:after="0" w:line="276" w:lineRule="auto"/>
        <w:ind w:right="-1"/>
        <w:jc w:val="both"/>
        <w:rPr>
          <w:rFonts w:cs="Arial"/>
        </w:rPr>
      </w:pPr>
      <w:r w:rsidRPr="000E1289">
        <w:rPr>
          <w:rFonts w:cs="Arial"/>
          <w:b/>
        </w:rPr>
        <w:t>Otros Gastos y Pérdidas Extraordinarias</w:t>
      </w:r>
      <w:r w:rsidRPr="000E1289">
        <w:rPr>
          <w:rFonts w:cs="Arial"/>
        </w:rPr>
        <w:t>. - En est</w:t>
      </w:r>
      <w:r w:rsidR="00EA4BC9">
        <w:rPr>
          <w:rFonts w:cs="Arial"/>
        </w:rPr>
        <w:t xml:space="preserve">e renglón </w:t>
      </w:r>
      <w:r w:rsidRPr="000E1289">
        <w:rPr>
          <w:rFonts w:cs="Arial"/>
        </w:rPr>
        <w:t>se refleja la depreciación de bienes muebles e inmuebles</w:t>
      </w:r>
      <w:r>
        <w:rPr>
          <w:rFonts w:cs="Arial"/>
        </w:rPr>
        <w:t xml:space="preserve"> en el mes</w:t>
      </w:r>
      <w:r w:rsidRPr="000E1289">
        <w:rPr>
          <w:rFonts w:cs="Arial"/>
        </w:rPr>
        <w:t xml:space="preserve"> por la cantidad de </w:t>
      </w:r>
      <w:r>
        <w:rPr>
          <w:rFonts w:cs="Arial"/>
        </w:rPr>
        <w:t>880</w:t>
      </w:r>
      <w:r w:rsidRPr="000E1289">
        <w:rPr>
          <w:rFonts w:cs="Arial"/>
        </w:rPr>
        <w:t>,</w:t>
      </w:r>
      <w:r>
        <w:rPr>
          <w:rFonts w:cs="Arial"/>
        </w:rPr>
        <w:t>113</w:t>
      </w:r>
      <w:r w:rsidRPr="000E1289">
        <w:rPr>
          <w:rFonts w:cs="Arial"/>
        </w:rPr>
        <w:t>.</w:t>
      </w:r>
      <w:r>
        <w:rPr>
          <w:rFonts w:cs="Arial"/>
        </w:rPr>
        <w:t>98</w:t>
      </w:r>
      <w:r w:rsidRPr="000E1289">
        <w:rPr>
          <w:rFonts w:cs="Arial"/>
        </w:rPr>
        <w:t>,</w:t>
      </w:r>
      <w:r>
        <w:rPr>
          <w:rFonts w:cs="Arial"/>
        </w:rPr>
        <w:t xml:space="preserve"> con </w:t>
      </w:r>
      <w:r w:rsidR="00EA4BC9">
        <w:rPr>
          <w:rFonts w:cs="Arial"/>
        </w:rPr>
        <w:t>un saldo al mes</w:t>
      </w:r>
      <w:r>
        <w:rPr>
          <w:rFonts w:cs="Arial"/>
        </w:rPr>
        <w:t xml:space="preserve"> de 2, 811,159.22. Presenta un saldo acumulado total por 5, 275,643.97</w:t>
      </w:r>
      <w:r w:rsidR="00E708E5">
        <w:rPr>
          <w:rFonts w:cs="Arial"/>
        </w:rPr>
        <w:t>, de los cuales en Otros Gastos</w:t>
      </w:r>
      <w:r w:rsidR="00E708E5" w:rsidRPr="000E1289">
        <w:rPr>
          <w:rFonts w:cs="Arial"/>
        </w:rPr>
        <w:t xml:space="preserve"> un importe de 2,464,484.75, por la devolución de los remanentes del PAD del ejercicio 2019, al Gobierno del Estado de México</w:t>
      </w:r>
      <w:r w:rsidR="00E708E5">
        <w:rPr>
          <w:rFonts w:cs="Arial"/>
        </w:rPr>
        <w:t>.</w:t>
      </w:r>
    </w:p>
    <w:p w:rsidR="00BC5EAD" w:rsidRPr="000E1289" w:rsidRDefault="00BC5EAD" w:rsidP="00BC5EAD">
      <w:pPr>
        <w:spacing w:after="0" w:line="276" w:lineRule="auto"/>
        <w:ind w:right="-1"/>
        <w:jc w:val="both"/>
        <w:rPr>
          <w:rFonts w:cs="Arial"/>
        </w:rPr>
      </w:pPr>
    </w:p>
    <w:p w:rsidR="00BC5EAD" w:rsidRPr="0096540A" w:rsidRDefault="00BC5EAD" w:rsidP="00BC5EAD">
      <w:pPr>
        <w:spacing w:after="0" w:line="276" w:lineRule="auto"/>
        <w:ind w:left="644" w:right="-1"/>
        <w:jc w:val="both"/>
        <w:rPr>
          <w:rFonts w:cs="Arial"/>
          <w:sz w:val="2"/>
        </w:rPr>
      </w:pPr>
    </w:p>
    <w:p w:rsidR="00BC5EAD" w:rsidRDefault="00BC5EAD" w:rsidP="00BC5EAD">
      <w:pPr>
        <w:numPr>
          <w:ilvl w:val="0"/>
          <w:numId w:val="19"/>
        </w:numPr>
        <w:spacing w:after="0" w:line="276" w:lineRule="auto"/>
        <w:ind w:right="-1"/>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w:t>
      </w:r>
      <w:r>
        <w:rPr>
          <w:rFonts w:cs="Arial"/>
        </w:rPr>
        <w:t xml:space="preserve"> PAD del</w:t>
      </w:r>
      <w:r w:rsidRPr="00867EA8">
        <w:rPr>
          <w:rFonts w:cs="Arial"/>
        </w:rPr>
        <w:t xml:space="preserve"> Programa </w:t>
      </w:r>
      <w:r>
        <w:rPr>
          <w:rFonts w:cs="Arial"/>
        </w:rPr>
        <w:t xml:space="preserve">de Regularización de Tenencia de la Tierra, por la cantidad de 2, 508,254.51. Presenta un saldo acumulado por 7,412,962.21. </w:t>
      </w:r>
      <w:r>
        <w:t xml:space="preserve"> </w:t>
      </w:r>
    </w:p>
    <w:p w:rsidR="00BC5EAD" w:rsidRDefault="00BC5EAD" w:rsidP="00BC5EAD">
      <w:pPr>
        <w:spacing w:after="0" w:line="276" w:lineRule="auto"/>
        <w:ind w:right="-1"/>
        <w:jc w:val="both"/>
      </w:pPr>
    </w:p>
    <w:p w:rsidR="00BC5EAD" w:rsidRPr="004E4FE2" w:rsidRDefault="00BC5EAD" w:rsidP="00BC5EAD">
      <w:pPr>
        <w:numPr>
          <w:ilvl w:val="0"/>
          <w:numId w:val="6"/>
        </w:numPr>
        <w:spacing w:before="240" w:after="240" w:line="276" w:lineRule="auto"/>
        <w:ind w:right="-1"/>
        <w:contextualSpacing/>
        <w:outlineLvl w:val="0"/>
        <w:rPr>
          <w:rFonts w:eastAsia="Times New Roman" w:cs="Arial"/>
          <w:b/>
          <w:lang w:eastAsia="es-MX"/>
        </w:rPr>
      </w:pPr>
      <w:r w:rsidRPr="004E4FE2">
        <w:rPr>
          <w:rFonts w:eastAsia="Times New Roman" w:cs="Arial"/>
          <w:b/>
          <w:lang w:eastAsia="es-MX"/>
        </w:rPr>
        <w:t>NOTAS AL ESTADO DE VARIACIONES EN LA HACIENDA PÚBLICA/PATRIMONIO</w:t>
      </w:r>
    </w:p>
    <w:p w:rsidR="00BC5EAD" w:rsidRPr="0020562B" w:rsidRDefault="00BC5EAD" w:rsidP="00BC5EAD">
      <w:pPr>
        <w:spacing w:before="240" w:after="240" w:line="276" w:lineRule="auto"/>
        <w:ind w:left="1068" w:right="-1"/>
        <w:contextualSpacing/>
        <w:outlineLvl w:val="0"/>
        <w:rPr>
          <w:rFonts w:eastAsia="Times New Roman" w:cs="Arial"/>
          <w:b/>
          <w:lang w:eastAsia="es-MX"/>
        </w:rPr>
      </w:pPr>
    </w:p>
    <w:p w:rsidR="00BC5EAD" w:rsidRDefault="00BC5EAD" w:rsidP="00BC5EAD">
      <w:pPr>
        <w:spacing w:line="276" w:lineRule="auto"/>
        <w:ind w:right="-1"/>
        <w:jc w:val="both"/>
        <w:outlineLvl w:val="0"/>
        <w:rPr>
          <w:rFonts w:cs="Arial"/>
        </w:rPr>
      </w:pPr>
      <w:r w:rsidRPr="00DA5FD6">
        <w:rPr>
          <w:rFonts w:cs="Arial"/>
          <w:b/>
        </w:rPr>
        <w:t xml:space="preserve">Hacienda </w:t>
      </w:r>
      <w:r>
        <w:rPr>
          <w:rFonts w:cs="Arial"/>
          <w:b/>
        </w:rPr>
        <w:t>Pública/Patrimonio Contribuido</w:t>
      </w:r>
      <w:r w:rsidRPr="00DA5FD6">
        <w:rPr>
          <w:rFonts w:cs="Arial"/>
          <w:b/>
        </w:rPr>
        <w:t>. -</w:t>
      </w:r>
      <w:r w:rsidRPr="00DA5FD6">
        <w:rPr>
          <w:rFonts w:cs="Arial"/>
        </w:rPr>
        <w:t xml:space="preserve"> En el Estado de Variaciones en la Hacienda Pública, el patrimonio contribuido</w:t>
      </w:r>
      <w:r>
        <w:rPr>
          <w:rFonts w:cs="Arial"/>
        </w:rPr>
        <w:t xml:space="preserve"> neto de 2019</w:t>
      </w:r>
      <w:r w:rsidRPr="00DA5FD6">
        <w:rPr>
          <w:rFonts w:cs="Arial"/>
        </w:rPr>
        <w:t xml:space="preserve"> del Instituto </w:t>
      </w:r>
      <w:r>
        <w:rPr>
          <w:rFonts w:cs="Arial"/>
        </w:rPr>
        <w:t xml:space="preserve">por la cantidad de </w:t>
      </w:r>
      <w:r w:rsidRPr="000E1289">
        <w:rPr>
          <w:rFonts w:cs="Arial"/>
        </w:rPr>
        <w:t>2,410,250.11</w:t>
      </w:r>
      <w:r>
        <w:rPr>
          <w:rFonts w:cs="Arial"/>
        </w:rPr>
        <w:t xml:space="preserve"> </w:t>
      </w:r>
      <w:r w:rsidRPr="00DA5FD6">
        <w:rPr>
          <w:rFonts w:cs="Arial"/>
        </w:rPr>
        <w:t xml:space="preserve">se </w:t>
      </w:r>
      <w:r>
        <w:rPr>
          <w:rFonts w:cs="Arial"/>
        </w:rPr>
        <w:t>conserva</w:t>
      </w:r>
      <w:r w:rsidRPr="00DA5FD6">
        <w:rPr>
          <w:rFonts w:cs="Arial"/>
        </w:rPr>
        <w:t xml:space="preserve"> por las aportaciones de</w:t>
      </w:r>
      <w:r>
        <w:rPr>
          <w:rFonts w:cs="Arial"/>
        </w:rPr>
        <w:t>l Gobierno del Estado de México.</w:t>
      </w:r>
    </w:p>
    <w:p w:rsidR="00BC5EAD" w:rsidRPr="00963F7E" w:rsidRDefault="00BC5EAD" w:rsidP="00BC5EAD">
      <w:pPr>
        <w:spacing w:line="276" w:lineRule="auto"/>
        <w:ind w:right="-1"/>
        <w:jc w:val="both"/>
        <w:outlineLvl w:val="0"/>
        <w:rPr>
          <w:rFonts w:cs="Arial"/>
        </w:rPr>
      </w:pPr>
      <w:r w:rsidRPr="00963F7E">
        <w:rPr>
          <w:rFonts w:cs="Arial"/>
          <w:b/>
        </w:rPr>
        <w:t>Hacienda Pública / Patrimonio Generado de Ejercicios Anteriores. -</w:t>
      </w:r>
      <w:r>
        <w:rPr>
          <w:rFonts w:cs="Arial"/>
          <w:b/>
        </w:rPr>
        <w:t xml:space="preserve"> </w:t>
      </w:r>
      <w:r>
        <w:rPr>
          <w:rFonts w:cs="Arial"/>
        </w:rPr>
        <w:t xml:space="preserve">En este mes se detecta que el Patrimonio Neto Final es de </w:t>
      </w:r>
      <w:r w:rsidRPr="00963F7E">
        <w:rPr>
          <w:rFonts w:cs="Arial"/>
        </w:rPr>
        <w:t>5,974,321.01</w:t>
      </w:r>
      <w:r>
        <w:rPr>
          <w:rFonts w:cs="Arial"/>
        </w:rPr>
        <w:t>, por los Resultados de Ejercicios Anteriores.</w:t>
      </w:r>
    </w:p>
    <w:p w:rsidR="00BC5EAD" w:rsidRDefault="00BC5EAD" w:rsidP="00BC5EAD">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del Ejercicio, un </w:t>
      </w:r>
      <w:r>
        <w:rPr>
          <w:rFonts w:cs="Arial"/>
        </w:rPr>
        <w:t>ahorro por 285</w:t>
      </w:r>
      <w:r w:rsidRPr="000F2F11">
        <w:rPr>
          <w:rFonts w:cs="Arial"/>
        </w:rPr>
        <w:t xml:space="preserve">,088,353.05, </w:t>
      </w:r>
      <w:r w:rsidRPr="00DA5FD6">
        <w:rPr>
          <w:rFonts w:cs="Arial"/>
        </w:rPr>
        <w:t xml:space="preserve">debido principalmente a </w:t>
      </w:r>
      <w:r>
        <w:rPr>
          <w:rFonts w:cs="Arial"/>
        </w:rPr>
        <w:t>que los ingresos generados son mayores que los gastos de acuerdo con el estado de actividades</w:t>
      </w:r>
      <w:r w:rsidRPr="00DA5FD6">
        <w:rPr>
          <w:rFonts w:cs="Arial"/>
        </w:rPr>
        <w:t>.</w:t>
      </w:r>
    </w:p>
    <w:p w:rsidR="00BC5EAD" w:rsidRDefault="00BC5EAD" w:rsidP="00BC5EAD">
      <w:pPr>
        <w:spacing w:line="259" w:lineRule="auto"/>
        <w:rPr>
          <w:rFonts w:cs="Arial"/>
        </w:rPr>
      </w:pPr>
      <w:r>
        <w:rPr>
          <w:rFonts w:cs="Arial"/>
        </w:rPr>
        <w:br w:type="page"/>
      </w:r>
    </w:p>
    <w:p w:rsidR="00BC5EAD" w:rsidRPr="00654CCB" w:rsidRDefault="00BC5EAD" w:rsidP="00B044E8">
      <w:pPr>
        <w:numPr>
          <w:ilvl w:val="0"/>
          <w:numId w:val="6"/>
        </w:numPr>
        <w:spacing w:before="240" w:after="240" w:line="276" w:lineRule="auto"/>
        <w:ind w:right="-1"/>
        <w:contextualSpacing/>
        <w:outlineLvl w:val="0"/>
        <w:rPr>
          <w:rFonts w:eastAsia="Times New Roman" w:cs="Arial"/>
          <w:b/>
          <w:lang w:eastAsia="es-MX"/>
        </w:rPr>
      </w:pPr>
      <w:r w:rsidRPr="00654CCB">
        <w:rPr>
          <w:rFonts w:eastAsia="Times New Roman" w:cs="Arial"/>
          <w:b/>
          <w:lang w:eastAsia="es-MX"/>
        </w:rPr>
        <w:lastRenderedPageBreak/>
        <w:t>NOTAS AL ESTADO DE FLUJOS DE EFECTIVO</w:t>
      </w:r>
    </w:p>
    <w:p w:rsidR="00BC5EAD" w:rsidRDefault="00BC5EAD" w:rsidP="00BC5EAD">
      <w:pPr>
        <w:spacing w:line="276" w:lineRule="auto"/>
        <w:ind w:right="-1"/>
        <w:jc w:val="both"/>
        <w:rPr>
          <w:rFonts w:cs="Arial"/>
        </w:rPr>
      </w:pPr>
      <w:r w:rsidRPr="00857F85">
        <w:rPr>
          <w:rFonts w:cs="Arial"/>
        </w:rPr>
        <w:t>En este Estado se observa lo siguiente:</w:t>
      </w:r>
    </w:p>
    <w:p w:rsidR="00BC5EAD" w:rsidRPr="00857F85" w:rsidRDefault="00BC5EAD" w:rsidP="00BC5EAD">
      <w:pPr>
        <w:spacing w:line="276" w:lineRule="auto"/>
        <w:ind w:right="-1"/>
        <w:jc w:val="center"/>
      </w:pPr>
      <w:r w:rsidRPr="00020D9E">
        <w:rPr>
          <w:noProof/>
          <w:lang w:eastAsia="es-MX"/>
        </w:rPr>
        <w:drawing>
          <wp:inline distT="0" distB="0" distL="0" distR="0" wp14:anchorId="0BC79EF0" wp14:editId="042909D9">
            <wp:extent cx="5045710" cy="1309370"/>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5710" cy="1309370"/>
                    </a:xfrm>
                    <a:prstGeom prst="rect">
                      <a:avLst/>
                    </a:prstGeom>
                    <a:noFill/>
                    <a:ln>
                      <a:noFill/>
                    </a:ln>
                  </pic:spPr>
                </pic:pic>
              </a:graphicData>
            </a:graphic>
          </wp:inline>
        </w:drawing>
      </w:r>
    </w:p>
    <w:p w:rsidR="00BC5EAD" w:rsidRDefault="00BC5EAD" w:rsidP="00BC5EAD">
      <w:pPr>
        <w:spacing w:line="276" w:lineRule="auto"/>
        <w:ind w:right="-1"/>
        <w:jc w:val="center"/>
        <w:rPr>
          <w:noProof/>
          <w:color w:val="FF0000"/>
          <w:lang w:eastAsia="es-MX"/>
        </w:rPr>
      </w:pPr>
    </w:p>
    <w:p w:rsidR="00BC5EAD" w:rsidRDefault="00BC5EAD" w:rsidP="00BC5EAD">
      <w:pPr>
        <w:spacing w:line="276" w:lineRule="auto"/>
        <w:ind w:right="-1"/>
        <w:jc w:val="both"/>
      </w:pPr>
      <w:r w:rsidRPr="00857F85">
        <w:t>La Conciliación de los Flujos de Efectivo Netos de las Actividades de Operación y la cuenta de Ahorro/Desahorro antes de Rubros Extraordinarios, queda como sigue:</w:t>
      </w:r>
    </w:p>
    <w:p w:rsidR="00BC5EAD" w:rsidRDefault="00BC5EAD" w:rsidP="00BC5EAD">
      <w:pPr>
        <w:spacing w:line="276" w:lineRule="auto"/>
        <w:ind w:right="-1"/>
        <w:jc w:val="center"/>
      </w:pPr>
      <w:r w:rsidRPr="00020D9E">
        <w:rPr>
          <w:noProof/>
          <w:lang w:eastAsia="es-MX"/>
        </w:rPr>
        <w:drawing>
          <wp:inline distT="0" distB="0" distL="0" distR="0" wp14:anchorId="356B8733" wp14:editId="792E804C">
            <wp:extent cx="5045710" cy="3269615"/>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5710" cy="3269615"/>
                    </a:xfrm>
                    <a:prstGeom prst="rect">
                      <a:avLst/>
                    </a:prstGeom>
                    <a:noFill/>
                    <a:ln>
                      <a:noFill/>
                    </a:ln>
                  </pic:spPr>
                </pic:pic>
              </a:graphicData>
            </a:graphic>
          </wp:inline>
        </w:drawing>
      </w:r>
    </w:p>
    <w:p w:rsidR="00BC5EAD" w:rsidRDefault="00BC5EAD" w:rsidP="00BC5EAD">
      <w:pPr>
        <w:spacing w:line="276" w:lineRule="auto"/>
        <w:ind w:right="-1"/>
        <w:jc w:val="center"/>
      </w:pPr>
    </w:p>
    <w:p w:rsidR="00BC5EAD" w:rsidRDefault="00BC5EAD" w:rsidP="00BC5EAD">
      <w:pPr>
        <w:spacing w:line="276" w:lineRule="auto"/>
        <w:ind w:right="-1"/>
        <w:jc w:val="both"/>
        <w:rPr>
          <w:rFonts w:cs="Arial"/>
        </w:rPr>
      </w:pPr>
      <w:r w:rsidRPr="00857F85">
        <w:rPr>
          <w:rFonts w:cs="Arial"/>
        </w:rPr>
        <w:t xml:space="preserve">El efectivo y equivalentes en este mes para que el Instituto de la Función Registral del Estado de México cubra sus obligaciones de pago, fue de </w:t>
      </w:r>
      <w:r w:rsidRPr="00654CCB">
        <w:rPr>
          <w:rFonts w:cs="Arial"/>
        </w:rPr>
        <w:t>2</w:t>
      </w:r>
      <w:r>
        <w:rPr>
          <w:rFonts w:cs="Arial"/>
        </w:rPr>
        <w:t>21</w:t>
      </w:r>
      <w:r w:rsidRPr="00654CCB">
        <w:rPr>
          <w:rFonts w:cs="Arial"/>
        </w:rPr>
        <w:t>,</w:t>
      </w:r>
      <w:r>
        <w:rPr>
          <w:rFonts w:cs="Arial"/>
        </w:rPr>
        <w:t xml:space="preserve"> 380,455.53.</w:t>
      </w:r>
    </w:p>
    <w:p w:rsidR="00BC5EAD" w:rsidRDefault="00BC5EAD">
      <w:pPr>
        <w:spacing w:line="259" w:lineRule="auto"/>
        <w:rPr>
          <w:rFonts w:cs="Arial"/>
        </w:rPr>
      </w:pPr>
      <w:r>
        <w:rPr>
          <w:rFonts w:cs="Arial"/>
        </w:rPr>
        <w:br w:type="page"/>
      </w:r>
    </w:p>
    <w:p w:rsidR="00E6053E" w:rsidRDefault="00E6053E">
      <w:pPr>
        <w:spacing w:line="259" w:lineRule="auto"/>
        <w:rPr>
          <w:rFonts w:cs="Arial"/>
        </w:rPr>
      </w:pPr>
    </w:p>
    <w:p w:rsidR="00BC5EAD" w:rsidRPr="004E600D" w:rsidRDefault="00BC5EAD" w:rsidP="00BC5EAD">
      <w:pPr>
        <w:numPr>
          <w:ilvl w:val="0"/>
          <w:numId w:val="29"/>
        </w:numPr>
        <w:spacing w:before="240" w:after="240" w:line="276" w:lineRule="auto"/>
        <w:ind w:right="-1"/>
        <w:contextualSpacing/>
        <w:outlineLvl w:val="0"/>
        <w:rPr>
          <w:rFonts w:eastAsia="Calibri" w:cs="Arial"/>
          <w:b/>
        </w:rPr>
      </w:pPr>
      <w:r w:rsidRPr="004E600D">
        <w:rPr>
          <w:rFonts w:eastAsia="Times New Roman" w:cs="Arial"/>
          <w:b/>
          <w:lang w:eastAsia="es-MX"/>
        </w:rPr>
        <w:t>CONCILIACIÓN ENTRE LOS INGRESOS PRESUPUESTARIOS Y CONTABLES, ASÍ COMO ENTRE LOS EGRESOS PRESUPUESTARIOS Y LOS GASTOS CONTABLES:</w:t>
      </w:r>
    </w:p>
    <w:p w:rsidR="00BC5EAD" w:rsidRDefault="00BC5EAD" w:rsidP="00BC5EAD">
      <w:pPr>
        <w:spacing w:line="259" w:lineRule="auto"/>
        <w:rPr>
          <w:rFonts w:cs="Arial"/>
        </w:rPr>
      </w:pPr>
    </w:p>
    <w:p w:rsidR="00BC5EAD" w:rsidRDefault="00BC5EAD" w:rsidP="00BC5EAD">
      <w:pPr>
        <w:spacing w:line="276" w:lineRule="auto"/>
        <w:ind w:right="-1"/>
        <w:jc w:val="both"/>
        <w:rPr>
          <w:rFonts w:cs="Arial"/>
        </w:rPr>
      </w:pPr>
      <w:r w:rsidRPr="00F64849">
        <w:rPr>
          <w:noProof/>
          <w:lang w:eastAsia="es-MX"/>
        </w:rPr>
        <w:drawing>
          <wp:inline distT="0" distB="0" distL="0" distR="0" wp14:anchorId="1DC0ED1B" wp14:editId="0D54D896">
            <wp:extent cx="6276975" cy="3857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6975" cy="3857625"/>
                    </a:xfrm>
                    <a:prstGeom prst="rect">
                      <a:avLst/>
                    </a:prstGeom>
                    <a:noFill/>
                    <a:ln>
                      <a:noFill/>
                    </a:ln>
                  </pic:spPr>
                </pic:pic>
              </a:graphicData>
            </a:graphic>
          </wp:inline>
        </w:drawing>
      </w:r>
    </w:p>
    <w:p w:rsidR="00BC5EAD" w:rsidRPr="004B60E1" w:rsidRDefault="00BC5EAD" w:rsidP="00BC5EAD">
      <w:pPr>
        <w:tabs>
          <w:tab w:val="left" w:pos="1545"/>
        </w:tabs>
        <w:spacing w:line="360" w:lineRule="auto"/>
        <w:rPr>
          <w:rFonts w:eastAsia="Calibri" w:cs="Arial"/>
        </w:rPr>
      </w:pPr>
    </w:p>
    <w:p w:rsidR="00BC5EAD" w:rsidRDefault="00BC5EAD" w:rsidP="00BC5EAD">
      <w:pPr>
        <w:tabs>
          <w:tab w:val="left" w:pos="1545"/>
        </w:tabs>
        <w:spacing w:line="360" w:lineRule="auto"/>
        <w:jc w:val="both"/>
        <w:rPr>
          <w:rFonts w:eastAsia="Calibri" w:cs="Arial"/>
        </w:rPr>
      </w:pPr>
      <w:r w:rsidRPr="004B60E1">
        <w:rPr>
          <w:rFonts w:eastAsia="Calibri" w:cs="Arial"/>
          <w:b/>
        </w:rPr>
        <w:t>Conciliación entre los Ingr</w:t>
      </w:r>
      <w:r>
        <w:rPr>
          <w:rFonts w:eastAsia="Calibri" w:cs="Arial"/>
          <w:b/>
        </w:rPr>
        <w:t xml:space="preserve">esos Presupuestarios y Contable.- </w:t>
      </w:r>
      <w:r w:rsidRPr="00F64849">
        <w:rPr>
          <w:rFonts w:eastAsia="Calibri" w:cs="Arial"/>
        </w:rPr>
        <w:t>En el renglón de Otros Ingresos Presupuestarios no Contables; se integran de $173,977,046.5 para el pago de Amortización de Capital de los Certificados Bursátiles Series "A" , "B" y subordinada "C" correspondientes</w:t>
      </w:r>
      <w:r w:rsidR="007F5F3F">
        <w:rPr>
          <w:rFonts w:eastAsia="Calibri" w:cs="Arial"/>
        </w:rPr>
        <w:t xml:space="preserve"> al primer periodo del</w:t>
      </w:r>
      <w:r w:rsidRPr="00F64849">
        <w:rPr>
          <w:rFonts w:eastAsia="Calibri" w:cs="Arial"/>
        </w:rPr>
        <w:t xml:space="preserve"> presente ejercicio del 2020.</w:t>
      </w:r>
    </w:p>
    <w:p w:rsidR="00BC5EAD" w:rsidRDefault="00BC5EAD" w:rsidP="00BC5EAD">
      <w:pPr>
        <w:spacing w:line="259" w:lineRule="auto"/>
        <w:rPr>
          <w:rFonts w:eastAsia="Calibri" w:cs="Arial"/>
        </w:rPr>
      </w:pPr>
      <w:r>
        <w:rPr>
          <w:rFonts w:eastAsia="Calibri" w:cs="Arial"/>
        </w:rPr>
        <w:br w:type="page"/>
      </w:r>
    </w:p>
    <w:p w:rsidR="00BC5EAD" w:rsidRDefault="007F5F3F" w:rsidP="00BC5EAD">
      <w:pPr>
        <w:tabs>
          <w:tab w:val="left" w:pos="1545"/>
        </w:tabs>
        <w:spacing w:line="360" w:lineRule="auto"/>
        <w:jc w:val="center"/>
        <w:rPr>
          <w:rFonts w:cs="Arial"/>
        </w:rPr>
      </w:pPr>
      <w:r w:rsidRPr="007F5F3F">
        <w:rPr>
          <w:noProof/>
          <w:lang w:eastAsia="es-MX"/>
        </w:rPr>
        <w:lastRenderedPageBreak/>
        <w:drawing>
          <wp:inline distT="0" distB="0" distL="0" distR="0">
            <wp:extent cx="5643245" cy="5865584"/>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5672" cy="5878500"/>
                    </a:xfrm>
                    <a:prstGeom prst="rect">
                      <a:avLst/>
                    </a:prstGeom>
                    <a:noFill/>
                    <a:ln>
                      <a:noFill/>
                    </a:ln>
                  </pic:spPr>
                </pic:pic>
              </a:graphicData>
            </a:graphic>
          </wp:inline>
        </w:drawing>
      </w:r>
    </w:p>
    <w:p w:rsidR="007F5F3F" w:rsidRDefault="00BC5EAD" w:rsidP="00BC5EAD">
      <w:pPr>
        <w:tabs>
          <w:tab w:val="left" w:pos="1215"/>
        </w:tabs>
        <w:jc w:val="both"/>
        <w:rPr>
          <w:rFonts w:eastAsia="Calibri" w:cs="Arial"/>
        </w:rPr>
      </w:pPr>
      <w:r w:rsidRPr="004B60E1">
        <w:rPr>
          <w:rFonts w:eastAsia="Calibri" w:cs="Arial"/>
          <w:b/>
        </w:rPr>
        <w:t>Conciliación entre los Egresos Presupuestarios y los Gastos Contables</w:t>
      </w:r>
      <w:r>
        <w:rPr>
          <w:rFonts w:eastAsia="Calibri" w:cs="Arial"/>
          <w:b/>
        </w:rPr>
        <w:t>.-</w:t>
      </w:r>
      <w:r w:rsidRPr="004B60E1">
        <w:rPr>
          <w:rFonts w:eastAsia="Calibri" w:cs="Arial"/>
        </w:rPr>
        <w:t xml:space="preserve"> </w:t>
      </w:r>
      <w:r w:rsidRPr="00F64849">
        <w:rPr>
          <w:rFonts w:eastAsia="Calibri" w:cs="Arial"/>
        </w:rPr>
        <w:t>El renglón de Otros Egresos Presupuestales No Contables de 328,192,889.35, se integra  de: 198,454,697.84 de las Transferencias al Fideicomiso de Cobranza,  28,527,654.29 del saldo de los recursos por el Programa de Acciones para el Desarrollo en el proyecto de Regularización de la Tenencia de Tierra y 8,747,210.20 que es el recurso comprometido de acuerdo al Avance Presupuestal al mes que se analiza. En el rubro de Otros Gastos Contables No Presupuestales el importe de 2,464,484.75 de los remanentes del Programa de Regularización de Tenencia de la Tierra 2019, que incluye los intereses generados.</w:t>
      </w:r>
    </w:p>
    <w:p w:rsidR="00E6053E" w:rsidRPr="00F06B7D" w:rsidRDefault="00E6053E" w:rsidP="00E6053E">
      <w:pPr>
        <w:numPr>
          <w:ilvl w:val="0"/>
          <w:numId w:val="5"/>
        </w:numPr>
        <w:tabs>
          <w:tab w:val="left" w:pos="3836"/>
        </w:tabs>
        <w:spacing w:after="0" w:line="276" w:lineRule="auto"/>
        <w:ind w:right="-1"/>
        <w:contextualSpacing/>
        <w:outlineLvl w:val="0"/>
        <w:rPr>
          <w:rFonts w:eastAsia="Times New Roman" w:cs="Arial"/>
          <w:b/>
          <w:lang w:eastAsia="es-MX"/>
        </w:rPr>
      </w:pPr>
      <w:r w:rsidRPr="00F06B7D">
        <w:rPr>
          <w:rFonts w:eastAsia="Times New Roman" w:cs="Arial"/>
          <w:b/>
          <w:lang w:eastAsia="es-MX"/>
        </w:rPr>
        <w:lastRenderedPageBreak/>
        <w:t>NOTAS DE MEMORIA (CUENTAS DE ORDEN)</w:t>
      </w:r>
    </w:p>
    <w:p w:rsidR="00E6053E" w:rsidRPr="00E07F00" w:rsidRDefault="00E6053E" w:rsidP="00E6053E">
      <w:pPr>
        <w:tabs>
          <w:tab w:val="left" w:pos="3836"/>
        </w:tabs>
        <w:spacing w:after="0" w:line="276" w:lineRule="auto"/>
        <w:ind w:left="714" w:right="-1"/>
        <w:contextualSpacing/>
        <w:outlineLvl w:val="0"/>
        <w:rPr>
          <w:rFonts w:eastAsia="Times New Roman" w:cs="Arial"/>
          <w:b/>
          <w:lang w:eastAsia="es-MX"/>
        </w:rPr>
      </w:pPr>
    </w:p>
    <w:p w:rsidR="00E6053E" w:rsidRDefault="00E6053E" w:rsidP="00E6053E">
      <w:pPr>
        <w:tabs>
          <w:tab w:val="left" w:pos="8064"/>
        </w:tabs>
        <w:spacing w:line="276" w:lineRule="auto"/>
        <w:ind w:right="-1"/>
        <w:jc w:val="both"/>
        <w:outlineLvl w:val="0"/>
        <w:rPr>
          <w:rFonts w:cs="Arial"/>
        </w:rPr>
      </w:pPr>
      <w:r w:rsidRPr="00E07F00">
        <w:rPr>
          <w:rFonts w:cs="Arial"/>
        </w:rPr>
        <w:t>Las Cuentas de Orden Contables y Presupuestarias se integran de la siguiente forma:</w:t>
      </w:r>
      <w:r>
        <w:rPr>
          <w:rFonts w:cs="Arial"/>
        </w:rPr>
        <w:tab/>
      </w:r>
    </w:p>
    <w:p w:rsidR="00E6053E" w:rsidRDefault="00E6053E" w:rsidP="00E6053E">
      <w:pPr>
        <w:tabs>
          <w:tab w:val="left" w:pos="8064"/>
        </w:tabs>
        <w:spacing w:line="276" w:lineRule="auto"/>
        <w:ind w:right="-1"/>
        <w:jc w:val="both"/>
        <w:outlineLvl w:val="0"/>
        <w:rPr>
          <w:rFonts w:cs="Arial"/>
        </w:rPr>
      </w:pPr>
      <w:r w:rsidRPr="00C928D2">
        <w:rPr>
          <w:noProof/>
          <w:lang w:eastAsia="es-MX"/>
        </w:rPr>
        <w:drawing>
          <wp:inline distT="0" distB="0" distL="0" distR="0" wp14:anchorId="05DD7AE7" wp14:editId="1CC09755">
            <wp:extent cx="6386830" cy="14173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2246" cy="1420741"/>
                    </a:xfrm>
                    <a:prstGeom prst="rect">
                      <a:avLst/>
                    </a:prstGeom>
                    <a:noFill/>
                    <a:ln>
                      <a:noFill/>
                    </a:ln>
                  </pic:spPr>
                </pic:pic>
              </a:graphicData>
            </a:graphic>
          </wp:inline>
        </w:drawing>
      </w:r>
    </w:p>
    <w:p w:rsidR="00E6053E" w:rsidRDefault="00E6053E" w:rsidP="00E6053E">
      <w:pPr>
        <w:tabs>
          <w:tab w:val="left" w:pos="8064"/>
        </w:tabs>
        <w:spacing w:line="276" w:lineRule="auto"/>
        <w:ind w:right="-1"/>
        <w:jc w:val="both"/>
        <w:outlineLvl w:val="0"/>
        <w:rPr>
          <w:rFonts w:cs="Arial"/>
        </w:rPr>
      </w:pPr>
      <w:r w:rsidRPr="00C928D2">
        <w:rPr>
          <w:noProof/>
          <w:lang w:eastAsia="es-MX"/>
        </w:rPr>
        <w:drawing>
          <wp:inline distT="0" distB="0" distL="0" distR="0" wp14:anchorId="237A6030" wp14:editId="28C8CFC8">
            <wp:extent cx="6388100" cy="50139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5572" cy="5019825"/>
                    </a:xfrm>
                    <a:prstGeom prst="rect">
                      <a:avLst/>
                    </a:prstGeom>
                    <a:noFill/>
                    <a:ln>
                      <a:noFill/>
                    </a:ln>
                  </pic:spPr>
                </pic:pic>
              </a:graphicData>
            </a:graphic>
          </wp:inline>
        </w:drawing>
      </w:r>
    </w:p>
    <w:p w:rsidR="00E6053E" w:rsidRDefault="00E6053E" w:rsidP="00E6053E">
      <w:pPr>
        <w:tabs>
          <w:tab w:val="left" w:pos="8064"/>
        </w:tabs>
        <w:spacing w:line="276" w:lineRule="auto"/>
        <w:ind w:right="-1"/>
        <w:jc w:val="both"/>
        <w:outlineLvl w:val="0"/>
        <w:rPr>
          <w:rFonts w:cs="Arial"/>
        </w:rPr>
      </w:pPr>
    </w:p>
    <w:p w:rsidR="00E6053E" w:rsidRDefault="00E6053E" w:rsidP="00E6053E">
      <w:pPr>
        <w:tabs>
          <w:tab w:val="left" w:pos="8652"/>
        </w:tabs>
        <w:spacing w:line="276" w:lineRule="auto"/>
        <w:ind w:right="-1"/>
        <w:jc w:val="both"/>
        <w:outlineLvl w:val="0"/>
        <w:rPr>
          <w:rFonts w:cs="Arial"/>
        </w:rPr>
      </w:pPr>
      <w:r w:rsidRPr="001C10BA">
        <w:rPr>
          <w:rFonts w:cs="Arial"/>
        </w:rPr>
        <w:t xml:space="preserve">La comunicación de la asignación del </w:t>
      </w:r>
      <w:r w:rsidRPr="001C10BA">
        <w:rPr>
          <w:rFonts w:cs="Arial"/>
          <w:b/>
        </w:rPr>
        <w:t>Presupuesto Autorizado para el Ejercicio Fiscal 2020</w:t>
      </w:r>
      <w:r w:rsidRPr="001C10BA">
        <w:rPr>
          <w:rFonts w:cs="Arial"/>
        </w:rPr>
        <w:t>, se realizó mediante oficio No. 20704001L-0041/2020, de fecha 21 de enero de 2020, emitido por la Secretaría de Finanzas, con el cual se aprueba la asignación presupuestal autorizada por la LX Legislatura local al Instituto de la Función Registral del Estado de México, que asciende a la cantidad de 2,921, 299,039.00</w:t>
      </w:r>
      <w:r w:rsidRPr="001C10BA">
        <w:rPr>
          <w:rFonts w:cs="Arial"/>
          <w:b/>
        </w:rPr>
        <w:t xml:space="preserve">, </w:t>
      </w:r>
      <w:r w:rsidRPr="001C10BA">
        <w:rPr>
          <w:rFonts w:cs="Arial"/>
        </w:rPr>
        <w:t>distribuida de la siguiente manera:</w:t>
      </w:r>
    </w:p>
    <w:p w:rsidR="00E6053E" w:rsidRPr="00E07F00" w:rsidRDefault="00E6053E" w:rsidP="00E6053E">
      <w:pPr>
        <w:tabs>
          <w:tab w:val="left" w:pos="8652"/>
        </w:tabs>
        <w:spacing w:line="276" w:lineRule="auto"/>
        <w:ind w:right="-1"/>
        <w:jc w:val="both"/>
        <w:outlineLvl w:val="0"/>
        <w:rPr>
          <w:rFonts w:cs="Arial"/>
        </w:rPr>
      </w:pPr>
      <w:r>
        <w:rPr>
          <w:rFonts w:cs="Arial"/>
        </w:rPr>
        <w:t xml:space="preserve">                   </w:t>
      </w:r>
      <w:r w:rsidRPr="001C10BA">
        <w:rPr>
          <w:noProof/>
          <w:lang w:eastAsia="es-MX"/>
        </w:rPr>
        <w:drawing>
          <wp:inline distT="0" distB="0" distL="0" distR="0" wp14:anchorId="3AD7E3EE" wp14:editId="074FE4C0">
            <wp:extent cx="5021580" cy="1873336"/>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6811" cy="1882748"/>
                    </a:xfrm>
                    <a:prstGeom prst="rect">
                      <a:avLst/>
                    </a:prstGeom>
                    <a:noFill/>
                    <a:ln>
                      <a:noFill/>
                    </a:ln>
                  </pic:spPr>
                </pic:pic>
              </a:graphicData>
            </a:graphic>
          </wp:inline>
        </w:drawing>
      </w:r>
      <w:r>
        <w:rPr>
          <w:rFonts w:cs="Arial"/>
        </w:rPr>
        <w:t xml:space="preserve"> </w:t>
      </w:r>
    </w:p>
    <w:p w:rsidR="00E6053E" w:rsidRDefault="00E6053E" w:rsidP="00E6053E">
      <w:pPr>
        <w:spacing w:line="276" w:lineRule="auto"/>
        <w:ind w:right="-1"/>
        <w:jc w:val="both"/>
        <w:outlineLvl w:val="0"/>
        <w:rPr>
          <w:rFonts w:cs="Arial"/>
        </w:rPr>
      </w:pPr>
      <w:r w:rsidRPr="00982E02">
        <w:rPr>
          <w:rFonts w:cs="Arial"/>
        </w:rPr>
        <w:t xml:space="preserve">Se tuvo una asignación presupuestal de 35,940,611.37, autorizada con el oficio No. 20704000L-APAD-0001/20, del 8 de enero de 2020, signado por el Subsecretario de Planeación y Presupuesto, para el Programa de Acciones para el Desarrollo (PAD), requeridos para continuar con el </w:t>
      </w:r>
      <w:r>
        <w:rPr>
          <w:rFonts w:cs="Arial"/>
        </w:rPr>
        <w:t>P</w:t>
      </w:r>
      <w:r w:rsidRPr="00982E02">
        <w:rPr>
          <w:rFonts w:cs="Arial"/>
        </w:rPr>
        <w:t>rograma de Regularización de Tenencia de la Tierra en el Estado de México</w:t>
      </w:r>
      <w:r>
        <w:rPr>
          <w:rFonts w:cs="Arial"/>
        </w:rPr>
        <w:t>, como sigue:</w:t>
      </w:r>
    </w:p>
    <w:p w:rsidR="00E6053E" w:rsidRDefault="00E6053E" w:rsidP="00E6053E">
      <w:pPr>
        <w:spacing w:line="276" w:lineRule="auto"/>
        <w:ind w:right="-1"/>
        <w:jc w:val="both"/>
        <w:outlineLvl w:val="0"/>
        <w:rPr>
          <w:rFonts w:cs="Arial"/>
        </w:rPr>
      </w:pPr>
      <w:r>
        <w:rPr>
          <w:rFonts w:cs="Arial"/>
        </w:rPr>
        <w:t xml:space="preserve">                  </w:t>
      </w:r>
      <w:r w:rsidRPr="008E42C1">
        <w:rPr>
          <w:noProof/>
          <w:lang w:eastAsia="es-MX"/>
        </w:rPr>
        <w:drawing>
          <wp:inline distT="0" distB="0" distL="0" distR="0" wp14:anchorId="1F075193" wp14:editId="76D1343D">
            <wp:extent cx="5058410" cy="196596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1378" cy="1978773"/>
                    </a:xfrm>
                    <a:prstGeom prst="rect">
                      <a:avLst/>
                    </a:prstGeom>
                    <a:noFill/>
                    <a:ln>
                      <a:noFill/>
                    </a:ln>
                  </pic:spPr>
                </pic:pic>
              </a:graphicData>
            </a:graphic>
          </wp:inline>
        </w:drawing>
      </w:r>
    </w:p>
    <w:p w:rsidR="00E6053E" w:rsidRDefault="00E6053E" w:rsidP="00E6053E">
      <w:pPr>
        <w:spacing w:line="276" w:lineRule="auto"/>
        <w:ind w:right="-1"/>
        <w:jc w:val="both"/>
        <w:outlineLvl w:val="0"/>
      </w:pPr>
      <w:r w:rsidRPr="00E71AB5">
        <w:t>El presupuesto se ha modificado para el Ejercicio 20</w:t>
      </w:r>
      <w:r>
        <w:t>20</w:t>
      </w:r>
      <w:r w:rsidRPr="00E71AB5">
        <w:t>, de acuerdo con las siguientes adecuaciones:</w:t>
      </w:r>
      <w:r w:rsidRPr="00FD7316">
        <w:t xml:space="preserve"> </w:t>
      </w:r>
    </w:p>
    <w:p w:rsidR="00E6053E" w:rsidRPr="0038291E" w:rsidRDefault="00E6053E" w:rsidP="0038291E">
      <w:pPr>
        <w:tabs>
          <w:tab w:val="left" w:pos="488"/>
          <w:tab w:val="right" w:pos="10063"/>
        </w:tabs>
        <w:spacing w:line="276" w:lineRule="auto"/>
        <w:ind w:right="-1"/>
        <w:outlineLvl w:val="0"/>
      </w:pPr>
      <w:r w:rsidRPr="00876C60">
        <w:rPr>
          <w:noProof/>
          <w:lang w:eastAsia="es-MX"/>
        </w:rPr>
        <w:drawing>
          <wp:inline distT="0" distB="0" distL="0" distR="0" wp14:anchorId="52CDFF12" wp14:editId="43BF3992">
            <wp:extent cx="6111240" cy="706275"/>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240" cy="706275"/>
                    </a:xfrm>
                    <a:prstGeom prst="rect">
                      <a:avLst/>
                    </a:prstGeom>
                    <a:noFill/>
                    <a:ln>
                      <a:noFill/>
                    </a:ln>
                  </pic:spPr>
                </pic:pic>
              </a:graphicData>
            </a:graphic>
          </wp:inline>
        </w:drawing>
      </w:r>
    </w:p>
    <w:p w:rsidR="00E6053E" w:rsidRDefault="00E6053E" w:rsidP="00E6053E">
      <w:pPr>
        <w:tabs>
          <w:tab w:val="left" w:pos="488"/>
          <w:tab w:val="left" w:pos="6468"/>
        </w:tabs>
        <w:spacing w:line="276" w:lineRule="auto"/>
        <w:ind w:right="-1"/>
        <w:outlineLvl w:val="0"/>
        <w:rPr>
          <w:b/>
        </w:rPr>
      </w:pPr>
      <w:r w:rsidRPr="00E71AB5">
        <w:rPr>
          <w:b/>
        </w:rPr>
        <w:lastRenderedPageBreak/>
        <w:t>Estado Comparativo del Ejerc</w:t>
      </w:r>
      <w:r w:rsidR="00B044E8">
        <w:rPr>
          <w:b/>
        </w:rPr>
        <w:t>icio del Presupuesto de Egresos</w:t>
      </w:r>
    </w:p>
    <w:p w:rsidR="00E6053E" w:rsidRDefault="00E6053E" w:rsidP="00E6053E">
      <w:pPr>
        <w:tabs>
          <w:tab w:val="left" w:pos="488"/>
          <w:tab w:val="left" w:pos="6468"/>
        </w:tabs>
        <w:spacing w:line="276" w:lineRule="auto"/>
        <w:ind w:right="-1"/>
        <w:outlineLvl w:val="0"/>
        <w:rPr>
          <w:b/>
        </w:rPr>
      </w:pPr>
      <w:r w:rsidRPr="0012469F">
        <w:rPr>
          <w:noProof/>
          <w:lang w:eastAsia="es-MX"/>
        </w:rPr>
        <w:drawing>
          <wp:inline distT="0" distB="0" distL="0" distR="0" wp14:anchorId="1A105C53" wp14:editId="00B29E2B">
            <wp:extent cx="6388100" cy="1860605"/>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746" cy="1861667"/>
                    </a:xfrm>
                    <a:prstGeom prst="rect">
                      <a:avLst/>
                    </a:prstGeom>
                    <a:noFill/>
                    <a:ln>
                      <a:noFill/>
                    </a:ln>
                  </pic:spPr>
                </pic:pic>
              </a:graphicData>
            </a:graphic>
          </wp:inline>
        </w:drawing>
      </w:r>
    </w:p>
    <w:p w:rsidR="00E6053E" w:rsidRDefault="00E6053E" w:rsidP="00E6053E">
      <w:pPr>
        <w:tabs>
          <w:tab w:val="left" w:pos="488"/>
        </w:tabs>
        <w:spacing w:line="276" w:lineRule="auto"/>
        <w:ind w:right="-1"/>
        <w:jc w:val="both"/>
        <w:outlineLvl w:val="0"/>
        <w:rPr>
          <w:rFonts w:cs="Arial"/>
        </w:rPr>
      </w:pPr>
      <w:r w:rsidRPr="00E71AB5">
        <w:rPr>
          <w:rFonts w:cs="Arial"/>
        </w:rPr>
        <w:t xml:space="preserve">El presupuesto de egresos aprobado modificado anual fue de </w:t>
      </w:r>
      <w:r>
        <w:rPr>
          <w:rFonts w:cs="Arial"/>
        </w:rPr>
        <w:t>2</w:t>
      </w:r>
      <w:r w:rsidRPr="00E71AB5">
        <w:rPr>
          <w:rFonts w:cs="Arial"/>
        </w:rPr>
        <w:t>,9</w:t>
      </w:r>
      <w:r>
        <w:rPr>
          <w:rFonts w:cs="Arial"/>
        </w:rPr>
        <w:t>21</w:t>
      </w:r>
      <w:r w:rsidRPr="00E71AB5">
        <w:rPr>
          <w:rFonts w:cs="Arial"/>
        </w:rPr>
        <w:t>,2</w:t>
      </w:r>
      <w:r>
        <w:rPr>
          <w:rFonts w:cs="Arial"/>
        </w:rPr>
        <w:t>9</w:t>
      </w:r>
      <w:r w:rsidRPr="00E71AB5">
        <w:rPr>
          <w:rFonts w:cs="Arial"/>
        </w:rPr>
        <w:t>9,</w:t>
      </w:r>
      <w:r>
        <w:rPr>
          <w:rFonts w:cs="Arial"/>
        </w:rPr>
        <w:t>0</w:t>
      </w:r>
      <w:r w:rsidRPr="00E71AB5">
        <w:rPr>
          <w:rFonts w:cs="Arial"/>
        </w:rPr>
        <w:t>3</w:t>
      </w:r>
      <w:r>
        <w:rPr>
          <w:rFonts w:cs="Arial"/>
        </w:rPr>
        <w:t>9</w:t>
      </w:r>
      <w:r w:rsidRPr="00E71AB5">
        <w:rPr>
          <w:rFonts w:cs="Arial"/>
        </w:rPr>
        <w:t>.00, el presupues</w:t>
      </w:r>
      <w:r>
        <w:rPr>
          <w:rFonts w:cs="Arial"/>
        </w:rPr>
        <w:t>to modificado al mes es de 791,692,457.37</w:t>
      </w:r>
      <w:r w:rsidRPr="00E71AB5">
        <w:rPr>
          <w:rFonts w:cs="Arial"/>
        </w:rPr>
        <w:t xml:space="preserve"> y se ha ejercido al mes</w:t>
      </w:r>
      <w:r>
        <w:rPr>
          <w:rFonts w:cs="Arial"/>
        </w:rPr>
        <w:t xml:space="preserve"> que se analiza la cantidad de 785,353,576.75,</w:t>
      </w:r>
      <w:r w:rsidRPr="00E71AB5">
        <w:rPr>
          <w:rFonts w:cs="Arial"/>
        </w:rPr>
        <w:t xml:space="preserve"> por lo tanto, se observa una variación</w:t>
      </w:r>
      <w:r>
        <w:rPr>
          <w:rFonts w:cs="Arial"/>
        </w:rPr>
        <w:t xml:space="preserve"> absoluta</w:t>
      </w:r>
      <w:r w:rsidRPr="00E71AB5">
        <w:rPr>
          <w:rFonts w:cs="Arial"/>
        </w:rPr>
        <w:t xml:space="preserve"> contra el presupuesto modificado autorizado de </w:t>
      </w:r>
      <w:r>
        <w:rPr>
          <w:rFonts w:cs="Arial"/>
        </w:rPr>
        <w:t>6,338,880.62</w:t>
      </w:r>
      <w:r w:rsidRPr="00E71AB5">
        <w:rPr>
          <w:rFonts w:cs="Arial"/>
        </w:rPr>
        <w:t>, principalmente por lo siguiente:</w:t>
      </w:r>
    </w:p>
    <w:p w:rsidR="00E6053E" w:rsidRDefault="00E6053E" w:rsidP="00E6053E">
      <w:pPr>
        <w:spacing w:line="276" w:lineRule="auto"/>
        <w:ind w:right="-1"/>
        <w:jc w:val="both"/>
        <w:rPr>
          <w:rFonts w:cs="Arial"/>
        </w:rPr>
      </w:pPr>
      <w:r w:rsidRPr="00E71AB5">
        <w:rPr>
          <w:rFonts w:cs="Arial"/>
          <w:b/>
        </w:rPr>
        <w:t>En el Capítulo 1000 “Servicios Personales</w:t>
      </w:r>
      <w:r w:rsidRPr="00E71AB5">
        <w:rPr>
          <w:rFonts w:cs="Arial"/>
        </w:rPr>
        <w:t>”.</w:t>
      </w:r>
      <w:r w:rsidRPr="00E71AB5">
        <w:rPr>
          <w:rFonts w:cs="Arial"/>
          <w:b/>
        </w:rPr>
        <w:t xml:space="preserve"> -</w:t>
      </w:r>
      <w:r w:rsidRPr="00E71AB5">
        <w:rPr>
          <w:rFonts w:cs="Arial"/>
        </w:rPr>
        <w:t xml:space="preserve"> </w:t>
      </w:r>
      <w:r>
        <w:rPr>
          <w:rFonts w:cs="Arial"/>
        </w:rPr>
        <w:t>La variación mensual en este capítulo</w:t>
      </w:r>
      <w:r w:rsidRPr="00EE5A1F">
        <w:rPr>
          <w:rFonts w:cs="Arial"/>
        </w:rPr>
        <w:t xml:space="preserve"> obedece </w:t>
      </w:r>
      <w:r>
        <w:rPr>
          <w:rFonts w:cs="Arial"/>
        </w:rPr>
        <w:t>a que el presupuesto de la partida de aguinaldo se encuentra calendarizado en el mes siguiente</w:t>
      </w:r>
      <w:r w:rsidRPr="00EE5A1F">
        <w:rPr>
          <w:rFonts w:cs="Arial"/>
        </w:rPr>
        <w:t>.</w:t>
      </w:r>
    </w:p>
    <w:p w:rsidR="00E6053E" w:rsidRDefault="00E6053E" w:rsidP="00E6053E">
      <w:pPr>
        <w:spacing w:line="276" w:lineRule="auto"/>
        <w:ind w:right="-1"/>
        <w:jc w:val="both"/>
        <w:rPr>
          <w:rFonts w:cs="Arial"/>
        </w:rPr>
      </w:pPr>
      <w:r w:rsidRPr="00EE5A1F">
        <w:rPr>
          <w:rFonts w:cs="Arial"/>
          <w:b/>
        </w:rPr>
        <w:t>En el Capítulo 2000 “Materiales y Suministros”.-</w:t>
      </w:r>
      <w:r>
        <w:rPr>
          <w:rFonts w:cs="Arial"/>
        </w:rPr>
        <w:t xml:space="preserve"> </w:t>
      </w:r>
      <w:r w:rsidRPr="00EE5A1F">
        <w:rPr>
          <w:rFonts w:cs="Arial"/>
        </w:rPr>
        <w:t>El subejercicio mensual obedece a que se encuentra en proceso la substanciación de los procedimientos adquisitivos correspondiente al primer cuatrimestre y por consiguiente impacta en el subejercicio acumulado.</w:t>
      </w:r>
    </w:p>
    <w:p w:rsidR="00E6053E" w:rsidRDefault="00E6053E" w:rsidP="00E6053E">
      <w:pPr>
        <w:spacing w:line="276" w:lineRule="auto"/>
        <w:ind w:right="-1"/>
        <w:jc w:val="both"/>
        <w:rPr>
          <w:rFonts w:cs="Arial"/>
        </w:rPr>
      </w:pPr>
      <w:r w:rsidRPr="00E71AB5">
        <w:rPr>
          <w:rFonts w:cs="Arial"/>
          <w:b/>
        </w:rPr>
        <w:t>En el Capítulo 3000 “Servicios Generales”. -</w:t>
      </w:r>
      <w:r w:rsidRPr="00E71AB5">
        <w:rPr>
          <w:rFonts w:cs="Arial"/>
        </w:rPr>
        <w:t xml:space="preserve"> </w:t>
      </w:r>
      <w:r w:rsidRPr="00EE5A1F">
        <w:rPr>
          <w:rFonts w:cs="Arial"/>
        </w:rPr>
        <w:t>El subejercicio mensual y acumulado corresponde a que aún se encuentran pendientes los contratos de servicios básicos para la operación del Instituto.</w:t>
      </w:r>
    </w:p>
    <w:p w:rsidR="00E6053E" w:rsidRDefault="00E6053E" w:rsidP="00E6053E">
      <w:pPr>
        <w:spacing w:line="276" w:lineRule="auto"/>
        <w:ind w:right="-1"/>
        <w:jc w:val="both"/>
        <w:rPr>
          <w:rFonts w:cs="Arial"/>
        </w:rPr>
      </w:pPr>
      <w:r>
        <w:rPr>
          <w:rFonts w:cs="Arial"/>
          <w:b/>
        </w:rPr>
        <w:t xml:space="preserve">En el Capítulo 4000 “Transferencias, Asignaciones, Subsidios y Otras Ayudas”.- </w:t>
      </w:r>
      <w:r>
        <w:rPr>
          <w:rFonts w:cs="Arial"/>
        </w:rPr>
        <w:t>La variación mensual en e</w:t>
      </w:r>
      <w:r w:rsidR="0038291E">
        <w:rPr>
          <w:rFonts w:cs="Arial"/>
        </w:rPr>
        <w:t>ste</w:t>
      </w:r>
      <w:r>
        <w:rPr>
          <w:rFonts w:cs="Arial"/>
        </w:rPr>
        <w:t xml:space="preserve"> capítulo, resulta de la diferencia entre los ingresos transferidos al Fiduciario durante el mes y el importe del presupuestado calendarizado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38291E" w:rsidRDefault="00E6053E" w:rsidP="00E6053E">
      <w:pPr>
        <w:spacing w:line="276" w:lineRule="auto"/>
        <w:ind w:right="-1"/>
        <w:jc w:val="both"/>
        <w:rPr>
          <w:rFonts w:cs="Arial"/>
        </w:rPr>
      </w:pPr>
      <w:r>
        <w:rPr>
          <w:rFonts w:cs="Arial"/>
          <w:b/>
        </w:rPr>
        <w:t>En el Capítulo 9</w:t>
      </w:r>
      <w:r w:rsidRPr="00E71AB5">
        <w:rPr>
          <w:rFonts w:cs="Arial"/>
          <w:b/>
        </w:rPr>
        <w:t>000 “</w:t>
      </w:r>
      <w:r>
        <w:rPr>
          <w:rFonts w:cs="Arial"/>
          <w:b/>
        </w:rPr>
        <w:t>Deuda Pública</w:t>
      </w:r>
      <w:r w:rsidRPr="00E71AB5">
        <w:rPr>
          <w:rFonts w:cs="Arial"/>
          <w:b/>
        </w:rPr>
        <w:t xml:space="preserve">”.- </w:t>
      </w:r>
      <w:r w:rsidRPr="001C6012">
        <w:rPr>
          <w:rFonts w:cs="Arial"/>
        </w:rPr>
        <w:t>El subejercicio obtenido en el capítulo de “Deuda Pública”, deriva del remanente del pago del cupón de los Certificados Bursátiles Fiduciarios Series “C” correspondiente al primer semestre, por lo que dicha economía, apalancará el pago que concierne al segundo semestre en los próximos meses de agosto y septiembre de acuerdo a las obligaciones Contractuales de los fideicomisos irrevocables números 80615 y F/1426.</w:t>
      </w:r>
    </w:p>
    <w:p w:rsidR="0038291E" w:rsidRDefault="0038291E">
      <w:pPr>
        <w:spacing w:line="259" w:lineRule="auto"/>
        <w:rPr>
          <w:rFonts w:cs="Arial"/>
        </w:rPr>
      </w:pPr>
      <w:r>
        <w:rPr>
          <w:rFonts w:cs="Arial"/>
        </w:rPr>
        <w:br w:type="page"/>
      </w:r>
    </w:p>
    <w:p w:rsidR="00E6053E" w:rsidRDefault="00E6053E" w:rsidP="00E6053E">
      <w:pPr>
        <w:numPr>
          <w:ilvl w:val="0"/>
          <w:numId w:val="5"/>
        </w:numPr>
        <w:tabs>
          <w:tab w:val="left" w:pos="3836"/>
        </w:tabs>
        <w:spacing w:after="0" w:line="276" w:lineRule="auto"/>
        <w:ind w:right="-1"/>
        <w:contextualSpacing/>
        <w:outlineLvl w:val="0"/>
        <w:rPr>
          <w:rFonts w:eastAsia="Times New Roman" w:cs="Arial"/>
          <w:b/>
          <w:lang w:eastAsia="es-MX"/>
        </w:rPr>
      </w:pPr>
      <w:r w:rsidRPr="004C615E">
        <w:rPr>
          <w:rFonts w:eastAsia="Times New Roman" w:cs="Arial"/>
          <w:b/>
          <w:lang w:eastAsia="es-MX"/>
        </w:rPr>
        <w:lastRenderedPageBreak/>
        <w:t>NOTAS DE GESTIÓN ADMINISTRATIVA</w:t>
      </w:r>
    </w:p>
    <w:p w:rsidR="00E6053E" w:rsidRPr="004C615E" w:rsidRDefault="00E6053E" w:rsidP="00E6053E">
      <w:pPr>
        <w:tabs>
          <w:tab w:val="left" w:pos="3836"/>
        </w:tabs>
        <w:spacing w:after="0" w:line="276" w:lineRule="auto"/>
        <w:ind w:left="720" w:right="-1"/>
        <w:contextualSpacing/>
        <w:outlineLvl w:val="0"/>
        <w:rPr>
          <w:rFonts w:eastAsia="Times New Roman" w:cs="Arial"/>
          <w:b/>
          <w:lang w:eastAsia="es-MX"/>
        </w:rPr>
      </w:pPr>
    </w:p>
    <w:p w:rsidR="00E6053E" w:rsidRPr="007B52E3" w:rsidRDefault="00E6053E" w:rsidP="00E6053E">
      <w:pPr>
        <w:spacing w:line="276" w:lineRule="auto"/>
        <w:ind w:right="-1"/>
        <w:jc w:val="both"/>
      </w:pPr>
      <w:r w:rsidRPr="007B52E3">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rsidR="00E6053E" w:rsidRPr="007B52E3" w:rsidRDefault="00E6053E" w:rsidP="00E6053E">
      <w:pPr>
        <w:spacing w:line="276" w:lineRule="auto"/>
        <w:ind w:right="-1"/>
        <w:jc w:val="both"/>
        <w:rPr>
          <w:sz w:val="2"/>
        </w:rPr>
      </w:pPr>
    </w:p>
    <w:p w:rsidR="00E6053E" w:rsidRDefault="00E6053E" w:rsidP="00E6053E">
      <w:pPr>
        <w:spacing w:line="276" w:lineRule="auto"/>
        <w:ind w:right="-1"/>
        <w:jc w:val="both"/>
      </w:pPr>
      <w:r w:rsidRPr="007B52E3">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6053E" w:rsidRPr="007B52E3" w:rsidRDefault="00E6053E" w:rsidP="00E6053E">
      <w:pPr>
        <w:numPr>
          <w:ilvl w:val="0"/>
          <w:numId w:val="9"/>
        </w:numPr>
        <w:spacing w:after="0" w:line="276" w:lineRule="auto"/>
        <w:ind w:left="851" w:right="-1"/>
        <w:contextualSpacing/>
        <w:rPr>
          <w:rFonts w:eastAsia="Times New Roman" w:cs="Arial"/>
          <w:b/>
          <w:lang w:eastAsia="es-MX"/>
        </w:rPr>
      </w:pPr>
      <w:r w:rsidRPr="007B52E3">
        <w:rPr>
          <w:rFonts w:eastAsia="Times New Roman" w:cs="Times New Roman"/>
          <w:b/>
          <w:lang w:eastAsia="es-MX"/>
        </w:rPr>
        <w:t>Introducción</w:t>
      </w:r>
    </w:p>
    <w:p w:rsidR="00E6053E" w:rsidRPr="00E07F00" w:rsidRDefault="00E6053E" w:rsidP="00E6053E">
      <w:pPr>
        <w:spacing w:before="240" w:line="276" w:lineRule="auto"/>
        <w:ind w:right="-1"/>
        <w:jc w:val="both"/>
      </w:pPr>
      <w:r w:rsidRPr="00E07F00">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E6053E" w:rsidRPr="00E07F00" w:rsidRDefault="00E6053E" w:rsidP="00E6053E">
      <w:pPr>
        <w:spacing w:line="276" w:lineRule="auto"/>
        <w:ind w:right="-1"/>
        <w:jc w:val="both"/>
      </w:pPr>
      <w:r w:rsidRPr="00E07F00">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rsidR="00E6053E" w:rsidRPr="00E07F00" w:rsidRDefault="00E6053E" w:rsidP="00E6053E">
      <w:pPr>
        <w:spacing w:line="276" w:lineRule="auto"/>
        <w:ind w:right="-1"/>
        <w:jc w:val="both"/>
      </w:pPr>
      <w:r w:rsidRPr="00E07F00">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rsidR="00E6053E" w:rsidRDefault="00E6053E" w:rsidP="00E6053E">
      <w:pPr>
        <w:spacing w:line="276" w:lineRule="auto"/>
        <w:ind w:right="-1"/>
        <w:jc w:val="both"/>
      </w:pPr>
      <w:r w:rsidRPr="00E07F00">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rsidR="00E6053E" w:rsidRDefault="00E6053E" w:rsidP="00E6053E">
      <w:pPr>
        <w:numPr>
          <w:ilvl w:val="0"/>
          <w:numId w:val="9"/>
        </w:numPr>
        <w:spacing w:after="0" w:line="276" w:lineRule="auto"/>
        <w:ind w:left="851" w:right="-1"/>
        <w:contextualSpacing/>
        <w:rPr>
          <w:rFonts w:eastAsia="Times New Roman" w:cs="Times New Roman"/>
          <w:b/>
          <w:lang w:eastAsia="es-MX"/>
        </w:rPr>
      </w:pPr>
      <w:r w:rsidRPr="00367A7F">
        <w:rPr>
          <w:rFonts w:eastAsia="Times New Roman" w:cs="Times New Roman"/>
          <w:b/>
          <w:lang w:eastAsia="es-MX"/>
        </w:rPr>
        <w:t>Panorama Económico y Financiero</w:t>
      </w:r>
    </w:p>
    <w:p w:rsidR="00E6053E" w:rsidRPr="00367A7F" w:rsidRDefault="00E6053E" w:rsidP="00E6053E">
      <w:pPr>
        <w:spacing w:after="0" w:line="276" w:lineRule="auto"/>
        <w:ind w:left="851" w:right="-1"/>
        <w:contextualSpacing/>
        <w:rPr>
          <w:rFonts w:eastAsia="Times New Roman" w:cs="Times New Roman"/>
          <w:b/>
          <w:lang w:eastAsia="es-MX"/>
        </w:rPr>
      </w:pPr>
    </w:p>
    <w:p w:rsidR="00E6053E" w:rsidRPr="004C615E" w:rsidRDefault="00E6053E" w:rsidP="00E6053E">
      <w:pPr>
        <w:spacing w:after="101" w:line="276" w:lineRule="auto"/>
        <w:ind w:right="-1"/>
        <w:jc w:val="both"/>
        <w:rPr>
          <w:rFonts w:eastAsia="Times New Roman" w:cs="Times New Roman"/>
          <w:b/>
          <w:lang w:eastAsia="es-MX"/>
        </w:rPr>
      </w:pPr>
      <w:r w:rsidRPr="00E07F00">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r w:rsidRPr="004C615E">
        <w:rPr>
          <w:rFonts w:eastAsia="Times New Roman" w:cs="Arial"/>
          <w:lang w:val="es-ES" w:eastAsia="es-ES"/>
        </w:rPr>
        <w:br w:type="page"/>
      </w:r>
      <w:r w:rsidRPr="004C615E">
        <w:rPr>
          <w:rFonts w:eastAsia="Times New Roman" w:cs="Times New Roman"/>
          <w:b/>
          <w:lang w:eastAsia="es-MX"/>
        </w:rPr>
        <w:lastRenderedPageBreak/>
        <w:t>Autorización e Historia</w:t>
      </w:r>
    </w:p>
    <w:p w:rsidR="00E6053E" w:rsidRDefault="00E6053E" w:rsidP="00E6053E">
      <w:pPr>
        <w:spacing w:after="0" w:line="276" w:lineRule="auto"/>
        <w:ind w:left="851" w:right="-1"/>
        <w:contextualSpacing/>
        <w:rPr>
          <w:rFonts w:eastAsia="Times New Roman" w:cs="Times New Roman"/>
          <w:b/>
          <w:lang w:eastAsia="es-MX"/>
        </w:rPr>
      </w:pPr>
    </w:p>
    <w:p w:rsidR="00E6053E" w:rsidRPr="00E07F00" w:rsidRDefault="00E6053E" w:rsidP="00E6053E">
      <w:pPr>
        <w:spacing w:line="276" w:lineRule="auto"/>
        <w:ind w:right="-1"/>
        <w:jc w:val="both"/>
      </w:pPr>
      <w:r w:rsidRPr="00E07F00">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E6053E" w:rsidRPr="00E07F00" w:rsidRDefault="00E6053E" w:rsidP="00E6053E">
      <w:pPr>
        <w:spacing w:line="276" w:lineRule="auto"/>
        <w:ind w:right="-1"/>
        <w:jc w:val="both"/>
      </w:pPr>
      <w:r w:rsidRPr="00E07F00">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rsidR="00E6053E" w:rsidRPr="00E07F00" w:rsidRDefault="00E6053E" w:rsidP="00E6053E">
      <w:pPr>
        <w:spacing w:line="276" w:lineRule="auto"/>
        <w:ind w:right="-1"/>
        <w:jc w:val="both"/>
      </w:pPr>
      <w:r w:rsidRPr="00E07F00">
        <w:t>Asimismo, se subrogaron al Instituto de la Función Registral del Estado de México, los derechos y obligaciones de la Dirección General del Registro Público de la Propiedad de la Secretaría General de Gobierno.</w:t>
      </w:r>
    </w:p>
    <w:p w:rsidR="00E6053E" w:rsidRPr="00E07F00" w:rsidRDefault="00E6053E" w:rsidP="00E6053E">
      <w:pPr>
        <w:spacing w:line="276" w:lineRule="auto"/>
        <w:ind w:right="-1"/>
        <w:jc w:val="both"/>
      </w:pPr>
      <w:r w:rsidRPr="00E07F00">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rsidR="00E6053E" w:rsidRPr="00E07F00" w:rsidRDefault="00E6053E" w:rsidP="00E6053E">
      <w:pPr>
        <w:spacing w:line="276" w:lineRule="auto"/>
        <w:ind w:right="-1"/>
        <w:jc w:val="both"/>
      </w:pPr>
      <w:r w:rsidRPr="00E07F00">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E6053E" w:rsidRPr="00E07F00" w:rsidRDefault="00E6053E" w:rsidP="00E6053E">
      <w:pPr>
        <w:spacing w:line="276" w:lineRule="auto"/>
        <w:ind w:right="-1"/>
        <w:jc w:val="both"/>
      </w:pPr>
      <w:r w:rsidRPr="00E07F00">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rsidR="00E6053E" w:rsidRPr="00E07F00" w:rsidRDefault="00E6053E" w:rsidP="00E6053E">
      <w:pPr>
        <w:spacing w:line="276" w:lineRule="auto"/>
        <w:ind w:right="-1"/>
        <w:jc w:val="both"/>
      </w:pPr>
      <w:r w:rsidRPr="00E07F00">
        <w:lastRenderedPageBreak/>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rsidR="00E6053E" w:rsidRPr="00E07F00" w:rsidRDefault="00E6053E" w:rsidP="00E6053E">
      <w:pPr>
        <w:spacing w:line="276" w:lineRule="auto"/>
        <w:ind w:right="-1"/>
        <w:jc w:val="both"/>
      </w:pPr>
      <w:r w:rsidRPr="00E07F00">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E6053E" w:rsidRPr="00E07F00" w:rsidRDefault="00E6053E" w:rsidP="00E6053E">
      <w:pPr>
        <w:spacing w:line="276" w:lineRule="auto"/>
        <w:ind w:right="-1"/>
        <w:jc w:val="both"/>
      </w:pPr>
      <w:r w:rsidRPr="00E07F00">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rsidR="00E6053E" w:rsidRPr="00E07F00" w:rsidRDefault="00E6053E" w:rsidP="00E6053E">
      <w:pPr>
        <w:spacing w:line="276" w:lineRule="auto"/>
        <w:ind w:left="360" w:right="-1"/>
        <w:jc w:val="both"/>
        <w:rPr>
          <w:b/>
        </w:rPr>
      </w:pPr>
      <w:r w:rsidRPr="00E07F00">
        <w:rPr>
          <w:b/>
        </w:rPr>
        <w:t>4.</w:t>
      </w:r>
      <w:r w:rsidRPr="00E07F00">
        <w:rPr>
          <w:b/>
        </w:rPr>
        <w:tab/>
        <w:t>Organización y Objeto Social</w:t>
      </w:r>
    </w:p>
    <w:p w:rsidR="00E6053E" w:rsidRPr="00E07F00" w:rsidRDefault="00E6053E" w:rsidP="00E6053E">
      <w:pPr>
        <w:spacing w:after="0" w:line="276" w:lineRule="auto"/>
        <w:ind w:right="-1"/>
        <w:jc w:val="both"/>
        <w:rPr>
          <w:rFonts w:eastAsia="Times New Roman" w:cs="Arial"/>
          <w:lang w:val="es-ES" w:eastAsia="es-ES"/>
        </w:rPr>
      </w:pPr>
      <w:r w:rsidRPr="00E07F00">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E6053E" w:rsidRDefault="00E6053E" w:rsidP="00E6053E">
      <w:pPr>
        <w:spacing w:line="276" w:lineRule="auto"/>
        <w:ind w:right="-1"/>
        <w:jc w:val="both"/>
      </w:pPr>
      <w:r w:rsidRPr="00E07F00">
        <w:t xml:space="preserve">Actualmente, el Instituto de la Función Registral del Estado de México cuenta con una estructura orgánica autorizada por la Secretaría de Finanzas en mayo de 2013 integrada por 50 unidades administrativas (una </w:t>
      </w:r>
    </w:p>
    <w:p w:rsidR="00E6053E" w:rsidRDefault="00E6053E" w:rsidP="00E6053E">
      <w:pPr>
        <w:spacing w:line="276" w:lineRule="auto"/>
        <w:ind w:right="-1"/>
        <w:jc w:val="both"/>
      </w:pPr>
      <w:r w:rsidRPr="00E07F00">
        <w:t xml:space="preserve">Dirección General, cinco Direcciones de Área, nueve Subdirecciones y 35 Departamentos). El organigrama se puede consultar en la siguiente liga: </w:t>
      </w:r>
      <w:hyperlink r:id="rId23" w:history="1">
        <w:r w:rsidRPr="00E07F00">
          <w:rPr>
            <w:color w:val="0000FF"/>
            <w:u w:val="single"/>
          </w:rPr>
          <w:t>http://ifrem.edomex.gob.mx/organigrama</w:t>
        </w:r>
      </w:hyperlink>
      <w:r w:rsidRPr="00E07F00">
        <w:t>.</w:t>
      </w:r>
    </w:p>
    <w:p w:rsidR="00E6053E" w:rsidRPr="00975D4B" w:rsidRDefault="00E6053E" w:rsidP="00E6053E">
      <w:pPr>
        <w:spacing w:line="276" w:lineRule="auto"/>
        <w:ind w:right="-1"/>
        <w:jc w:val="both"/>
        <w:rPr>
          <w:rFonts w:eastAsia="Times New Roman" w:cs="Arial"/>
          <w:lang w:val="es-ES" w:eastAsia="es-ES"/>
        </w:rPr>
      </w:pPr>
      <w:r w:rsidRPr="00E07F00">
        <w:t xml:space="preserve"> </w:t>
      </w:r>
      <w:r w:rsidRPr="00E07F00">
        <w:rPr>
          <w:rFonts w:eastAsia="Times New Roman" w:cs="Arial"/>
          <w:lang w:val="es-ES" w:eastAsia="es-ES"/>
        </w:rPr>
        <w:t>El Instituto,</w:t>
      </w:r>
      <w:r w:rsidRPr="00E07F00">
        <w:rPr>
          <w:rFonts w:eastAsia="Times New Roman" w:cs="CenturyGothic"/>
          <w:lang w:val="es-ES" w:eastAsia="es-ES"/>
        </w:rPr>
        <w:t xml:space="preserve"> p</w:t>
      </w:r>
      <w:r w:rsidRPr="00E07F00">
        <w:rPr>
          <w:rFonts w:eastAsia="Times New Roman" w:cs="Arial"/>
          <w:lang w:val="es-ES" w:eastAsia="es-ES"/>
        </w:rPr>
        <w:t>ara el cumplimiento de su objeto, tendrá las atribuciones que se mencionan en su Decreto de creación publicado en el periódico oficial Gaceta del Gobierno.</w:t>
      </w:r>
    </w:p>
    <w:p w:rsidR="00E6053E" w:rsidRPr="00E07F00" w:rsidRDefault="00E6053E" w:rsidP="00E6053E">
      <w:pPr>
        <w:numPr>
          <w:ilvl w:val="0"/>
          <w:numId w:val="10"/>
        </w:numPr>
        <w:spacing w:after="240" w:line="276" w:lineRule="auto"/>
        <w:ind w:right="-1"/>
        <w:contextualSpacing/>
        <w:jc w:val="both"/>
        <w:rPr>
          <w:rFonts w:eastAsia="Times New Roman" w:cs="Times New Roman"/>
          <w:lang w:eastAsia="es-MX"/>
        </w:rPr>
      </w:pPr>
      <w:r w:rsidRPr="00E07F00">
        <w:rPr>
          <w:rFonts w:eastAsia="Times New Roman" w:cs="Times New Roman"/>
          <w:b/>
          <w:lang w:eastAsia="es-MX"/>
        </w:rPr>
        <w:t>Bases de preparación de los Estados Financieros</w:t>
      </w:r>
    </w:p>
    <w:p w:rsidR="00E6053E" w:rsidRPr="00E07F00" w:rsidRDefault="00E6053E" w:rsidP="00E6053E">
      <w:pPr>
        <w:spacing w:after="240" w:line="276" w:lineRule="auto"/>
        <w:ind w:left="284" w:right="-1"/>
        <w:contextualSpacing/>
        <w:jc w:val="both"/>
        <w:rPr>
          <w:rFonts w:eastAsia="Times New Roman" w:cs="Times New Roman"/>
          <w:sz w:val="6"/>
          <w:lang w:eastAsia="es-MX"/>
        </w:rPr>
      </w:pPr>
    </w:p>
    <w:p w:rsidR="00E6053E" w:rsidRPr="00E07F00" w:rsidRDefault="00E6053E" w:rsidP="00E6053E">
      <w:pPr>
        <w:spacing w:after="101" w:line="276" w:lineRule="auto"/>
        <w:ind w:right="-1"/>
        <w:jc w:val="both"/>
        <w:rPr>
          <w:rFonts w:eastAsia="Times New Roman" w:cs="Arial"/>
          <w:lang w:val="es-ES" w:eastAsia="es-ES"/>
        </w:rPr>
      </w:pPr>
      <w:r w:rsidRPr="00E07F00">
        <w:rPr>
          <w:rFonts w:eastAsia="Times New Roman" w:cs="Arial"/>
          <w:lang w:val="es-ES" w:eastAsia="es-ES"/>
        </w:rPr>
        <w:t xml:space="preserve">Los Estados Financieros que se acompañan, fueron preparados observando la normatividad emitida por el CONAC y las disposiciones legales aplicables, con base en el Manual Único de Contabilidad Gubernamental para las Dependencias y Entidades del Gobierno y Municipios del </w:t>
      </w:r>
      <w:r>
        <w:rPr>
          <w:rFonts w:eastAsia="Times New Roman" w:cs="Arial"/>
          <w:lang w:val="es-ES" w:eastAsia="es-ES"/>
        </w:rPr>
        <w:t>Estado de México, (Decimoctava</w:t>
      </w:r>
      <w:r w:rsidRPr="00E07F00">
        <w:rPr>
          <w:rFonts w:eastAsia="Times New Roman" w:cs="Arial"/>
          <w:lang w:val="es-ES" w:eastAsia="es-ES"/>
        </w:rPr>
        <w:t xml:space="preserve"> Edición)</w:t>
      </w:r>
      <w:r>
        <w:rPr>
          <w:rFonts w:eastAsia="Times New Roman" w:cs="Arial"/>
          <w:lang w:val="es-ES" w:eastAsia="es-ES"/>
        </w:rPr>
        <w:t xml:space="preserve"> 2019</w:t>
      </w:r>
      <w:r w:rsidRPr="00E07F00">
        <w:rPr>
          <w:rFonts w:eastAsia="Times New Roman" w:cs="Arial"/>
          <w:lang w:val="es-ES" w:eastAsia="es-ES"/>
        </w:rPr>
        <w:t>, para el presente ejercicio fiscal, publicado en la “</w:t>
      </w:r>
      <w:r>
        <w:rPr>
          <w:rFonts w:eastAsia="Times New Roman" w:cs="Arial"/>
          <w:lang w:val="es-ES" w:eastAsia="es-ES"/>
        </w:rPr>
        <w:t>Gaceta del Gobierno” el lunes 31 de mayo de 2019</w:t>
      </w:r>
      <w:r w:rsidRPr="00E07F00">
        <w:rPr>
          <w:rFonts w:eastAsia="Times New Roman" w:cs="Arial"/>
          <w:lang w:val="es-ES" w:eastAsia="es-ES"/>
        </w:rPr>
        <w:t>, aplicable a los Organismos Auxiliares del Gobierno del Estado de México, para efectos de la Ley para la Coordinación y Control de Organismos Auxiliares.</w:t>
      </w:r>
    </w:p>
    <w:p w:rsidR="00E6053E" w:rsidRPr="00E07F00" w:rsidRDefault="00E6053E" w:rsidP="00E6053E">
      <w:pPr>
        <w:spacing w:line="276" w:lineRule="auto"/>
        <w:ind w:right="-1"/>
        <w:jc w:val="both"/>
      </w:pPr>
      <w:r w:rsidRPr="00E07F00">
        <w:lastRenderedPageBreak/>
        <w:t xml:space="preserve">Con base en dicho manual en este ejercicio se han realizado las </w:t>
      </w:r>
      <w:r w:rsidRPr="00975D4B">
        <w:rPr>
          <w:rFonts w:eastAsia="Times New Roman" w:cs="Arial"/>
          <w:lang w:val="es-ES" w:eastAsia="es-ES"/>
        </w:rPr>
        <w:t>adecuaciones</w:t>
      </w:r>
      <w:r w:rsidRPr="00E07F00">
        <w:t xml:space="preserve"> de presentación necesarias para estas notas. Así mismo </w:t>
      </w:r>
      <w:r w:rsidRPr="00E07F00">
        <w:rPr>
          <w:rFonts w:cs="Arial"/>
          <w:lang w:eastAsia="es-MX"/>
        </w:rPr>
        <w:t>la información se elaboró conforme a las normas, criterios y principios técnicos y las disposiciones legales aplicables, obedeciendo a las mejores prácticas contables,</w:t>
      </w:r>
      <w:r w:rsidRPr="00E07F00">
        <w:t xml:space="preserve"> se incluye lo correspondiente a las normas y lineamientos </w:t>
      </w:r>
      <w:r w:rsidRPr="00E07F00">
        <w:rPr>
          <w:rFonts w:cs="Arial"/>
          <w:lang w:eastAsia="es-MX"/>
        </w:rPr>
        <w:t xml:space="preserve">emitidos por </w:t>
      </w:r>
      <w:r w:rsidRPr="00E07F00">
        <w:t>el Consejo Nacional de Armonización Contable (CONAC)</w:t>
      </w:r>
      <w:r w:rsidRPr="00E07F00">
        <w:rPr>
          <w:rFonts w:cs="Arial"/>
          <w:lang w:eastAsia="es-MX"/>
        </w:rPr>
        <w:t>;</w:t>
      </w:r>
      <w:r w:rsidRPr="00E07F00">
        <w:t xml:space="preserve"> publicados el 13 de octubre de 2014, en el periódico oficial del Gobierno del Estado de México, denominado “Gaceta del Gobierno”.</w:t>
      </w:r>
    </w:p>
    <w:p w:rsidR="00E6053E" w:rsidRPr="00E07F00" w:rsidRDefault="00E6053E" w:rsidP="00E6053E">
      <w:pPr>
        <w:autoSpaceDE w:val="0"/>
        <w:autoSpaceDN w:val="0"/>
        <w:adjustRightInd w:val="0"/>
        <w:spacing w:line="276" w:lineRule="auto"/>
        <w:ind w:right="-1"/>
        <w:jc w:val="both"/>
      </w:pPr>
      <w:r w:rsidRPr="00E07F00">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E6053E" w:rsidRPr="00E07F00" w:rsidRDefault="00E6053E" w:rsidP="00E6053E">
      <w:pPr>
        <w:autoSpaceDE w:val="0"/>
        <w:autoSpaceDN w:val="0"/>
        <w:adjustRightInd w:val="0"/>
        <w:spacing w:line="276" w:lineRule="auto"/>
        <w:ind w:right="-1"/>
        <w:jc w:val="both"/>
        <w:rPr>
          <w:b/>
          <w:bCs/>
        </w:rPr>
      </w:pPr>
      <w:r w:rsidRPr="00E07F00">
        <w:t>El 26 de octubre de 2018, el Consejo Nacional de Armonización Contable con fundamento en los artículos 6, 7, 9 y 14 de la Ley General de Contabilidad Gubernamental, aprobó los siguientes: “</w:t>
      </w:r>
      <w:r w:rsidRPr="00E07F00">
        <w:rPr>
          <w:b/>
          <w:bCs/>
        </w:rPr>
        <w:t xml:space="preserve">Acuerdo por el que se reforman y adicionan las Normas y Metodología para la Determinación de los Momentos Contables de los Ingresos”, </w:t>
      </w:r>
      <w:r w:rsidRPr="00E07F00">
        <w:rPr>
          <w:bCs/>
        </w:rPr>
        <w:t>así como</w:t>
      </w:r>
      <w:r w:rsidRPr="00E07F00">
        <w:rPr>
          <w:b/>
          <w:bCs/>
        </w:rPr>
        <w:t xml:space="preserve">; el Acuerdo por el que se reforma y adiciona el Manual de Contabilidad Gubernamental. </w:t>
      </w:r>
      <w:r w:rsidRPr="00E07F00">
        <w:rPr>
          <w:b/>
          <w:bCs/>
          <w:i/>
          <w:sz w:val="22"/>
        </w:rPr>
        <w:t>“</w:t>
      </w:r>
      <w:r w:rsidRPr="00E07F00">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Pr="00E07F00">
        <w:rPr>
          <w:b/>
          <w:bCs/>
        </w:rPr>
        <w:t>“</w:t>
      </w:r>
    </w:p>
    <w:p w:rsidR="00E6053E" w:rsidRDefault="00E6053E" w:rsidP="00E6053E">
      <w:pPr>
        <w:autoSpaceDE w:val="0"/>
        <w:autoSpaceDN w:val="0"/>
        <w:adjustRightInd w:val="0"/>
        <w:spacing w:line="276" w:lineRule="auto"/>
        <w:ind w:right="-1"/>
        <w:jc w:val="both"/>
        <w:rPr>
          <w:i/>
          <w:sz w:val="18"/>
          <w:szCs w:val="16"/>
        </w:rPr>
      </w:pPr>
      <w:r w:rsidRPr="00E07F00">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07F00">
        <w:rPr>
          <w:rFonts w:eastAsia="Times New Roman" w:cs="Times New Roman"/>
          <w:b/>
          <w:lang w:eastAsia="es-MX"/>
        </w:rPr>
        <w:t>Políticas de Contabilidad Significativas”.</w:t>
      </w:r>
      <w:r w:rsidRPr="00E07F00">
        <w:rPr>
          <w:rFonts w:cs="Arial"/>
          <w:color w:val="000000"/>
          <w:sz w:val="16"/>
          <w:szCs w:val="16"/>
        </w:rPr>
        <w:t xml:space="preserve"> </w:t>
      </w:r>
      <w:r w:rsidRPr="00E07F00">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rsidR="00E6053E" w:rsidRDefault="00E6053E" w:rsidP="00E6053E">
      <w:pPr>
        <w:spacing w:line="259" w:lineRule="auto"/>
        <w:rPr>
          <w:i/>
          <w:sz w:val="18"/>
          <w:szCs w:val="16"/>
        </w:rPr>
      </w:pPr>
      <w:r>
        <w:rPr>
          <w:i/>
          <w:sz w:val="18"/>
          <w:szCs w:val="16"/>
        </w:rPr>
        <w:br w:type="page"/>
      </w:r>
    </w:p>
    <w:p w:rsidR="00E6053E" w:rsidRDefault="00E6053E" w:rsidP="00E6053E">
      <w:pPr>
        <w:autoSpaceDE w:val="0"/>
        <w:autoSpaceDN w:val="0"/>
        <w:adjustRightInd w:val="0"/>
        <w:spacing w:after="240" w:line="276" w:lineRule="auto"/>
        <w:ind w:left="284" w:right="-1"/>
        <w:contextualSpacing/>
        <w:jc w:val="both"/>
        <w:rPr>
          <w:i/>
          <w:sz w:val="18"/>
          <w:szCs w:val="16"/>
        </w:rPr>
      </w:pPr>
      <w:r w:rsidRPr="00E07F00">
        <w:rPr>
          <w:rFonts w:cs="Arial"/>
          <w:b/>
          <w:bCs/>
        </w:rPr>
        <w:lastRenderedPageBreak/>
        <w:t xml:space="preserve">“Acuerdo por el que se reforma y adiciona el Formato de Conciliación entre los Ingresos Presupuestarios y Contables, así como entre los Egresos Presupuestarios y los Gastos Contables”. </w:t>
      </w:r>
      <w:r w:rsidRPr="00E07F00">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rsidR="00E6053E" w:rsidRDefault="00E6053E" w:rsidP="00E6053E">
      <w:pPr>
        <w:autoSpaceDE w:val="0"/>
        <w:autoSpaceDN w:val="0"/>
        <w:adjustRightInd w:val="0"/>
        <w:spacing w:after="240" w:line="276" w:lineRule="auto"/>
        <w:ind w:left="284" w:right="-1"/>
        <w:contextualSpacing/>
        <w:jc w:val="both"/>
        <w:rPr>
          <w:i/>
          <w:sz w:val="18"/>
          <w:szCs w:val="16"/>
        </w:rPr>
      </w:pPr>
    </w:p>
    <w:p w:rsidR="00E6053E" w:rsidRPr="00FD450F" w:rsidRDefault="00E6053E" w:rsidP="00E6053E">
      <w:pPr>
        <w:spacing w:line="259" w:lineRule="auto"/>
        <w:jc w:val="both"/>
        <w:rPr>
          <w:i/>
          <w:sz w:val="18"/>
          <w:szCs w:val="16"/>
        </w:rPr>
      </w:pPr>
      <w:r w:rsidRPr="00E07F00">
        <w:rPr>
          <w:rFonts w:cs="Arial"/>
          <w:b/>
          <w:bCs/>
        </w:rPr>
        <w:t>“Acuerdo por el que se reforma el Clasificador por Rubros de Ingresos”. “</w:t>
      </w:r>
      <w:r w:rsidRPr="00E07F00">
        <w:rPr>
          <w:i/>
          <w:sz w:val="18"/>
          <w:szCs w:val="16"/>
        </w:rPr>
        <w:t>Se reforman el párrafo sexto de antecedentes y el párrafo catorce del punto A. ASPECTOS GENERALES”.</w:t>
      </w:r>
    </w:p>
    <w:p w:rsidR="00E6053E" w:rsidRDefault="00E6053E" w:rsidP="00E6053E">
      <w:pPr>
        <w:spacing w:after="0" w:line="276" w:lineRule="auto"/>
        <w:ind w:right="-1"/>
        <w:jc w:val="both"/>
        <w:rPr>
          <w:rFonts w:cs="Arial"/>
        </w:rPr>
      </w:pPr>
      <w:r w:rsidRPr="00E07F00">
        <w:rPr>
          <w:rFonts w:cs="Arial"/>
        </w:rPr>
        <w:t>Cabe mencionar que, en cumplimiento a los acuerdos referidos anteriormente, a partir de marzo de 2019, se envía la información en pesos,</w:t>
      </w:r>
      <w:r>
        <w:rPr>
          <w:rFonts w:cs="Arial"/>
        </w:rPr>
        <w:t xml:space="preserve"> en los formatos del CONAC,</w:t>
      </w:r>
      <w:r w:rsidRPr="00E07F00">
        <w:rPr>
          <w:rFonts w:cs="Arial"/>
        </w:rPr>
        <w:t xml:space="preserve">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rsidR="00E6053E" w:rsidRDefault="00E6053E" w:rsidP="00E6053E">
      <w:pPr>
        <w:spacing w:after="0" w:line="276" w:lineRule="auto"/>
        <w:ind w:right="-1"/>
        <w:jc w:val="both"/>
        <w:rPr>
          <w:rFonts w:cs="Arial"/>
        </w:rPr>
      </w:pPr>
    </w:p>
    <w:p w:rsidR="00E6053E" w:rsidRPr="00E07F00" w:rsidRDefault="00E6053E" w:rsidP="00E6053E">
      <w:pPr>
        <w:numPr>
          <w:ilvl w:val="0"/>
          <w:numId w:val="10"/>
        </w:numPr>
        <w:autoSpaceDE w:val="0"/>
        <w:autoSpaceDN w:val="0"/>
        <w:adjustRightInd w:val="0"/>
        <w:spacing w:after="240" w:line="276" w:lineRule="auto"/>
        <w:ind w:left="284" w:right="-1" w:firstLine="0"/>
        <w:contextualSpacing/>
        <w:jc w:val="both"/>
        <w:rPr>
          <w:rFonts w:eastAsia="Times New Roman" w:cs="Times New Roman"/>
          <w:lang w:eastAsia="es-MX"/>
        </w:rPr>
      </w:pPr>
      <w:r w:rsidRPr="00E07F00">
        <w:rPr>
          <w:rFonts w:eastAsia="Times New Roman" w:cs="Times New Roman"/>
          <w:b/>
          <w:lang w:eastAsia="es-MX"/>
        </w:rPr>
        <w:t>Políticas</w:t>
      </w:r>
      <w:r>
        <w:rPr>
          <w:rFonts w:eastAsia="Times New Roman" w:cs="Times New Roman"/>
          <w:b/>
          <w:lang w:eastAsia="es-MX"/>
        </w:rPr>
        <w:t xml:space="preserve"> de Contabilidad Significativas</w:t>
      </w:r>
    </w:p>
    <w:p w:rsidR="00E6053E" w:rsidRPr="00E07F00" w:rsidRDefault="00E6053E" w:rsidP="00E6053E">
      <w:pPr>
        <w:autoSpaceDE w:val="0"/>
        <w:autoSpaceDN w:val="0"/>
        <w:adjustRightInd w:val="0"/>
        <w:spacing w:after="240" w:line="276" w:lineRule="auto"/>
        <w:ind w:left="284" w:right="-1"/>
        <w:contextualSpacing/>
        <w:jc w:val="both"/>
        <w:rPr>
          <w:rFonts w:eastAsia="Times New Roman" w:cs="Times New Roman"/>
          <w:lang w:eastAsia="es-MX"/>
        </w:rPr>
      </w:pPr>
    </w:p>
    <w:p w:rsidR="00E6053E" w:rsidRPr="00E07F00" w:rsidRDefault="00E6053E" w:rsidP="00E6053E">
      <w:pPr>
        <w:numPr>
          <w:ilvl w:val="0"/>
          <w:numId w:val="24"/>
        </w:numPr>
        <w:spacing w:before="240" w:line="276" w:lineRule="auto"/>
        <w:jc w:val="both"/>
        <w:rPr>
          <w:rFonts w:cs="Arial"/>
        </w:rPr>
      </w:pPr>
      <w:r w:rsidRPr="00E07F00">
        <w:rPr>
          <w:rFonts w:cs="Arial"/>
        </w:rPr>
        <w:t>Los Estados Financieros se preparan tomando como base los Postulados Básicos de Contabilidad Gubernamental.</w:t>
      </w:r>
    </w:p>
    <w:p w:rsidR="00E6053E" w:rsidRPr="00E07F00" w:rsidRDefault="00E6053E" w:rsidP="00E6053E">
      <w:pPr>
        <w:numPr>
          <w:ilvl w:val="0"/>
          <w:numId w:val="24"/>
        </w:numPr>
        <w:spacing w:line="259" w:lineRule="auto"/>
        <w:ind w:right="-1"/>
        <w:jc w:val="both"/>
        <w:rPr>
          <w:rFonts w:cs="Arial"/>
        </w:rPr>
      </w:pPr>
      <w:r w:rsidRPr="00E07F00">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E6053E" w:rsidRPr="00E07F00" w:rsidRDefault="00E6053E" w:rsidP="00E6053E">
      <w:pPr>
        <w:numPr>
          <w:ilvl w:val="0"/>
          <w:numId w:val="24"/>
        </w:numPr>
        <w:spacing w:line="276" w:lineRule="auto"/>
        <w:ind w:right="-1"/>
        <w:jc w:val="both"/>
        <w:rPr>
          <w:rFonts w:cs="Arial"/>
        </w:rPr>
      </w:pPr>
      <w:r w:rsidRPr="00E07F00">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E6053E" w:rsidRPr="00E07F00" w:rsidRDefault="00E6053E" w:rsidP="00E6053E">
      <w:pPr>
        <w:numPr>
          <w:ilvl w:val="0"/>
          <w:numId w:val="24"/>
        </w:numPr>
        <w:spacing w:line="276" w:lineRule="auto"/>
        <w:ind w:right="-1"/>
        <w:jc w:val="both"/>
        <w:rPr>
          <w:rFonts w:cs="Arial"/>
        </w:rPr>
      </w:pPr>
      <w:r w:rsidRPr="00E07F00">
        <w:rPr>
          <w:rFonts w:cs="Arial"/>
        </w:rPr>
        <w:t>La información de obra pública se clasifica en Obras en Proceso y Gasto Ejercido; y Obras Concluidas y su Costo. Así como la información de la nómina: Plantilla de personal.</w:t>
      </w:r>
    </w:p>
    <w:p w:rsidR="00E6053E" w:rsidRPr="00E07F00" w:rsidRDefault="00E6053E" w:rsidP="00E6053E">
      <w:pPr>
        <w:numPr>
          <w:ilvl w:val="0"/>
          <w:numId w:val="24"/>
        </w:numPr>
        <w:spacing w:line="276" w:lineRule="auto"/>
        <w:ind w:right="-1"/>
        <w:jc w:val="both"/>
        <w:rPr>
          <w:rFonts w:cs="Arial"/>
        </w:rPr>
      </w:pPr>
      <w:r w:rsidRPr="00E07F00">
        <w:rPr>
          <w:rFonts w:cs="Arial"/>
        </w:rPr>
        <w:t>Respecto a la clasificación del pasivo, se considerará a corto plazo el que vence dentro del ejercicio fiscal correspondiente y, a largo plazo el que venza en ejercicios fiscales posteriores al que corresponda la información.</w:t>
      </w:r>
    </w:p>
    <w:p w:rsidR="00E6053E" w:rsidRPr="00E07F00" w:rsidRDefault="00E6053E" w:rsidP="00E6053E">
      <w:pPr>
        <w:numPr>
          <w:ilvl w:val="0"/>
          <w:numId w:val="24"/>
        </w:numPr>
        <w:spacing w:line="276" w:lineRule="auto"/>
        <w:ind w:right="-1"/>
        <w:jc w:val="both"/>
        <w:rPr>
          <w:rFonts w:cs="Arial"/>
        </w:rPr>
      </w:pPr>
      <w:r w:rsidRPr="00E07F00">
        <w:rPr>
          <w:rFonts w:cs="Arial"/>
        </w:rPr>
        <w:lastRenderedPageBreak/>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E6053E" w:rsidRPr="00E07F00" w:rsidRDefault="00E6053E" w:rsidP="00E6053E">
      <w:pPr>
        <w:numPr>
          <w:ilvl w:val="0"/>
          <w:numId w:val="24"/>
        </w:numPr>
        <w:spacing w:line="276" w:lineRule="auto"/>
        <w:ind w:right="-1"/>
        <w:jc w:val="both"/>
        <w:rPr>
          <w:rFonts w:cs="Arial"/>
        </w:rPr>
      </w:pPr>
      <w:r w:rsidRPr="00E07F00">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rsidR="00E6053E" w:rsidRPr="00E07F00" w:rsidRDefault="00E6053E" w:rsidP="00E6053E">
      <w:pPr>
        <w:numPr>
          <w:ilvl w:val="0"/>
          <w:numId w:val="24"/>
        </w:numPr>
        <w:spacing w:line="276" w:lineRule="auto"/>
        <w:ind w:right="-1"/>
        <w:jc w:val="both"/>
        <w:rPr>
          <w:rFonts w:cs="Arial"/>
        </w:rPr>
      </w:pPr>
      <w:r w:rsidRPr="00E07F00">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E6053E" w:rsidRDefault="00E6053E" w:rsidP="00E6053E">
      <w:pPr>
        <w:numPr>
          <w:ilvl w:val="0"/>
          <w:numId w:val="24"/>
        </w:numPr>
        <w:spacing w:line="276" w:lineRule="auto"/>
        <w:ind w:right="-1"/>
        <w:jc w:val="both"/>
        <w:rPr>
          <w:rFonts w:cs="Arial"/>
        </w:rPr>
      </w:pPr>
      <w:r w:rsidRPr="00E07F00">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E6053E" w:rsidRPr="006B0830" w:rsidRDefault="00E6053E" w:rsidP="00E6053E">
      <w:pPr>
        <w:numPr>
          <w:ilvl w:val="0"/>
          <w:numId w:val="24"/>
        </w:numPr>
        <w:spacing w:line="259" w:lineRule="auto"/>
        <w:ind w:right="-1"/>
        <w:jc w:val="both"/>
        <w:rPr>
          <w:rFonts w:cs="Arial"/>
        </w:rPr>
      </w:pPr>
      <w:r w:rsidRPr="006B0830">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1D1BE7" w:rsidRDefault="001D1BE7" w:rsidP="001D1BE7">
      <w:pPr>
        <w:spacing w:line="276" w:lineRule="auto"/>
        <w:ind w:right="-1"/>
        <w:jc w:val="both"/>
        <w:rPr>
          <w:rFonts w:cs="Arial"/>
        </w:rPr>
      </w:pPr>
    </w:p>
    <w:p w:rsidR="001D1BE7" w:rsidRPr="00B05C27" w:rsidRDefault="001D1BE7" w:rsidP="001D1BE7">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Posición en Moneda Extranjera y Protección por Riesgo Cambiario</w:t>
      </w:r>
    </w:p>
    <w:p w:rsidR="001D1BE7" w:rsidRDefault="001D1BE7" w:rsidP="001D1BE7">
      <w:pPr>
        <w:pStyle w:val="Texto"/>
        <w:spacing w:line="276" w:lineRule="auto"/>
        <w:ind w:right="-1" w:firstLine="0"/>
        <w:rPr>
          <w:rFonts w:ascii="HelveticaNeueLT Std" w:hAnsi="HelveticaNeueLT Std"/>
          <w:sz w:val="20"/>
        </w:rPr>
      </w:pPr>
      <w:r w:rsidRPr="00B05C27">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r>
        <w:rPr>
          <w:rFonts w:ascii="HelveticaNeueLT Std" w:hAnsi="HelveticaNeueLT Std"/>
          <w:sz w:val="20"/>
        </w:rPr>
        <w:t>.</w:t>
      </w:r>
    </w:p>
    <w:p w:rsidR="00644B34" w:rsidRDefault="00644B34">
      <w:pPr>
        <w:spacing w:line="259" w:lineRule="auto"/>
        <w:rPr>
          <w:rFonts w:eastAsia="Times New Roman" w:cs="Arial"/>
          <w:lang w:val="es-ES" w:eastAsia="es-ES"/>
        </w:rPr>
      </w:pPr>
      <w:r>
        <w:br w:type="page"/>
      </w:r>
    </w:p>
    <w:p w:rsidR="00644B34" w:rsidRDefault="00644B34" w:rsidP="001D1BE7">
      <w:pPr>
        <w:pStyle w:val="Texto"/>
        <w:spacing w:line="276" w:lineRule="auto"/>
        <w:ind w:right="-1" w:firstLine="0"/>
        <w:rPr>
          <w:rFonts w:ascii="HelveticaNeueLT Std" w:hAnsi="HelveticaNeueLT Std"/>
          <w:sz w:val="20"/>
        </w:rPr>
      </w:pPr>
    </w:p>
    <w:p w:rsidR="001D1BE7" w:rsidRPr="00B05C27" w:rsidRDefault="001D1BE7" w:rsidP="00644B34">
      <w:pPr>
        <w:pStyle w:val="Texto"/>
        <w:numPr>
          <w:ilvl w:val="0"/>
          <w:numId w:val="12"/>
        </w:numPr>
        <w:spacing w:line="276" w:lineRule="auto"/>
        <w:ind w:right="-1"/>
        <w:rPr>
          <w:rFonts w:ascii="HelveticaNeueLT Std" w:hAnsi="HelveticaNeueLT Std"/>
          <w:b/>
          <w:sz w:val="20"/>
        </w:rPr>
      </w:pPr>
      <w:r w:rsidRPr="00B05C27">
        <w:rPr>
          <w:rFonts w:ascii="HelveticaNeueLT Std" w:hAnsi="HelveticaNeueLT Std"/>
          <w:b/>
          <w:sz w:val="20"/>
        </w:rPr>
        <w:t>Reporte Analítico del Activo</w:t>
      </w:r>
    </w:p>
    <w:p w:rsidR="001D1BE7" w:rsidRPr="006C38BA" w:rsidRDefault="001D1BE7" w:rsidP="001D1BE7">
      <w:pPr>
        <w:pStyle w:val="Texto"/>
        <w:spacing w:after="0" w:line="240" w:lineRule="exact"/>
        <w:ind w:left="644" w:firstLine="0"/>
        <w:rPr>
          <w:rFonts w:ascii="HelveticaNeueLT Std" w:hAnsi="HelveticaNeueLT Std"/>
          <w:sz w:val="20"/>
          <w:lang w:val="es-MX"/>
        </w:rPr>
      </w:pPr>
      <w:r w:rsidRPr="00B05C27">
        <w:rPr>
          <w:rFonts w:ascii="HelveticaNeueLT Std" w:hAnsi="HelveticaNeueLT Std"/>
          <w:noProof/>
          <w:sz w:val="20"/>
          <w:lang w:val="es-MX" w:eastAsia="es-MX"/>
        </w:rPr>
        <mc:AlternateContent>
          <mc:Choice Requires="wpc">
            <w:drawing>
              <wp:anchor distT="0" distB="0" distL="114300" distR="114300" simplePos="0" relativeHeight="251659264" behindDoc="0" locked="0" layoutInCell="1" allowOverlap="1" wp14:anchorId="67077E0E" wp14:editId="257BD27A">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65F1CE0"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OvxQAAANwAAAAPAAAAZHJzL2Rvd25yZXYueG1sRI/NasMw&#10;EITvhbyD2EIvpZFbG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AAf9OvxQAAANwAAAAP&#10;AAAAAAAAAAAAAAAAAAcCAABkcnMvZG93bnJldi54bWxQSwUGAAAAAAMAAwC3AAAA+QIAAAAA&#10;" fillcolor="#d4d4d4" stroked="f"/>
                <v:line id="Line 440" o:spid="_x0000_s1029" style="position:absolute;visibility:visible;mso-wrap-style:square" from="63627,3403" to="6363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41" o:spid="_x0000_s1030" style="position:absolute;left:63627;top:3403;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42" o:spid="_x0000_s1031" style="position:absolute;visibility:visible;mso-wrap-style:square" from="63627,4972" to="6363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43" o:spid="_x0000_s1032" style="position:absolute;left:63627;top:4972;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44" o:spid="_x0000_s1033" style="position:absolute;visibility:visible;mso-wrap-style:square" from="63627,6216" to="6363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45" o:spid="_x0000_s1034" style="position:absolute;left:63627;top:6216;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46" o:spid="_x0000_s1035" style="position:absolute;visibility:visible;mso-wrap-style:square" from="63627,7334" to="63633,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47" o:spid="_x0000_s1036" style="position:absolute;left:63627;top:733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48" o:spid="_x0000_s1037" style="position:absolute;visibility:visible;mso-wrap-style:square" from="63627,8445" to="63633,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49" o:spid="_x0000_s1038" style="position:absolute;left:63627;top:8445;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50" o:spid="_x0000_s1039" style="position:absolute;visibility:visible;mso-wrap-style:square" from="63627,9556" to="63633,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51" o:spid="_x0000_s1040" style="position:absolute;left:63627;top:9556;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52" o:spid="_x0000_s1041" style="position:absolute;visibility:visible;mso-wrap-style:square" from="63627,10674" to="63633,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53" o:spid="_x0000_s1042" style="position:absolute;left:63627;top:10674;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54" o:spid="_x0000_s1043" style="position:absolute;visibility:visible;mso-wrap-style:square" from="63627,12376" to="6363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55" o:spid="_x0000_s1044" style="position:absolute;left:63627;top:1237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56" o:spid="_x0000_s1045" style="position:absolute;visibility:visible;mso-wrap-style:square" from="63627,13487" to="63633,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57" o:spid="_x0000_s1046" style="position:absolute;left:63627;top:13487;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58" o:spid="_x0000_s1047" style="position:absolute;visibility:visible;mso-wrap-style:square" from="63627,14598" to="63633,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59" o:spid="_x0000_s1048" style="position:absolute;left:63627;top:14598;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60" o:spid="_x0000_s1049" style="position:absolute;visibility:visible;mso-wrap-style:square" from="63627,15716" to="63633,1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61" o:spid="_x0000_s1050" style="position:absolute;left:63627;top:15716;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62" o:spid="_x0000_s1051" style="position:absolute;visibility:visible;mso-wrap-style:square" from="63627,16827" to="63633,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63" o:spid="_x0000_s1052" style="position:absolute;left:63627;top:16827;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64" o:spid="_x0000_s1053" style="position:absolute;visibility:visible;mso-wrap-style:square" from="63627,17938" to="63633,17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65" o:spid="_x0000_s1054" style="position:absolute;left:63627;top:17938;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66" o:spid="_x0000_s1055" style="position:absolute;visibility:visible;mso-wrap-style:square" from="63627,19119" to="63633,1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67" o:spid="_x0000_s1056" style="position:absolute;left:63627;top:19119;width:63;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group>
            </w:pict>
          </mc:Fallback>
        </mc:AlternateContent>
      </w:r>
      <w:r w:rsidRPr="00B05C27">
        <w:rPr>
          <w:rFonts w:ascii="HelveticaNeueLT Std" w:hAnsi="HelveticaNeueLT Std"/>
          <w:sz w:val="20"/>
          <w:lang w:val="es-MX"/>
        </w:rPr>
        <w:t>En el “</w:t>
      </w:r>
      <w:r w:rsidRPr="00B05C27">
        <w:rPr>
          <w:rFonts w:ascii="HelveticaNeueLT Std" w:hAnsi="HelveticaNeueLT Std"/>
          <w:b/>
          <w:sz w:val="20"/>
          <w:lang w:val="es-MX"/>
        </w:rPr>
        <w:t xml:space="preserve">Estado Analítico del Activo”, </w:t>
      </w:r>
      <w:r w:rsidRPr="00B05C27">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B05C27">
        <w:rPr>
          <w:rFonts w:ascii="HelveticaNeueLT Std" w:hAnsi="HelveticaNeueLT Std"/>
          <w:b/>
          <w:sz w:val="20"/>
          <w:lang w:val="es-MX"/>
        </w:rPr>
        <w:t xml:space="preserve"> bienes muebles e inmuebles, </w:t>
      </w:r>
      <w:r w:rsidRPr="00B05C27">
        <w:rPr>
          <w:rFonts w:ascii="HelveticaNeueLT Std" w:hAnsi="HelveticaNeueLT Std"/>
          <w:sz w:val="20"/>
          <w:lang w:val="es-MX"/>
        </w:rPr>
        <w:t>como</w:t>
      </w:r>
      <w:r w:rsidRPr="00B05C27">
        <w:rPr>
          <w:rFonts w:ascii="HelveticaNeueLT Std" w:hAnsi="HelveticaNeueLT Std"/>
          <w:b/>
          <w:sz w:val="20"/>
          <w:lang w:val="es-MX"/>
        </w:rPr>
        <w:t xml:space="preserve"> </w:t>
      </w:r>
      <w:r w:rsidRPr="00B05C27">
        <w:rPr>
          <w:rFonts w:ascii="HelveticaNeueLT Std" w:hAnsi="HelveticaNeueLT Std"/>
          <w:sz w:val="20"/>
          <w:lang w:val="es-MX"/>
        </w:rPr>
        <w:t>se detallan a continuación:</w:t>
      </w:r>
    </w:p>
    <w:p w:rsidR="001D1BE7" w:rsidRPr="00B05C27" w:rsidRDefault="001D1BE7" w:rsidP="001D1BE7">
      <w:pPr>
        <w:pStyle w:val="Prrafodelista"/>
        <w:tabs>
          <w:tab w:val="left" w:pos="7080"/>
        </w:tabs>
        <w:spacing w:after="101" w:line="276" w:lineRule="auto"/>
        <w:ind w:left="644" w:right="-1"/>
        <w:rPr>
          <w:rFonts w:ascii="HelveticaNeueLT Std" w:hAnsi="HelveticaNeueLT Std"/>
          <w:b/>
          <w:sz w:val="20"/>
          <w:szCs w:val="20"/>
        </w:rPr>
      </w:pPr>
      <w:r w:rsidRPr="00CA5E34">
        <w:rPr>
          <w:noProof/>
        </w:rPr>
        <w:drawing>
          <wp:inline distT="0" distB="0" distL="0" distR="0" wp14:anchorId="1A4661AC" wp14:editId="191DC4AD">
            <wp:extent cx="5162550" cy="1866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0" cy="1866900"/>
                    </a:xfrm>
                    <a:prstGeom prst="rect">
                      <a:avLst/>
                    </a:prstGeom>
                    <a:noFill/>
                    <a:ln>
                      <a:noFill/>
                    </a:ln>
                  </pic:spPr>
                </pic:pic>
              </a:graphicData>
            </a:graphic>
          </wp:inline>
        </w:drawing>
      </w:r>
    </w:p>
    <w:p w:rsidR="001D1BE7" w:rsidRPr="00B05C27" w:rsidRDefault="001D1BE7" w:rsidP="001D1BE7">
      <w:pPr>
        <w:pStyle w:val="Prrafodelista"/>
        <w:tabs>
          <w:tab w:val="left" w:pos="7080"/>
        </w:tabs>
        <w:spacing w:after="101" w:line="276" w:lineRule="auto"/>
        <w:ind w:left="644" w:right="-1"/>
        <w:rPr>
          <w:rFonts w:ascii="HelveticaNeueLT Std" w:hAnsi="HelveticaNeueLT Std"/>
          <w:b/>
          <w:sz w:val="20"/>
          <w:szCs w:val="20"/>
        </w:rPr>
      </w:pPr>
    </w:p>
    <w:p w:rsidR="001D1BE7" w:rsidRPr="00B05C27" w:rsidRDefault="001D1BE7" w:rsidP="001D1BE7">
      <w:pPr>
        <w:pStyle w:val="Texto"/>
        <w:spacing w:line="276" w:lineRule="auto"/>
        <w:ind w:right="-1" w:firstLine="0"/>
        <w:rPr>
          <w:rFonts w:ascii="HelveticaNeueLT Std" w:hAnsi="HelveticaNeueLT Std"/>
          <w:sz w:val="20"/>
          <w:lang w:val="es-MX"/>
        </w:rPr>
      </w:pPr>
      <w:r w:rsidRPr="00B05C27">
        <w:rPr>
          <w:rFonts w:ascii="HelveticaNeueLT Std" w:hAnsi="HelveticaNeueLT Std"/>
          <w:b/>
          <w:sz w:val="20"/>
          <w:lang w:val="es-MX"/>
        </w:rPr>
        <w:t xml:space="preserve">Depreciación. - </w:t>
      </w:r>
      <w:r w:rsidRPr="00B05C27">
        <w:rPr>
          <w:rFonts w:ascii="HelveticaNeueLT Std" w:hAnsi="HelveticaNeueLT Std"/>
          <w:sz w:val="20"/>
          <w:lang w:val="es-MX"/>
        </w:rPr>
        <w:t xml:space="preserve">Se calcula por el método de línea recta </w:t>
      </w:r>
      <w:r w:rsidRPr="00AE0997">
        <w:rPr>
          <w:rFonts w:ascii="HelveticaNeueLT Std" w:hAnsi="HelveticaNeueLT Std"/>
          <w:sz w:val="20"/>
          <w:lang w:val="es-MX"/>
        </w:rPr>
        <w:t>a partir del mes siguiente al de su adquisición, aplicando los porcentajes siguientes:</w:t>
      </w:r>
    </w:p>
    <w:tbl>
      <w:tblPr>
        <w:tblStyle w:val="Tablaconcuadrcula"/>
        <w:tblW w:w="0" w:type="auto"/>
        <w:tblInd w:w="1134" w:type="dxa"/>
        <w:tblLook w:val="04A0" w:firstRow="1" w:lastRow="0" w:firstColumn="1" w:lastColumn="0" w:noHBand="0" w:noVBand="1"/>
      </w:tblPr>
      <w:tblGrid>
        <w:gridCol w:w="4746"/>
        <w:gridCol w:w="2824"/>
      </w:tblGrid>
      <w:tr w:rsidR="001D1BE7" w:rsidRPr="00B05C27" w:rsidTr="00FD04F7">
        <w:trPr>
          <w:trHeight w:val="872"/>
        </w:trPr>
        <w:tc>
          <w:tcPr>
            <w:tcW w:w="4746" w:type="dxa"/>
          </w:tcPr>
          <w:p w:rsidR="001D1BE7" w:rsidRPr="00B05C27" w:rsidRDefault="001D1BE7" w:rsidP="00FD04F7">
            <w:pPr>
              <w:spacing w:line="276" w:lineRule="auto"/>
              <w:ind w:right="-1"/>
              <w:jc w:val="both"/>
              <w:rPr>
                <w:rFonts w:ascii="HelveticaNeueLT Std" w:eastAsia="Times New Roman" w:hAnsi="HelveticaNeueLT Std"/>
                <w:b/>
                <w:color w:val="000000"/>
                <w:u w:val="single"/>
              </w:rPr>
            </w:pPr>
            <w:r w:rsidRPr="00B05C27">
              <w:rPr>
                <w:rFonts w:ascii="HelveticaNeueLT Std" w:eastAsia="Times New Roman" w:hAnsi="HelveticaNeueLT Std"/>
                <w:b/>
                <w:color w:val="000000"/>
                <w:u w:val="single"/>
              </w:rPr>
              <w:t>Concepto</w:t>
            </w:r>
          </w:p>
          <w:p w:rsidR="001D1BE7" w:rsidRPr="00B05C27" w:rsidRDefault="001D1BE7" w:rsidP="00FD04F7">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Edificio</w:t>
            </w:r>
            <w:r>
              <w:rPr>
                <w:rFonts w:ascii="HelveticaNeueLT Std" w:eastAsia="Times New Roman" w:hAnsi="HelveticaNeueLT Std"/>
                <w:color w:val="000000"/>
              </w:rPr>
              <w:t xml:space="preserve">s </w:t>
            </w:r>
          </w:p>
          <w:p w:rsidR="001D1BE7" w:rsidRPr="00B05C27" w:rsidRDefault="001D1BE7" w:rsidP="00FD04F7">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Equipo de cómputo</w:t>
            </w:r>
            <w:r w:rsidRPr="00B05C27">
              <w:rPr>
                <w:rFonts w:ascii="HelveticaNeueLT Std" w:eastAsia="Times New Roman" w:hAnsi="HelveticaNeueLT Std"/>
                <w:color w:val="000000"/>
              </w:rPr>
              <w:tab/>
            </w:r>
          </w:p>
          <w:p w:rsidR="001D1BE7" w:rsidRPr="00B05C27" w:rsidRDefault="001D1BE7" w:rsidP="00FD04F7">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Mobiliario y equipo de oficina</w:t>
            </w:r>
          </w:p>
          <w:p w:rsidR="001D1BE7" w:rsidRPr="00B05C27" w:rsidRDefault="001D1BE7" w:rsidP="00FD04F7">
            <w:pPr>
              <w:spacing w:line="276" w:lineRule="auto"/>
              <w:ind w:right="-1"/>
              <w:rPr>
                <w:rFonts w:ascii="HelveticaNeueLT Std" w:eastAsia="Times New Roman" w:hAnsi="HelveticaNeueLT Std"/>
                <w:color w:val="000000"/>
              </w:rPr>
            </w:pPr>
            <w:r w:rsidRPr="00B05C27">
              <w:rPr>
                <w:rFonts w:ascii="HelveticaNeueLT Std" w:eastAsia="Times New Roman" w:hAnsi="HelveticaNeueLT Std"/>
                <w:color w:val="000000"/>
              </w:rPr>
              <w:t>Maquinaria</w:t>
            </w:r>
            <w:r w:rsidRPr="00B05C27">
              <w:rPr>
                <w:rFonts w:ascii="HelveticaNeueLT Std" w:eastAsia="Times New Roman" w:hAnsi="HelveticaNeueLT Std"/>
                <w:color w:val="000000"/>
              </w:rPr>
              <w:tab/>
            </w:r>
          </w:p>
          <w:p w:rsidR="001D1BE7" w:rsidRPr="00B05C27" w:rsidRDefault="001D1BE7" w:rsidP="00FD04F7">
            <w:pPr>
              <w:spacing w:line="276" w:lineRule="auto"/>
              <w:ind w:right="-1"/>
              <w:rPr>
                <w:rFonts w:ascii="HelveticaNeueLT Std" w:eastAsia="Times New Roman" w:hAnsi="HelveticaNeueLT Std"/>
              </w:rPr>
            </w:pPr>
            <w:r w:rsidRPr="00AE0997">
              <w:rPr>
                <w:rFonts w:ascii="HelveticaNeueLT Std" w:eastAsia="Times New Roman" w:hAnsi="HelveticaNeueLT Std"/>
                <w:color w:val="000000"/>
              </w:rPr>
              <w:t>Vehículos</w:t>
            </w:r>
          </w:p>
        </w:tc>
        <w:tc>
          <w:tcPr>
            <w:tcW w:w="2824" w:type="dxa"/>
          </w:tcPr>
          <w:p w:rsidR="001D1BE7" w:rsidRPr="00B05C27" w:rsidRDefault="001D1BE7" w:rsidP="00FD04F7">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Tasa</w:t>
            </w:r>
          </w:p>
          <w:p w:rsidR="001D1BE7" w:rsidRPr="00B05C27" w:rsidRDefault="001D1BE7" w:rsidP="00FD04F7">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w:t>
            </w:r>
          </w:p>
          <w:p w:rsidR="001D1BE7" w:rsidRPr="00B05C27" w:rsidRDefault="001D1BE7" w:rsidP="00FD04F7">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20%</w:t>
            </w:r>
          </w:p>
          <w:p w:rsidR="001D1BE7" w:rsidRPr="00B05C27" w:rsidRDefault="001D1BE7" w:rsidP="00FD04F7">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3%</w:t>
            </w:r>
          </w:p>
          <w:p w:rsidR="001D1BE7" w:rsidRPr="00B05C27" w:rsidRDefault="001D1BE7" w:rsidP="00FD04F7">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1D1BE7" w:rsidRPr="007A1B58" w:rsidRDefault="001D1BE7" w:rsidP="00FD04F7">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tc>
      </w:tr>
    </w:tbl>
    <w:p w:rsidR="001D1BE7" w:rsidRPr="00B05C27" w:rsidRDefault="001D1BE7" w:rsidP="001D1BE7">
      <w:pPr>
        <w:pStyle w:val="Texto"/>
        <w:tabs>
          <w:tab w:val="left" w:pos="1803"/>
        </w:tabs>
        <w:spacing w:line="276" w:lineRule="auto"/>
        <w:ind w:right="-1" w:firstLine="0"/>
        <w:rPr>
          <w:rFonts w:ascii="HelveticaNeueLT Std" w:hAnsi="HelveticaNeueLT Std"/>
          <w:b/>
          <w:sz w:val="20"/>
          <w:lang w:val="es-MX"/>
        </w:rPr>
      </w:pPr>
    </w:p>
    <w:p w:rsidR="001D1BE7" w:rsidRPr="007A1B58" w:rsidRDefault="001D1BE7" w:rsidP="001D1BE7">
      <w:pPr>
        <w:tabs>
          <w:tab w:val="left" w:pos="1803"/>
        </w:tabs>
        <w:spacing w:after="101" w:line="276" w:lineRule="auto"/>
        <w:ind w:right="-1"/>
        <w:jc w:val="both"/>
        <w:rPr>
          <w:rFonts w:eastAsia="Times New Roman" w:cs="Arial"/>
          <w:color w:val="000000"/>
          <w:lang w:eastAsia="es-ES"/>
        </w:rPr>
      </w:pPr>
      <w:r w:rsidRPr="00B05C27">
        <w:rPr>
          <w:rFonts w:eastAsia="Times New Roman" w:cs="Arial"/>
          <w:b/>
          <w:lang w:eastAsia="es-ES"/>
        </w:rPr>
        <w:t>Depreciación, Deterioro y Amortización Acumulada de Bienes</w:t>
      </w:r>
      <w:r w:rsidRPr="00B05C27">
        <w:rPr>
          <w:rFonts w:eastAsia="Times New Roman" w:cs="Arial"/>
          <w:lang w:eastAsia="es-ES"/>
        </w:rPr>
        <w:t xml:space="preserve">. - El saldo de </w:t>
      </w:r>
      <w:r>
        <w:rPr>
          <w:rFonts w:eastAsia="Times New Roman" w:cs="Arial"/>
          <w:lang w:eastAsia="es-ES"/>
        </w:rPr>
        <w:t>142,109,246.87</w:t>
      </w:r>
      <w:r w:rsidRPr="003800B7">
        <w:rPr>
          <w:rFonts w:eastAsia="Times New Roman" w:cs="Arial"/>
          <w:lang w:eastAsia="es-ES"/>
        </w:rPr>
        <w:t xml:space="preserve"> </w:t>
      </w:r>
      <w:r w:rsidRPr="008769F8">
        <w:rPr>
          <w:rFonts w:eastAsia="Times New Roman" w:cs="Arial"/>
          <w:lang w:eastAsia="es-ES"/>
        </w:rPr>
        <w:t xml:space="preserve">se integra con las siguientes cuentas, dando un total neto en el rubro de activo fijo </w:t>
      </w:r>
      <w:r w:rsidRPr="008769F8">
        <w:rPr>
          <w:rFonts w:eastAsia="Times New Roman" w:cs="Arial"/>
          <w:color w:val="000000"/>
          <w:lang w:eastAsia="es-ES"/>
        </w:rPr>
        <w:t xml:space="preserve">de </w:t>
      </w:r>
      <w:r>
        <w:rPr>
          <w:rFonts w:eastAsia="Times New Roman" w:cs="Arial"/>
          <w:color w:val="000000"/>
          <w:lang w:eastAsia="es-ES"/>
        </w:rPr>
        <w:t>171,679,904.43</w:t>
      </w:r>
      <w:r w:rsidRPr="007A1B58">
        <w:rPr>
          <w:rFonts w:eastAsia="Times New Roman" w:cs="Arial"/>
          <w:color w:val="000000"/>
          <w:lang w:eastAsia="es-ES"/>
        </w:rPr>
        <w:t>.</w:t>
      </w:r>
    </w:p>
    <w:p w:rsidR="001D1BE7" w:rsidRPr="007A1B58" w:rsidRDefault="001D1BE7" w:rsidP="001D1BE7">
      <w:pPr>
        <w:spacing w:after="101" w:line="276" w:lineRule="auto"/>
        <w:ind w:right="-1"/>
        <w:jc w:val="both"/>
        <w:rPr>
          <w:rFonts w:eastAsia="Times New Roman" w:cs="Arial"/>
          <w:lang w:eastAsia="es-ES"/>
        </w:rPr>
      </w:pPr>
      <w:r w:rsidRPr="00B05C27">
        <w:rPr>
          <w:rFonts w:eastAsia="Times New Roman" w:cs="Arial"/>
          <w:b/>
          <w:lang w:eastAsia="es-ES"/>
        </w:rPr>
        <w:t>Depreciación Acumulada de Bienes Inmuebles. -</w:t>
      </w:r>
      <w:r>
        <w:rPr>
          <w:rFonts w:eastAsia="Times New Roman" w:cs="Arial"/>
          <w:lang w:eastAsia="es-ES"/>
        </w:rPr>
        <w:t xml:space="preserve"> </w:t>
      </w:r>
      <w:r w:rsidRPr="00D20C3D">
        <w:rPr>
          <w:rFonts w:eastAsia="Times New Roman" w:cs="Arial"/>
          <w:lang w:eastAsia="es-ES"/>
        </w:rPr>
        <w:t xml:space="preserve">El saldo de </w:t>
      </w:r>
      <w:r>
        <w:rPr>
          <w:rFonts w:eastAsia="Times New Roman" w:cs="Arial"/>
          <w:lang w:eastAsia="es-ES"/>
        </w:rPr>
        <w:t>7,578,501.09</w:t>
      </w:r>
      <w:r w:rsidRPr="007A1B58">
        <w:rPr>
          <w:rFonts w:eastAsia="Times New Roman" w:cs="Arial"/>
          <w:lang w:eastAsia="es-ES"/>
        </w:rPr>
        <w:t xml:space="preserve">, </w:t>
      </w:r>
      <w:r w:rsidRPr="00D20C3D">
        <w:rPr>
          <w:rFonts w:eastAsia="Times New Roman" w:cs="Arial"/>
          <w:lang w:eastAsia="es-ES"/>
        </w:rPr>
        <w:t xml:space="preserve">es el importe de la disminución a valores históricos de los bienes inmuebles del Instituto, el total neto en la cuenta de Edificios No Habitacionales es por </w:t>
      </w:r>
      <w:r>
        <w:rPr>
          <w:rFonts w:eastAsia="Times New Roman" w:cs="Arial"/>
          <w:lang w:eastAsia="es-ES"/>
        </w:rPr>
        <w:t>78,747,234.10</w:t>
      </w:r>
      <w:r w:rsidRPr="007A1B58">
        <w:rPr>
          <w:rFonts w:eastAsia="Times New Roman" w:cs="Arial"/>
          <w:lang w:eastAsia="es-ES"/>
        </w:rPr>
        <w:t>.</w:t>
      </w:r>
    </w:p>
    <w:p w:rsidR="001D1BE7" w:rsidRPr="007A1B58" w:rsidRDefault="001D1BE7" w:rsidP="001D1BE7">
      <w:pPr>
        <w:spacing w:after="101" w:line="276" w:lineRule="auto"/>
        <w:ind w:right="-1"/>
        <w:jc w:val="both"/>
        <w:rPr>
          <w:rFonts w:eastAsia="Times New Roman" w:cs="Arial"/>
          <w:lang w:eastAsia="es-ES"/>
        </w:rPr>
      </w:pPr>
      <w:r w:rsidRPr="00EA3E01">
        <w:rPr>
          <w:rFonts w:eastAsia="Times New Roman" w:cs="Arial"/>
          <w:b/>
          <w:lang w:eastAsia="es-ES"/>
        </w:rPr>
        <w:t>Depreciación Acumulada de Bienes Muebles. -</w:t>
      </w:r>
      <w:r w:rsidRPr="00EA3E01">
        <w:rPr>
          <w:rFonts w:eastAsia="Times New Roman" w:cs="Arial"/>
          <w:lang w:eastAsia="es-ES"/>
        </w:rPr>
        <w:t xml:space="preserve"> El saldo </w:t>
      </w:r>
      <w:r>
        <w:rPr>
          <w:rFonts w:eastAsia="Times New Roman" w:cs="Arial"/>
          <w:lang w:eastAsia="es-ES"/>
        </w:rPr>
        <w:t xml:space="preserve">de </w:t>
      </w:r>
      <w:r w:rsidRPr="007A1B58">
        <w:rPr>
          <w:rFonts w:eastAsia="Times New Roman" w:cs="Arial"/>
          <w:lang w:eastAsia="es-ES"/>
        </w:rPr>
        <w:t>13</w:t>
      </w:r>
      <w:r>
        <w:rPr>
          <w:rFonts w:eastAsia="Times New Roman" w:cs="Arial"/>
          <w:lang w:eastAsia="es-ES"/>
        </w:rPr>
        <w:t>4,530.745.78</w:t>
      </w:r>
      <w:r w:rsidRPr="007A1B58">
        <w:rPr>
          <w:rFonts w:eastAsia="Times New Roman" w:cs="Arial"/>
          <w:lang w:eastAsia="es-ES"/>
        </w:rPr>
        <w:t xml:space="preserve">, </w:t>
      </w:r>
      <w:r>
        <w:rPr>
          <w:rFonts w:eastAsia="Times New Roman" w:cs="Arial"/>
          <w:lang w:eastAsia="es-ES"/>
        </w:rPr>
        <w:t>e</w:t>
      </w:r>
      <w:r w:rsidRPr="00EA3E01">
        <w:rPr>
          <w:rFonts w:eastAsia="Times New Roman" w:cs="Arial"/>
          <w:lang w:eastAsia="es-ES"/>
        </w:rPr>
        <w:t xml:space="preserve">s el importe de la disminución a valores históricos de los bienes muebles del Instituto, dando un total neto en este rubro por </w:t>
      </w:r>
      <w:r>
        <w:rPr>
          <w:rFonts w:eastAsia="Times New Roman" w:cs="Arial"/>
          <w:lang w:eastAsia="es-ES"/>
        </w:rPr>
        <w:t>92,932,670.33</w:t>
      </w:r>
      <w:r w:rsidRPr="007A1B58">
        <w:rPr>
          <w:rFonts w:eastAsia="Times New Roman" w:cs="Arial"/>
          <w:lang w:eastAsia="es-ES"/>
        </w:rPr>
        <w:t>.</w:t>
      </w:r>
    </w:p>
    <w:p w:rsidR="00644B34" w:rsidRDefault="00644B34">
      <w:pPr>
        <w:spacing w:line="259" w:lineRule="auto"/>
        <w:rPr>
          <w:rFonts w:eastAsia="Times New Roman" w:cs="Arial"/>
          <w:lang w:eastAsia="es-ES"/>
        </w:rPr>
      </w:pPr>
      <w:r>
        <w:rPr>
          <w:rFonts w:eastAsia="Times New Roman" w:cs="Arial"/>
          <w:lang w:eastAsia="es-ES"/>
        </w:rPr>
        <w:br w:type="page"/>
      </w:r>
    </w:p>
    <w:p w:rsidR="001D1BE7" w:rsidRDefault="001D1BE7" w:rsidP="001D1BE7">
      <w:pPr>
        <w:spacing w:after="101" w:line="276" w:lineRule="auto"/>
        <w:ind w:right="-1"/>
        <w:jc w:val="both"/>
        <w:rPr>
          <w:rFonts w:eastAsia="Times New Roman" w:cs="Arial"/>
          <w:lang w:eastAsia="es-ES"/>
        </w:rPr>
      </w:pPr>
    </w:p>
    <w:p w:rsidR="001D1BE7" w:rsidRPr="00B05C27" w:rsidRDefault="001D1BE7" w:rsidP="00644B34">
      <w:pPr>
        <w:pStyle w:val="Prrafodelista"/>
        <w:numPr>
          <w:ilvl w:val="0"/>
          <w:numId w:val="36"/>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Fideicomisos, Mandatos y Análogos</w:t>
      </w:r>
    </w:p>
    <w:p w:rsidR="001D1BE7" w:rsidRPr="00B05C27" w:rsidRDefault="001D1BE7" w:rsidP="001D1BE7">
      <w:pPr>
        <w:numPr>
          <w:ilvl w:val="0"/>
          <w:numId w:val="13"/>
        </w:numPr>
        <w:spacing w:after="240" w:line="276" w:lineRule="auto"/>
        <w:ind w:right="-1"/>
        <w:jc w:val="both"/>
        <w:rPr>
          <w:rFonts w:cs="Arial"/>
        </w:rPr>
      </w:pPr>
      <w:r w:rsidRPr="00B05C27">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1D1BE7" w:rsidRPr="00B05C27" w:rsidRDefault="001D1BE7" w:rsidP="001D1BE7">
      <w:pPr>
        <w:numPr>
          <w:ilvl w:val="0"/>
          <w:numId w:val="13"/>
        </w:numPr>
        <w:spacing w:after="240" w:line="276" w:lineRule="auto"/>
        <w:ind w:right="-1"/>
        <w:jc w:val="both"/>
        <w:rPr>
          <w:rFonts w:cs="Arial"/>
        </w:rPr>
      </w:pPr>
      <w:r w:rsidRPr="00B05C27">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1D1BE7" w:rsidRPr="00B05C27" w:rsidRDefault="001D1BE7" w:rsidP="001D1BE7">
      <w:pPr>
        <w:numPr>
          <w:ilvl w:val="0"/>
          <w:numId w:val="13"/>
        </w:numPr>
        <w:spacing w:after="240" w:line="276" w:lineRule="auto"/>
        <w:ind w:right="-1"/>
        <w:jc w:val="both"/>
        <w:rPr>
          <w:rFonts w:cs="Arial"/>
        </w:rPr>
      </w:pPr>
      <w:r w:rsidRPr="00B05C27">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1D1BE7" w:rsidRPr="00B05C27" w:rsidRDefault="001D1BE7" w:rsidP="001D1BE7">
      <w:pPr>
        <w:numPr>
          <w:ilvl w:val="0"/>
          <w:numId w:val="13"/>
        </w:numPr>
        <w:spacing w:after="240" w:line="276" w:lineRule="auto"/>
        <w:ind w:right="-1"/>
        <w:jc w:val="both"/>
        <w:rPr>
          <w:rFonts w:cs="Arial"/>
        </w:rPr>
      </w:pPr>
      <w:r w:rsidRPr="00B05C27">
        <w:rPr>
          <w:rFonts w:cs="Arial"/>
        </w:rPr>
        <w:t>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w:t>
      </w:r>
    </w:p>
    <w:p w:rsidR="001D1BE7" w:rsidRPr="00440F0A" w:rsidRDefault="001D1BE7" w:rsidP="001D1BE7">
      <w:pPr>
        <w:numPr>
          <w:ilvl w:val="0"/>
          <w:numId w:val="13"/>
        </w:numPr>
        <w:spacing w:line="276" w:lineRule="auto"/>
        <w:ind w:right="-1"/>
        <w:jc w:val="both"/>
        <w:rPr>
          <w:rFonts w:cs="Arial"/>
        </w:rPr>
      </w:pPr>
      <w:r w:rsidRPr="00B05C27">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
    <w:p w:rsidR="001D1BE7" w:rsidRPr="006351E0" w:rsidRDefault="001D1BE7" w:rsidP="001D1BE7">
      <w:pPr>
        <w:spacing w:line="276" w:lineRule="auto"/>
        <w:ind w:left="786" w:right="-1"/>
        <w:jc w:val="both"/>
        <w:rPr>
          <w:rFonts w:cs="Arial"/>
        </w:rPr>
      </w:pPr>
      <w:r w:rsidRPr="006351E0">
        <w:rPr>
          <w:rFonts w:cs="Arial"/>
        </w:rPr>
        <w:t>The Bank of New York Mellon, S.A., Institución de Banca Múltiple como mandatario del Garante “A” y del Garante “B”.</w:t>
      </w:r>
    </w:p>
    <w:p w:rsidR="001D1BE7" w:rsidRPr="00B05C27" w:rsidRDefault="001D1BE7" w:rsidP="001D1BE7">
      <w:pPr>
        <w:numPr>
          <w:ilvl w:val="0"/>
          <w:numId w:val="13"/>
        </w:numPr>
        <w:spacing w:line="276" w:lineRule="auto"/>
        <w:ind w:right="-1"/>
        <w:jc w:val="both"/>
        <w:rPr>
          <w:rFonts w:cs="Arial"/>
        </w:rPr>
      </w:pPr>
      <w:r w:rsidRPr="00B05C27">
        <w:rPr>
          <w:rFonts w:cs="Arial"/>
        </w:rPr>
        <w:lastRenderedPageBreak/>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1D1BE7" w:rsidRPr="00B05C27" w:rsidRDefault="001D1BE7" w:rsidP="001D1BE7">
      <w:pPr>
        <w:numPr>
          <w:ilvl w:val="0"/>
          <w:numId w:val="13"/>
        </w:numPr>
        <w:spacing w:line="276" w:lineRule="auto"/>
        <w:ind w:right="-1"/>
        <w:jc w:val="both"/>
        <w:rPr>
          <w:rFonts w:cs="Arial"/>
        </w:rPr>
      </w:pPr>
      <w:r w:rsidRPr="00B05C27">
        <w:rPr>
          <w:rFonts w:cs="Arial"/>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1D1BE7" w:rsidRPr="00B05C27" w:rsidRDefault="001D1BE7" w:rsidP="001D1BE7">
      <w:pPr>
        <w:numPr>
          <w:ilvl w:val="0"/>
          <w:numId w:val="13"/>
        </w:numPr>
        <w:spacing w:line="276" w:lineRule="auto"/>
        <w:ind w:right="-1"/>
        <w:jc w:val="both"/>
        <w:rPr>
          <w:rFonts w:cs="Arial"/>
        </w:rPr>
      </w:pPr>
      <w:r w:rsidRPr="00B05C27">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1D1BE7" w:rsidRPr="00B05C27" w:rsidRDefault="001D1BE7" w:rsidP="001D1BE7">
      <w:pPr>
        <w:numPr>
          <w:ilvl w:val="0"/>
          <w:numId w:val="13"/>
        </w:numPr>
        <w:spacing w:after="240" w:line="276" w:lineRule="auto"/>
        <w:ind w:right="-1"/>
        <w:jc w:val="both"/>
        <w:rPr>
          <w:rFonts w:cs="Arial"/>
        </w:rPr>
      </w:pPr>
      <w:r w:rsidRPr="00B05C27">
        <w:rPr>
          <w:rFonts w:cs="Arial"/>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rsidR="001D1BE7" w:rsidRDefault="001D1BE7" w:rsidP="001D1BE7">
      <w:pPr>
        <w:numPr>
          <w:ilvl w:val="0"/>
          <w:numId w:val="13"/>
        </w:numPr>
        <w:spacing w:line="276" w:lineRule="auto"/>
        <w:ind w:right="-1"/>
        <w:jc w:val="both"/>
        <w:rPr>
          <w:rFonts w:cs="Arial"/>
        </w:rPr>
      </w:pPr>
      <w:r w:rsidRPr="00B05C27">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1D1BE7" w:rsidRPr="00B05C27" w:rsidRDefault="001D1BE7" w:rsidP="001D1BE7">
      <w:pPr>
        <w:numPr>
          <w:ilvl w:val="0"/>
          <w:numId w:val="13"/>
        </w:numPr>
        <w:spacing w:line="276" w:lineRule="auto"/>
        <w:ind w:right="-1"/>
        <w:jc w:val="both"/>
        <w:rPr>
          <w:rFonts w:cs="Arial"/>
        </w:rPr>
      </w:pPr>
      <w:r w:rsidRPr="00B05C27">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1D1BE7" w:rsidRPr="00B05C27" w:rsidRDefault="001D1BE7" w:rsidP="001D1BE7">
      <w:pPr>
        <w:numPr>
          <w:ilvl w:val="0"/>
          <w:numId w:val="13"/>
        </w:numPr>
        <w:spacing w:line="276" w:lineRule="auto"/>
        <w:ind w:right="-1"/>
        <w:jc w:val="both"/>
        <w:rPr>
          <w:rFonts w:cs="Arial"/>
        </w:rPr>
      </w:pPr>
      <w:r w:rsidRPr="00B05C27">
        <w:rPr>
          <w:rFonts w:cs="Arial"/>
        </w:rPr>
        <w:lastRenderedPageBreak/>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rsidR="001D1BE7" w:rsidRDefault="001D1BE7" w:rsidP="001D1BE7">
      <w:pPr>
        <w:numPr>
          <w:ilvl w:val="0"/>
          <w:numId w:val="13"/>
        </w:numPr>
        <w:spacing w:line="276" w:lineRule="auto"/>
        <w:ind w:right="-1"/>
        <w:jc w:val="both"/>
        <w:rPr>
          <w:rFonts w:cs="Arial"/>
        </w:rPr>
      </w:pPr>
      <w:r w:rsidRPr="00B05C27">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1D1BE7" w:rsidRPr="001E1A6D" w:rsidRDefault="001D1BE7" w:rsidP="00644B34">
      <w:pPr>
        <w:pStyle w:val="Prrafodelista"/>
        <w:numPr>
          <w:ilvl w:val="0"/>
          <w:numId w:val="36"/>
        </w:numPr>
        <w:spacing w:after="240" w:line="276" w:lineRule="auto"/>
        <w:ind w:right="-1"/>
        <w:jc w:val="both"/>
        <w:rPr>
          <w:rFonts w:ascii="HelveticaNeueLT Std" w:hAnsi="HelveticaNeueLT Std"/>
          <w:b/>
          <w:sz w:val="20"/>
          <w:szCs w:val="20"/>
        </w:rPr>
      </w:pPr>
      <w:r w:rsidRPr="001E1A6D">
        <w:rPr>
          <w:rFonts w:ascii="HelveticaNeueLT Std" w:hAnsi="HelveticaNeueLT Std"/>
          <w:b/>
          <w:sz w:val="20"/>
          <w:szCs w:val="20"/>
        </w:rPr>
        <w:t>Reporte de la Recaudación</w:t>
      </w:r>
    </w:p>
    <w:p w:rsidR="001D1BE7" w:rsidRPr="004527F5" w:rsidRDefault="001D1BE7" w:rsidP="001D1BE7">
      <w:pPr>
        <w:pStyle w:val="Sinespaciado"/>
        <w:jc w:val="both"/>
        <w:rPr>
          <w:rFonts w:ascii="Helvetica" w:hAnsi="Helvetica"/>
          <w:b/>
        </w:rPr>
      </w:pPr>
      <w:r w:rsidRPr="00232E8C">
        <w:rPr>
          <w:noProof/>
          <w:lang w:eastAsia="es-MX"/>
        </w:rPr>
        <w:drawing>
          <wp:inline distT="0" distB="0" distL="0" distR="0" wp14:anchorId="260ED560" wp14:editId="221C8404">
            <wp:extent cx="6389370" cy="4019673"/>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4019673"/>
                    </a:xfrm>
                    <a:prstGeom prst="rect">
                      <a:avLst/>
                    </a:prstGeom>
                    <a:noFill/>
                    <a:ln>
                      <a:noFill/>
                    </a:ln>
                  </pic:spPr>
                </pic:pic>
              </a:graphicData>
            </a:graphic>
          </wp:inline>
        </w:drawing>
      </w:r>
    </w:p>
    <w:p w:rsidR="001D1BE7" w:rsidRDefault="001D1BE7" w:rsidP="001D1BE7">
      <w:pPr>
        <w:pStyle w:val="Sinespaciado"/>
        <w:jc w:val="center"/>
        <w:rPr>
          <w:rFonts w:ascii="Helvetica" w:eastAsia="Times New Roman" w:hAnsi="Helvetica"/>
          <w:lang w:eastAsia="es-ES"/>
        </w:rPr>
      </w:pPr>
    </w:p>
    <w:p w:rsidR="001D1BE7" w:rsidRDefault="001D1BE7" w:rsidP="001D1BE7">
      <w:pPr>
        <w:pStyle w:val="Sinespaciado"/>
        <w:jc w:val="center"/>
        <w:rPr>
          <w:rFonts w:ascii="Helvetica" w:eastAsia="Times New Roman" w:hAnsi="Helvetica"/>
          <w:lang w:eastAsia="es-ES"/>
        </w:rPr>
      </w:pPr>
    </w:p>
    <w:p w:rsidR="001D1BE7" w:rsidRPr="00D8149A" w:rsidRDefault="001D1BE7" w:rsidP="001D1BE7">
      <w:pPr>
        <w:pStyle w:val="Sinespaciado"/>
        <w:jc w:val="both"/>
        <w:rPr>
          <w:rFonts w:ascii="Helvetica" w:hAnsi="Helvetica"/>
        </w:rPr>
      </w:pPr>
    </w:p>
    <w:p w:rsidR="001D1BE7" w:rsidRDefault="00644B34" w:rsidP="001D1BE7">
      <w:pPr>
        <w:pStyle w:val="Sinespaciado"/>
        <w:jc w:val="both"/>
        <w:rPr>
          <w:rFonts w:cs="Arial"/>
          <w:b/>
        </w:rPr>
      </w:pPr>
      <w:r>
        <w:rPr>
          <w:rFonts w:cs="Arial"/>
          <w:b/>
        </w:rPr>
        <w:t>INGRESOS</w:t>
      </w:r>
    </w:p>
    <w:p w:rsidR="001D1BE7" w:rsidRPr="001E1A6D" w:rsidRDefault="001D1BE7" w:rsidP="001D1BE7">
      <w:pPr>
        <w:pStyle w:val="Sinespaciado"/>
        <w:jc w:val="both"/>
        <w:rPr>
          <w:rFonts w:cs="Arial"/>
          <w:b/>
        </w:rPr>
      </w:pPr>
    </w:p>
    <w:p w:rsidR="001D1BE7" w:rsidRPr="00FF6B27" w:rsidRDefault="001D1BE7" w:rsidP="001D1BE7">
      <w:pPr>
        <w:pStyle w:val="Sinespaciado"/>
        <w:jc w:val="both"/>
        <w:rPr>
          <w:rFonts w:cs="Arial"/>
        </w:rPr>
      </w:pPr>
      <w:r w:rsidRPr="000B7DB7">
        <w:rPr>
          <w:rFonts w:cs="Arial"/>
        </w:rPr>
        <w:lastRenderedPageBreak/>
        <w:t xml:space="preserve">Inicialmente se previó recaudar en la Ley de </w:t>
      </w:r>
      <w:r w:rsidRPr="008548B2">
        <w:rPr>
          <w:rFonts w:cs="Arial"/>
        </w:rPr>
        <w:t xml:space="preserve">Ingresos Estimada la cantidad de </w:t>
      </w:r>
      <w:r>
        <w:rPr>
          <w:rFonts w:cs="Arial"/>
        </w:rPr>
        <w:t>2</w:t>
      </w:r>
      <w:r w:rsidRPr="008548B2">
        <w:rPr>
          <w:rFonts w:cs="Arial"/>
        </w:rPr>
        <w:t>,</w:t>
      </w:r>
      <w:r>
        <w:rPr>
          <w:rFonts w:cs="Arial"/>
        </w:rPr>
        <w:t>921,299,039.00,</w:t>
      </w:r>
      <w:r w:rsidRPr="008548B2">
        <w:rPr>
          <w:rFonts w:cs="Arial"/>
        </w:rPr>
        <w:t xml:space="preserve"> se dio una asignación en el Capítulo de Inversión Pública por </w:t>
      </w:r>
      <w:r>
        <w:rPr>
          <w:rFonts w:cs="Arial"/>
        </w:rPr>
        <w:t xml:space="preserve">35,940,611.37 </w:t>
      </w:r>
      <w:r w:rsidRPr="008548B2">
        <w:rPr>
          <w:rFonts w:cs="Arial"/>
        </w:rPr>
        <w:t xml:space="preserve">que corresponden al Programa Acciones para el Desarrollo (PAD), denominado “Regularización de Tenencia de la Tierra, provenientes del Gobierno del Estado de México (GEM), cuya fuente de financiamiento son recursos estales, dando un total autorizado de </w:t>
      </w:r>
      <w:r>
        <w:rPr>
          <w:rFonts w:cs="Arial"/>
        </w:rPr>
        <w:t xml:space="preserve">2,957,239,650.37. No se han </w:t>
      </w:r>
      <w:r w:rsidRPr="001E6ED0">
        <w:rPr>
          <w:rFonts w:cs="Arial"/>
        </w:rPr>
        <w:t>realiza</w:t>
      </w:r>
      <w:r>
        <w:rPr>
          <w:rFonts w:cs="Arial"/>
        </w:rPr>
        <w:t>do</w:t>
      </w:r>
      <w:r w:rsidRPr="001E6ED0">
        <w:rPr>
          <w:rFonts w:cs="Arial"/>
        </w:rPr>
        <w:t xml:space="preserve"> ampliaciones al presupuesto</w:t>
      </w:r>
      <w:r w:rsidRPr="00FF6B27">
        <w:rPr>
          <w:rFonts w:cs="Arial"/>
        </w:rPr>
        <w:t>,</w:t>
      </w:r>
      <w:r>
        <w:rPr>
          <w:rFonts w:cs="Arial"/>
        </w:rPr>
        <w:t xml:space="preserve"> ni</w:t>
      </w:r>
      <w:r w:rsidRPr="00FF6B27">
        <w:rPr>
          <w:rFonts w:cs="Arial"/>
        </w:rPr>
        <w:t xml:space="preserve"> reducciones. El importe total recaudado al mes </w:t>
      </w:r>
      <w:r>
        <w:rPr>
          <w:rFonts w:cs="Arial"/>
        </w:rPr>
        <w:t>de marzo es</w:t>
      </w:r>
      <w:r w:rsidRPr="00FF6B27">
        <w:rPr>
          <w:rFonts w:cs="Arial"/>
        </w:rPr>
        <w:t xml:space="preserve"> de </w:t>
      </w:r>
      <w:r>
        <w:rPr>
          <w:rFonts w:cs="Arial"/>
        </w:rPr>
        <w:t>747,524,684.42,</w:t>
      </w:r>
      <w:r w:rsidRPr="00FF6B27">
        <w:rPr>
          <w:rFonts w:cs="Arial"/>
        </w:rPr>
        <w:t xml:space="preserve"> por lo que existe una variación del </w:t>
      </w:r>
      <w:r>
        <w:rPr>
          <w:rFonts w:cs="Arial"/>
        </w:rPr>
        <w:t>74.7</w:t>
      </w:r>
      <w:r w:rsidRPr="00FF6B27">
        <w:rPr>
          <w:rFonts w:cs="Arial"/>
        </w:rPr>
        <w:t xml:space="preserve"> por ciento con respecto al total autorizado. </w:t>
      </w:r>
    </w:p>
    <w:p w:rsidR="001D1BE7" w:rsidRPr="00FF6B27" w:rsidRDefault="001D1BE7" w:rsidP="001D1BE7">
      <w:pPr>
        <w:pStyle w:val="Sinespaciado"/>
        <w:jc w:val="both"/>
        <w:rPr>
          <w:rFonts w:cs="Arial"/>
        </w:rPr>
      </w:pPr>
    </w:p>
    <w:p w:rsidR="001D1BE7" w:rsidRDefault="001D1BE7" w:rsidP="001D1BE7">
      <w:pPr>
        <w:pStyle w:val="Sinespaciado"/>
        <w:jc w:val="both"/>
        <w:rPr>
          <w:rFonts w:cs="Arial"/>
          <w:b/>
        </w:rPr>
      </w:pPr>
    </w:p>
    <w:p w:rsidR="001D1BE7" w:rsidRPr="003740AF" w:rsidRDefault="00644B34" w:rsidP="001D1BE7">
      <w:pPr>
        <w:pStyle w:val="Sinespaciado"/>
        <w:jc w:val="both"/>
        <w:rPr>
          <w:rFonts w:cs="Arial"/>
          <w:b/>
        </w:rPr>
      </w:pPr>
      <w:r>
        <w:rPr>
          <w:rFonts w:cs="Arial"/>
          <w:b/>
        </w:rPr>
        <w:t>INGRESOS DE GESTIÓN</w:t>
      </w:r>
    </w:p>
    <w:p w:rsidR="001D1BE7" w:rsidRPr="003740AF" w:rsidRDefault="001D1BE7" w:rsidP="001D1BE7">
      <w:pPr>
        <w:pStyle w:val="Sinespaciado"/>
        <w:jc w:val="both"/>
        <w:rPr>
          <w:rFonts w:cs="Arial"/>
        </w:rPr>
      </w:pPr>
    </w:p>
    <w:p w:rsidR="001D1BE7" w:rsidRPr="00055DE6" w:rsidRDefault="001D1BE7" w:rsidP="001D1BE7">
      <w:pPr>
        <w:pStyle w:val="Sinespaciado"/>
        <w:jc w:val="both"/>
        <w:rPr>
          <w:rFonts w:cs="Arial"/>
          <w:color w:val="C00000"/>
        </w:rPr>
      </w:pPr>
      <w:r w:rsidRPr="00055DE6">
        <w:rPr>
          <w:rFonts w:cs="Arial"/>
        </w:rPr>
        <w:t>Inicialmente se previó recaudar ingresos por concepto de derechos del Registro Público de la Propiedad y Comercio por 1,557,886,722.00. No se han realizado ampliaciones al presupuesto; ni traspasos internos.</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cs="Arial"/>
        </w:rPr>
      </w:pPr>
      <w:r w:rsidRPr="00055DE6">
        <w:rPr>
          <w:rFonts w:cs="Arial"/>
        </w:rPr>
        <w:t xml:space="preserve">Se han recaudado por los derechos de los servicios que presta el Instituto 326,808,651.00, lo que representa el 79.0 por ciento menos respecto del total autorizado. </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cs="Arial"/>
          <w:b/>
        </w:rPr>
      </w:pPr>
      <w:r w:rsidRPr="00055DE6">
        <w:rPr>
          <w:rFonts w:cs="Arial"/>
          <w:b/>
        </w:rPr>
        <w:t>PARTICIPACIONES, APORTACIONES, TRANSFERENCIAS, ASIGNAC</w:t>
      </w:r>
      <w:r w:rsidR="00644B34">
        <w:rPr>
          <w:rFonts w:cs="Arial"/>
          <w:b/>
        </w:rPr>
        <w:t>IONES, SUBSIDIOS Y OTRAS AYUDAS</w:t>
      </w:r>
    </w:p>
    <w:p w:rsidR="001D1BE7" w:rsidRPr="00055DE6" w:rsidRDefault="001D1BE7" w:rsidP="001D1BE7">
      <w:pPr>
        <w:pStyle w:val="Sinespaciado"/>
        <w:jc w:val="both"/>
        <w:rPr>
          <w:rFonts w:cs="Arial"/>
          <w:color w:val="7030A0"/>
        </w:rPr>
      </w:pPr>
    </w:p>
    <w:p w:rsidR="001D1BE7" w:rsidRPr="00055DE6" w:rsidRDefault="001D1BE7" w:rsidP="001D1BE7">
      <w:pPr>
        <w:pStyle w:val="Sinespaciado"/>
        <w:jc w:val="both"/>
        <w:rPr>
          <w:rFonts w:cs="Arial"/>
        </w:rPr>
      </w:pPr>
      <w:r w:rsidRPr="00055DE6">
        <w:rPr>
          <w:rFonts w:cs="Arial"/>
        </w:rPr>
        <w:t xml:space="preserve">Se autorizó la asignación presupuestal de los proyectos denominados “Regularización de Tenencia de la Tierra” por 35,940,611.37, este importe se refleja en el rubro del Programa de Acciones para el Desarrollo (PAD) y se va recaudando con los depósitos que realiza mensualmente el GEM, que al mes de marzo son 8,625,746.73. </w:t>
      </w:r>
    </w:p>
    <w:p w:rsidR="001D1BE7" w:rsidRPr="00055DE6" w:rsidRDefault="001D1BE7" w:rsidP="001D1BE7">
      <w:pPr>
        <w:pStyle w:val="Sinespaciado"/>
        <w:jc w:val="both"/>
        <w:rPr>
          <w:rFonts w:cs="Arial"/>
        </w:rPr>
      </w:pPr>
    </w:p>
    <w:p w:rsidR="001D1BE7" w:rsidRPr="00055DE6" w:rsidRDefault="00644B34" w:rsidP="001D1BE7">
      <w:pPr>
        <w:pStyle w:val="Sinespaciado"/>
        <w:jc w:val="both"/>
        <w:rPr>
          <w:rFonts w:cs="Arial"/>
          <w:b/>
        </w:rPr>
      </w:pPr>
      <w:r>
        <w:rPr>
          <w:rFonts w:cs="Arial"/>
          <w:b/>
        </w:rPr>
        <w:t>OTROS INGRESOS Y BENEFICIOS</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cs="Arial"/>
        </w:rPr>
      </w:pPr>
      <w:r w:rsidRPr="00055DE6">
        <w:rPr>
          <w:rFonts w:cs="Arial"/>
        </w:rPr>
        <w:t>Se previeron recaudar ingresos por 1,363,412,317.00, integrados de la siguiente forma: 496,741,289.00 de “Ingresos Financieros”, de los cuales 479,941,289.00 para pago a la fiduciaria (bonos) por intereses del Fideicomiso de Cobranza, más 16,800,000.00 de “Productos Financieros de Tipo Corriente”. Así mismo, 866,671,028.00 de “Otros Ingresos y Beneficios Varios”, de los cuales para los pagos de “amortización de capital” son 359,841,028.00, así como 479,504,000.00 de “Remanentes e intereses del fideicomiso de cobranza”, 23,630,000.00 para “Mantenimiento mayor” y 3,696,000.00 en “Otros Ingresos Varios”.</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cs="Arial"/>
        </w:rPr>
      </w:pPr>
      <w:r w:rsidRPr="00055DE6">
        <w:rPr>
          <w:rFonts w:cs="Arial"/>
        </w:rPr>
        <w:t>Se realizaron traspasos internos para dar suficiencia presupuestal a los otros ingresos por intereses generados en las cuentas bancarias, para otros ingresos y beneficios varios y para rendimientos de la remesa de ingresos por RPC (Registro Público de Comercio), principalmente. Así mismo, no se han realizaron ampliaciones presupuestales ni reducciones.</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cs="Arial"/>
        </w:rPr>
      </w:pPr>
      <w:r w:rsidRPr="00055DE6">
        <w:rPr>
          <w:rFonts w:cs="Arial"/>
          <w:b/>
        </w:rPr>
        <w:t>Ingresos Financieros. -</w:t>
      </w:r>
      <w:r w:rsidRPr="00055DE6">
        <w:rPr>
          <w:rFonts w:cs="Arial"/>
        </w:rPr>
        <w:t xml:space="preserve"> Se tiene recaudado un importe de 238,053,018.33 de los cuales 234,415,921.11 </w:t>
      </w:r>
      <w:r w:rsidRPr="00055DE6">
        <w:t xml:space="preserve">corresponden a los ingresos del Fideicomiso de Cobranza para los pagos de (bonos) Intereses, correspondientes al primer periodo del ejercicio 2020 y 3,637,097.22 se derivan de rendimientos </w:t>
      </w:r>
      <w:r w:rsidRPr="00055DE6">
        <w:rPr>
          <w:rFonts w:cs="Arial"/>
        </w:rPr>
        <w:t>por intereses financieros generados por las inversiones de las Instituciones Bancarias de este Instituto.</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cs="Arial"/>
        </w:rPr>
      </w:pPr>
      <w:r w:rsidRPr="00055DE6">
        <w:rPr>
          <w:rFonts w:cs="Arial"/>
          <w:b/>
        </w:rPr>
        <w:t xml:space="preserve">Ingresos Diversos. - </w:t>
      </w:r>
      <w:r w:rsidRPr="00055DE6">
        <w:rPr>
          <w:rFonts w:cs="Arial"/>
        </w:rPr>
        <w:t>Se registran ingresos diversos por 174,037,268.36, los cuales se componen principalmente de la siguiente forma: 173</w:t>
      </w:r>
      <w:r w:rsidRPr="00055DE6">
        <w:t xml:space="preserve">,977,046.47 para pagos de amortización de capital de las series “A” y “B” y subordinada “C” por la emisión de los Certificados Bursátiles Fiduciarios; 20,183.99 </w:t>
      </w:r>
      <w:r w:rsidRPr="00055DE6">
        <w:rPr>
          <w:rFonts w:cs="Arial"/>
        </w:rPr>
        <w:t xml:space="preserve">de los intereses generados por las transferencias de los depósitos del Registro Público de Comercio (rendimientos de la remesa de ingresos por RPC). Asimismo, se ha recaudado 40,037.90 de ingresos varios (venta de bases para concurso, llamadas </w:t>
      </w:r>
      <w:r w:rsidRPr="00055DE6">
        <w:rPr>
          <w:rFonts w:cs="Arial"/>
        </w:rPr>
        <w:lastRenderedPageBreak/>
        <w:t>telefónicas no oficiales, aprovechamientos por sanción o incumplimiento, depósitos no referenciados, venta de papel, entre otros).</w:t>
      </w:r>
    </w:p>
    <w:p w:rsidR="001D1BE7" w:rsidRPr="00055DE6" w:rsidRDefault="001D1BE7" w:rsidP="001D1BE7">
      <w:pPr>
        <w:pStyle w:val="Sinespaciado"/>
        <w:jc w:val="both"/>
        <w:rPr>
          <w:rFonts w:cs="Arial"/>
        </w:rPr>
      </w:pPr>
    </w:p>
    <w:p w:rsidR="001D1BE7" w:rsidRPr="00055DE6" w:rsidRDefault="001D1BE7" w:rsidP="001D1BE7">
      <w:pPr>
        <w:pStyle w:val="Sinespaciado"/>
        <w:jc w:val="both"/>
        <w:rPr>
          <w:rFonts w:ascii="Helvetica" w:hAnsi="Helvetica"/>
        </w:rPr>
      </w:pPr>
    </w:p>
    <w:p w:rsidR="001D1BE7" w:rsidRPr="00055DE6" w:rsidRDefault="001D1BE7" w:rsidP="00644B34">
      <w:pPr>
        <w:pStyle w:val="Prrafodelista"/>
        <w:numPr>
          <w:ilvl w:val="0"/>
          <w:numId w:val="35"/>
        </w:numPr>
        <w:spacing w:line="259" w:lineRule="auto"/>
        <w:rPr>
          <w:rFonts w:ascii="HelveticaNeueLT Std" w:hAnsi="HelveticaNeueLT Std" w:cs="Arial"/>
          <w:sz w:val="20"/>
          <w:szCs w:val="20"/>
        </w:rPr>
      </w:pPr>
      <w:r w:rsidRPr="00055DE6">
        <w:rPr>
          <w:rFonts w:ascii="HelveticaNeueLT Std" w:hAnsi="HelveticaNeueLT Std"/>
          <w:b/>
          <w:sz w:val="20"/>
          <w:szCs w:val="20"/>
        </w:rPr>
        <w:t>Información sobre la Deuda y el Reporte Analítico de la Deuda</w:t>
      </w:r>
    </w:p>
    <w:p w:rsidR="001D1BE7" w:rsidRPr="00055DE6" w:rsidRDefault="001D1BE7" w:rsidP="001D1BE7">
      <w:pPr>
        <w:pStyle w:val="Prrafodelista"/>
        <w:spacing w:line="259" w:lineRule="auto"/>
        <w:ind w:left="644"/>
        <w:rPr>
          <w:rFonts w:ascii="HelveticaNeueLT Std" w:hAnsi="HelveticaNeueLT Std" w:cs="Arial"/>
          <w:sz w:val="20"/>
          <w:szCs w:val="20"/>
        </w:rPr>
      </w:pPr>
    </w:p>
    <w:p w:rsidR="001D1BE7" w:rsidRPr="00055DE6" w:rsidRDefault="001D1BE7" w:rsidP="001D1BE7">
      <w:pPr>
        <w:spacing w:line="276" w:lineRule="auto"/>
        <w:ind w:right="-1"/>
        <w:jc w:val="both"/>
        <w:rPr>
          <w:rFonts w:cs="Arial"/>
        </w:rPr>
      </w:pPr>
      <w:r w:rsidRPr="00055DE6">
        <w:rPr>
          <w:rFonts w:cs="Arial"/>
        </w:rPr>
        <w:t>Al mes actual el análisis de la deuda se integra de la siguiente manera:</w:t>
      </w:r>
    </w:p>
    <w:p w:rsidR="001D1BE7" w:rsidRPr="00055DE6" w:rsidRDefault="001D1BE7" w:rsidP="001D1BE7">
      <w:pPr>
        <w:spacing w:line="276" w:lineRule="auto"/>
        <w:ind w:right="-1"/>
        <w:rPr>
          <w:noProof/>
          <w:lang w:eastAsia="es-MX"/>
        </w:rPr>
      </w:pPr>
      <w:r w:rsidRPr="00055DE6">
        <w:rPr>
          <w:rFonts w:cs="Arial"/>
        </w:rPr>
        <w:t xml:space="preserve">Mensual: </w:t>
      </w:r>
    </w:p>
    <w:p w:rsidR="001D1BE7" w:rsidRPr="00055DE6" w:rsidRDefault="001D1BE7" w:rsidP="001D1BE7">
      <w:pPr>
        <w:spacing w:line="276" w:lineRule="auto"/>
        <w:ind w:right="-1"/>
        <w:jc w:val="center"/>
        <w:rPr>
          <w:rFonts w:cs="Arial"/>
          <w:b/>
        </w:rPr>
      </w:pPr>
      <w:r w:rsidRPr="00055DE6">
        <w:rPr>
          <w:noProof/>
          <w:lang w:eastAsia="es-MX"/>
        </w:rPr>
        <w:drawing>
          <wp:inline distT="0" distB="0" distL="0" distR="0" wp14:anchorId="3B015383" wp14:editId="3CED9C0F">
            <wp:extent cx="6389370" cy="20578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2057875"/>
                    </a:xfrm>
                    <a:prstGeom prst="rect">
                      <a:avLst/>
                    </a:prstGeom>
                    <a:noFill/>
                    <a:ln>
                      <a:noFill/>
                    </a:ln>
                  </pic:spPr>
                </pic:pic>
              </a:graphicData>
            </a:graphic>
          </wp:inline>
        </w:drawing>
      </w:r>
    </w:p>
    <w:p w:rsidR="001D1BE7" w:rsidRPr="00055DE6" w:rsidRDefault="001D1BE7" w:rsidP="001D1BE7">
      <w:pPr>
        <w:spacing w:line="276" w:lineRule="auto"/>
        <w:ind w:right="-1"/>
        <w:jc w:val="center"/>
        <w:rPr>
          <w:rFonts w:cs="Arial"/>
        </w:rPr>
      </w:pPr>
    </w:p>
    <w:p w:rsidR="001D1BE7" w:rsidRDefault="001D1BE7" w:rsidP="001D1BE7">
      <w:pPr>
        <w:spacing w:line="276" w:lineRule="auto"/>
        <w:ind w:right="-1"/>
        <w:rPr>
          <w:rFonts w:cs="Arial"/>
        </w:rPr>
      </w:pPr>
      <w:r w:rsidRPr="00055DE6">
        <w:rPr>
          <w:rFonts w:cs="Arial"/>
        </w:rPr>
        <w:t>Acumulada:</w:t>
      </w:r>
    </w:p>
    <w:p w:rsidR="001D1BE7" w:rsidRDefault="001D1BE7" w:rsidP="001D1BE7">
      <w:pPr>
        <w:spacing w:line="276" w:lineRule="auto"/>
        <w:ind w:right="-1"/>
        <w:rPr>
          <w:rFonts w:cs="Arial"/>
        </w:rPr>
      </w:pPr>
      <w:r w:rsidRPr="001E708F">
        <w:rPr>
          <w:noProof/>
          <w:lang w:eastAsia="es-MX"/>
        </w:rPr>
        <w:drawing>
          <wp:inline distT="0" distB="0" distL="0" distR="0" wp14:anchorId="0288D2A1" wp14:editId="56052289">
            <wp:extent cx="6389370" cy="195000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1950003"/>
                    </a:xfrm>
                    <a:prstGeom prst="rect">
                      <a:avLst/>
                    </a:prstGeom>
                    <a:noFill/>
                    <a:ln>
                      <a:noFill/>
                    </a:ln>
                  </pic:spPr>
                </pic:pic>
              </a:graphicData>
            </a:graphic>
          </wp:inline>
        </w:drawing>
      </w:r>
    </w:p>
    <w:p w:rsidR="00644B34" w:rsidRDefault="00644B34">
      <w:pPr>
        <w:spacing w:line="259" w:lineRule="auto"/>
        <w:rPr>
          <w:rFonts w:cs="Arial"/>
          <w:lang w:eastAsia="es-ES"/>
        </w:rPr>
      </w:pPr>
      <w:r>
        <w:rPr>
          <w:rFonts w:cs="Arial"/>
          <w:lang w:eastAsia="es-ES"/>
        </w:rPr>
        <w:br w:type="page"/>
      </w:r>
    </w:p>
    <w:p w:rsidR="001D1BE7" w:rsidRDefault="001D1BE7" w:rsidP="001D1BE7">
      <w:pPr>
        <w:spacing w:line="276" w:lineRule="auto"/>
        <w:ind w:right="-1"/>
        <w:jc w:val="both"/>
        <w:rPr>
          <w:rFonts w:cs="Arial"/>
          <w:lang w:eastAsia="es-ES"/>
        </w:rPr>
      </w:pPr>
      <w:r>
        <w:rPr>
          <w:rFonts w:cs="Arial"/>
          <w:lang w:eastAsia="es-ES"/>
        </w:rPr>
        <w:lastRenderedPageBreak/>
        <w:t>L</w:t>
      </w:r>
      <w:r w:rsidRPr="007729F8">
        <w:rPr>
          <w:rFonts w:cs="Arial"/>
          <w:lang w:eastAsia="es-ES"/>
        </w:rPr>
        <w:t>a operación del Fideicomiso de Cobranza se ha comportado de la siguiente forma:</w:t>
      </w:r>
    </w:p>
    <w:p w:rsidR="001D1BE7" w:rsidRDefault="001D1BE7" w:rsidP="001D1BE7">
      <w:pPr>
        <w:spacing w:line="276" w:lineRule="auto"/>
        <w:ind w:right="-1"/>
        <w:jc w:val="both"/>
        <w:rPr>
          <w:rFonts w:cs="Arial"/>
          <w:lang w:eastAsia="es-ES"/>
        </w:rPr>
      </w:pPr>
      <w:r w:rsidRPr="00532D09">
        <w:rPr>
          <w:noProof/>
          <w:lang w:eastAsia="es-MX"/>
        </w:rPr>
        <w:drawing>
          <wp:inline distT="0" distB="0" distL="0" distR="0" wp14:anchorId="1E0AB685" wp14:editId="1C08C125">
            <wp:extent cx="6389370" cy="223074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9370" cy="2230740"/>
                    </a:xfrm>
                    <a:prstGeom prst="rect">
                      <a:avLst/>
                    </a:prstGeom>
                    <a:noFill/>
                    <a:ln>
                      <a:noFill/>
                    </a:ln>
                  </pic:spPr>
                </pic:pic>
              </a:graphicData>
            </a:graphic>
          </wp:inline>
        </w:drawing>
      </w:r>
    </w:p>
    <w:p w:rsidR="001D1BE7" w:rsidRDefault="001D1BE7" w:rsidP="001D1BE7">
      <w:pPr>
        <w:spacing w:before="240" w:line="276" w:lineRule="auto"/>
        <w:ind w:right="-1"/>
        <w:jc w:val="both"/>
        <w:rPr>
          <w:rFonts w:cs="Arial"/>
        </w:rPr>
      </w:pPr>
      <w:r w:rsidRPr="003A1973">
        <w:rPr>
          <w:rFonts w:cs="Arial"/>
        </w:rPr>
        <w:t>El saldo de la cuenta 2221 “Documentos Comerciales Por Pagar a Largo Plazo es de: 5,062,389,105.23 que se componen de; los CBFS de la Serie “</w:t>
      </w:r>
      <w:r w:rsidRPr="003A1973">
        <w:rPr>
          <w:rFonts w:cs="Arial"/>
          <w:b/>
        </w:rPr>
        <w:t>A</w:t>
      </w:r>
      <w:r w:rsidRPr="003A1973">
        <w:rPr>
          <w:rFonts w:cs="Arial"/>
        </w:rPr>
        <w:t>”, 2,034,713,508.80 para los CBFS de la Serie “</w:t>
      </w:r>
      <w:r w:rsidRPr="003A1973">
        <w:rPr>
          <w:rFonts w:cs="Arial"/>
          <w:b/>
        </w:rPr>
        <w:t>B</w:t>
      </w:r>
      <w:r w:rsidRPr="003A1973">
        <w:rPr>
          <w:rFonts w:cs="Arial"/>
        </w:rPr>
        <w:t>”, 956,646,496 y para los CBFS Subordinados de la Serie “</w:t>
      </w:r>
      <w:r w:rsidRPr="003A1973">
        <w:rPr>
          <w:rFonts w:cs="Arial"/>
          <w:b/>
        </w:rPr>
        <w:t>C</w:t>
      </w:r>
      <w:r w:rsidRPr="003A1973">
        <w:rPr>
          <w:rFonts w:cs="Arial"/>
        </w:rPr>
        <w:t>”, 2,071,029,100.22 cabe mencionar que la serie subordinada “C” se encuentra en UDIS, por lo tanto, el Saldo Capital es de 489,027,081.34; y para la amortización de capital fue de 14,078,633.93 y para los intereses fue de 14,759,652.36 UDIS.</w:t>
      </w:r>
    </w:p>
    <w:p w:rsidR="001D1BE7" w:rsidRDefault="001D1BE7" w:rsidP="001D1BE7">
      <w:pPr>
        <w:spacing w:before="240" w:line="276" w:lineRule="auto"/>
        <w:ind w:right="-1"/>
        <w:jc w:val="both"/>
        <w:rPr>
          <w:rFonts w:cs="Arial"/>
        </w:rPr>
      </w:pPr>
      <w:r w:rsidRPr="00DA5FD6">
        <w:rPr>
          <w:rFonts w:cs="Arial"/>
        </w:rPr>
        <w:t xml:space="preserve">Los </w:t>
      </w:r>
      <w:r>
        <w:rPr>
          <w:rFonts w:cs="Arial"/>
        </w:rPr>
        <w:t xml:space="preserve">pagos de </w:t>
      </w:r>
      <w:r w:rsidRPr="00DA5FD6">
        <w:rPr>
          <w:rFonts w:cs="Arial"/>
        </w:rPr>
        <w:t>intereses más la amortización de capital por los cupones programados se observan en el siguiente cuadro:</w:t>
      </w:r>
    </w:p>
    <w:p w:rsidR="001D1BE7" w:rsidRDefault="001D1BE7" w:rsidP="001D1BE7">
      <w:pPr>
        <w:spacing w:before="240" w:line="276" w:lineRule="auto"/>
        <w:ind w:right="-1"/>
        <w:jc w:val="center"/>
        <w:rPr>
          <w:rFonts w:cs="Arial"/>
        </w:rPr>
      </w:pPr>
      <w:r w:rsidRPr="00532D09">
        <w:rPr>
          <w:noProof/>
          <w:lang w:eastAsia="es-MX"/>
        </w:rPr>
        <w:drawing>
          <wp:inline distT="0" distB="0" distL="0" distR="0" wp14:anchorId="16E65E18" wp14:editId="1EB4744B">
            <wp:extent cx="6539092" cy="214312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43450" cy="2144553"/>
                    </a:xfrm>
                    <a:prstGeom prst="rect">
                      <a:avLst/>
                    </a:prstGeom>
                    <a:noFill/>
                    <a:ln>
                      <a:noFill/>
                    </a:ln>
                  </pic:spPr>
                </pic:pic>
              </a:graphicData>
            </a:graphic>
          </wp:inline>
        </w:drawing>
      </w:r>
    </w:p>
    <w:p w:rsidR="001D1BE7" w:rsidRDefault="001D1BE7" w:rsidP="001D1BE7">
      <w:pPr>
        <w:spacing w:line="259" w:lineRule="auto"/>
        <w:rPr>
          <w:rFonts w:cs="Arial"/>
        </w:rPr>
      </w:pPr>
      <w:r>
        <w:rPr>
          <w:rFonts w:cs="Arial"/>
        </w:rPr>
        <w:br w:type="page"/>
      </w:r>
    </w:p>
    <w:p w:rsidR="001D1BE7" w:rsidRPr="00DA5FD6" w:rsidRDefault="001D1BE7" w:rsidP="001D1BE7">
      <w:pPr>
        <w:spacing w:line="276" w:lineRule="auto"/>
        <w:ind w:right="-1"/>
        <w:jc w:val="both"/>
        <w:rPr>
          <w:rFonts w:cs="Arial"/>
        </w:rPr>
      </w:pPr>
      <w:r w:rsidRPr="00DA5FD6">
        <w:rPr>
          <w:rFonts w:cs="Arial"/>
        </w:rPr>
        <w:lastRenderedPageBreak/>
        <w:t>Las transferencias al Gobierno del Estado de México de los remanentes del Fideicomiso de Cobranza, más los intereses generados, se destinan a la inversión productiva de acuerdo a lo establecido en el contrato irrevocable No. 80615</w:t>
      </w:r>
      <w:r>
        <w:rPr>
          <w:rFonts w:cs="Arial"/>
        </w:rPr>
        <w:t xml:space="preserve"> y</w:t>
      </w:r>
      <w:r w:rsidRPr="00DA5FD6">
        <w:rPr>
          <w:rFonts w:cs="Arial"/>
        </w:rPr>
        <w:t xml:space="preserve"> se han llevado a cabo como sigue:</w:t>
      </w:r>
    </w:p>
    <w:p w:rsidR="001D1BE7" w:rsidRDefault="001D1BE7" w:rsidP="001D1BE7">
      <w:pPr>
        <w:spacing w:line="276" w:lineRule="auto"/>
        <w:ind w:right="-1"/>
        <w:jc w:val="center"/>
        <w:rPr>
          <w:rFonts w:cs="Arial"/>
        </w:rPr>
      </w:pPr>
      <w:r w:rsidRPr="005D4B29">
        <w:rPr>
          <w:noProof/>
          <w:lang w:eastAsia="es-MX"/>
        </w:rPr>
        <w:drawing>
          <wp:inline distT="0" distB="0" distL="0" distR="0" wp14:anchorId="0BDE3638" wp14:editId="66D2B511">
            <wp:extent cx="4743450" cy="35909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43450" cy="3590925"/>
                    </a:xfrm>
                    <a:prstGeom prst="rect">
                      <a:avLst/>
                    </a:prstGeom>
                    <a:noFill/>
                    <a:ln>
                      <a:noFill/>
                    </a:ln>
                  </pic:spPr>
                </pic:pic>
              </a:graphicData>
            </a:graphic>
          </wp:inline>
        </w:drawing>
      </w:r>
    </w:p>
    <w:p w:rsidR="001D1BE7" w:rsidRDefault="001D1BE7" w:rsidP="001D1BE7">
      <w:pPr>
        <w:spacing w:line="276" w:lineRule="auto"/>
        <w:ind w:right="-1"/>
        <w:jc w:val="center"/>
        <w:rPr>
          <w:rFonts w:cs="Arial"/>
        </w:rPr>
      </w:pPr>
    </w:p>
    <w:p w:rsidR="001D1BE7" w:rsidRPr="006351E0" w:rsidRDefault="001D1BE7" w:rsidP="001D1BE7">
      <w:pPr>
        <w:spacing w:line="276" w:lineRule="auto"/>
        <w:ind w:right="-1"/>
        <w:contextualSpacing/>
        <w:jc w:val="both"/>
        <w:rPr>
          <w:rFonts w:eastAsia="Times New Roman" w:cs="Arial"/>
          <w:b/>
          <w:sz w:val="2"/>
          <w:lang w:eastAsia="es-MX"/>
        </w:rPr>
      </w:pPr>
    </w:p>
    <w:p w:rsidR="001D1BE7" w:rsidRDefault="001D1BE7" w:rsidP="00644B34">
      <w:pPr>
        <w:numPr>
          <w:ilvl w:val="0"/>
          <w:numId w:val="35"/>
        </w:numPr>
        <w:spacing w:line="276" w:lineRule="auto"/>
        <w:ind w:left="567" w:right="-1" w:hanging="567"/>
        <w:contextualSpacing/>
        <w:jc w:val="both"/>
        <w:rPr>
          <w:rFonts w:eastAsia="Times New Roman" w:cs="Arial"/>
          <w:b/>
          <w:lang w:eastAsia="es-MX"/>
        </w:rPr>
      </w:pPr>
      <w:r>
        <w:rPr>
          <w:rFonts w:eastAsia="Times New Roman" w:cs="Arial"/>
          <w:b/>
          <w:lang w:eastAsia="es-MX"/>
        </w:rPr>
        <w:t>Calificaciones otorgadas</w:t>
      </w:r>
    </w:p>
    <w:p w:rsidR="001D1BE7" w:rsidRDefault="001D1BE7" w:rsidP="001D1BE7">
      <w:pPr>
        <w:spacing w:line="276" w:lineRule="auto"/>
        <w:ind w:left="567" w:right="-1"/>
        <w:contextualSpacing/>
        <w:jc w:val="both"/>
        <w:rPr>
          <w:rFonts w:eastAsia="Times New Roman" w:cs="Arial"/>
          <w:b/>
          <w:lang w:eastAsia="es-MX"/>
        </w:rPr>
      </w:pPr>
    </w:p>
    <w:p w:rsidR="001D1BE7" w:rsidRPr="007B3A25" w:rsidRDefault="001D1BE7" w:rsidP="001D1BE7">
      <w:pPr>
        <w:numPr>
          <w:ilvl w:val="1"/>
          <w:numId w:val="1"/>
        </w:numPr>
        <w:spacing w:before="240" w:line="276" w:lineRule="auto"/>
        <w:ind w:right="-1"/>
        <w:contextualSpacing/>
        <w:jc w:val="both"/>
        <w:rPr>
          <w:rFonts w:eastAsia="Times New Roman" w:cs="Arial"/>
          <w:lang w:eastAsia="es-MX"/>
        </w:rPr>
      </w:pPr>
      <w:r>
        <w:rPr>
          <w:i/>
        </w:rPr>
        <w:t>“Fitch Ratifica en ‘AA</w:t>
      </w:r>
      <w:r w:rsidRPr="00980370">
        <w:rPr>
          <w:i/>
        </w:rPr>
        <w:t>(mex)vra’ la Calificación del Crédito Banobras 11 de IFREM, Tras Reestructura”. Diciembre</w:t>
      </w:r>
      <w:r w:rsidRPr="00980370">
        <w:rPr>
          <w:rFonts w:eastAsia="Times New Roman" w:cs="Arial"/>
          <w:i/>
          <w:lang w:eastAsia="es-MX"/>
        </w:rPr>
        <w:t xml:space="preserve"> </w:t>
      </w:r>
      <w:r>
        <w:rPr>
          <w:rFonts w:eastAsia="Times New Roman" w:cs="Arial"/>
          <w:i/>
          <w:lang w:eastAsia="es-MX"/>
        </w:rPr>
        <w:t>30</w:t>
      </w:r>
      <w:r w:rsidRPr="00980370">
        <w:rPr>
          <w:rFonts w:eastAsia="Times New Roman" w:cs="Arial"/>
          <w:i/>
          <w:lang w:eastAsia="es-MX"/>
        </w:rPr>
        <w:t>, 201</w:t>
      </w:r>
      <w:r>
        <w:rPr>
          <w:rFonts w:eastAsia="Times New Roman" w:cs="Arial"/>
          <w:i/>
          <w:lang w:eastAsia="es-MX"/>
        </w:rPr>
        <w:t>9</w:t>
      </w:r>
      <w:r w:rsidRPr="00DF4F5A">
        <w:rPr>
          <w:rFonts w:eastAsia="Times New Roman" w:cs="Arial"/>
          <w:i/>
          <w:lang w:eastAsia="es-MX"/>
        </w:rPr>
        <w:t>.</w:t>
      </w:r>
      <w:r w:rsidRPr="00980370">
        <w:t xml:space="preserve"> </w:t>
      </w:r>
    </w:p>
    <w:p w:rsidR="001D1BE7" w:rsidRDefault="000B3342" w:rsidP="001D1BE7">
      <w:pPr>
        <w:spacing w:before="240" w:line="276" w:lineRule="auto"/>
        <w:ind w:left="720" w:right="-1"/>
        <w:contextualSpacing/>
        <w:jc w:val="both"/>
        <w:rPr>
          <w:rFonts w:eastAsia="Times New Roman" w:cs="Arial"/>
          <w:lang w:eastAsia="es-MX"/>
        </w:rPr>
      </w:pPr>
      <w:hyperlink r:id="rId31" w:history="1">
        <w:r w:rsidR="001D1BE7" w:rsidRPr="0039191E">
          <w:rPr>
            <w:rStyle w:val="Hipervnculo"/>
            <w:rFonts w:eastAsia="Times New Roman" w:cs="Arial"/>
            <w:lang w:eastAsia="es-MX"/>
          </w:rPr>
          <w:t>https://www.fitchratings.com/site/pr/10106627</w:t>
        </w:r>
      </w:hyperlink>
      <w:r w:rsidR="001D1BE7" w:rsidRPr="007B3A25">
        <w:rPr>
          <w:rFonts w:eastAsia="Times New Roman" w:cs="Arial"/>
          <w:lang w:eastAsia="es-MX"/>
        </w:rPr>
        <w:t>.</w:t>
      </w:r>
    </w:p>
    <w:p w:rsidR="001D1BE7" w:rsidRPr="008F34D9" w:rsidRDefault="001D1BE7" w:rsidP="001D1BE7">
      <w:pPr>
        <w:spacing w:before="240" w:line="276" w:lineRule="auto"/>
        <w:ind w:left="720" w:right="-1"/>
        <w:contextualSpacing/>
        <w:jc w:val="both"/>
        <w:rPr>
          <w:rFonts w:eastAsia="Times New Roman" w:cs="Arial"/>
          <w:lang w:eastAsia="es-MX"/>
        </w:rPr>
      </w:pPr>
    </w:p>
    <w:p w:rsidR="001D1BE7" w:rsidRDefault="001D1BE7" w:rsidP="001D1BE7">
      <w:pPr>
        <w:spacing w:line="276" w:lineRule="auto"/>
        <w:ind w:right="-1"/>
        <w:jc w:val="both"/>
        <w:rPr>
          <w:i/>
        </w:rPr>
      </w:pPr>
      <w:r>
        <w:rPr>
          <w:i/>
        </w:rPr>
        <w:t>“</w:t>
      </w:r>
      <w:r w:rsidRPr="004254B4">
        <w:rPr>
          <w:i/>
        </w:rPr>
        <w:t>Fitch Ratings-Mexico City-30 December 2019: Fitch Ratings subió a 'AA(mex)' d</w:t>
      </w:r>
      <w:r>
        <w:rPr>
          <w:i/>
        </w:rPr>
        <w:t xml:space="preserve">esde 'AA-(mex)' la calificación </w:t>
      </w:r>
      <w:r w:rsidRPr="004254B4">
        <w:rPr>
          <w:i/>
        </w:rPr>
        <w:t>a la calidad crediticia del Instituto de la Función Registral del Estado de Mé</w:t>
      </w:r>
      <w:r>
        <w:rPr>
          <w:i/>
        </w:rPr>
        <w:t xml:space="preserve">xico (IFREM). La Perspectiva es </w:t>
      </w:r>
      <w:r w:rsidRPr="004254B4">
        <w:rPr>
          <w:i/>
        </w:rPr>
        <w:t>Estable. El ajuste en la calificación del instituto se fundamenta en la acción s</w:t>
      </w:r>
      <w:r>
        <w:rPr>
          <w:i/>
        </w:rPr>
        <w:t>imilar para la calificación de l</w:t>
      </w:r>
      <w:r w:rsidRPr="004254B4">
        <w:rPr>
          <w:i/>
        </w:rPr>
        <w:t>Estado de México a 'AA(mex)' desde</w:t>
      </w:r>
      <w:r>
        <w:rPr>
          <w:i/>
        </w:rPr>
        <w:t xml:space="preserve"> 'AA-(mex)'. </w:t>
      </w:r>
    </w:p>
    <w:p w:rsidR="001D1BE7" w:rsidRPr="004254B4" w:rsidRDefault="001D1BE7" w:rsidP="001D1BE7">
      <w:pPr>
        <w:spacing w:line="276" w:lineRule="auto"/>
        <w:ind w:right="-1"/>
        <w:jc w:val="both"/>
        <w:rPr>
          <w:i/>
        </w:rPr>
      </w:pPr>
      <w:r w:rsidRPr="004254B4">
        <w:rPr>
          <w:i/>
        </w:rPr>
        <w:t>Fitch determinó una asignación de 'muy fuerte' en los factores de estatus, prop</w:t>
      </w:r>
      <w:r>
        <w:rPr>
          <w:i/>
        </w:rPr>
        <w:t xml:space="preserve">iedad y control e implicaciones </w:t>
      </w:r>
      <w:r w:rsidRPr="004254B4">
        <w:rPr>
          <w:i/>
        </w:rPr>
        <w:t>financieras de un incumplimiento. Mientras que los factores de histor</w:t>
      </w:r>
      <w:r>
        <w:rPr>
          <w:i/>
        </w:rPr>
        <w:t xml:space="preserve">ial y expectativa de soporte, e </w:t>
      </w:r>
      <w:r w:rsidRPr="004254B4">
        <w:rPr>
          <w:i/>
        </w:rPr>
        <w:t>implicaciones sociopolíticas de un incumplimiento se consideraron como 'fue</w:t>
      </w:r>
      <w:r>
        <w:rPr>
          <w:i/>
        </w:rPr>
        <w:t xml:space="preserve">rte'. La mezcla de atributos da </w:t>
      </w:r>
      <w:r w:rsidRPr="004254B4">
        <w:rPr>
          <w:i/>
        </w:rPr>
        <w:t>como resultado un puntaje general de soporte de 45, que lleva a una igualaci</w:t>
      </w:r>
      <w:r>
        <w:rPr>
          <w:i/>
        </w:rPr>
        <w:t xml:space="preserve">ón de la calificación del IFREM </w:t>
      </w:r>
      <w:r w:rsidRPr="004254B4">
        <w:rPr>
          <w:i/>
        </w:rPr>
        <w:t xml:space="preserve">respecto a la del Estado </w:t>
      </w:r>
      <w:r w:rsidRPr="004254B4">
        <w:rPr>
          <w:i/>
        </w:rPr>
        <w:lastRenderedPageBreak/>
        <w:t>de México. El perfil crediticio individual (PCI) del IFREM no se puede determinar</w:t>
      </w:r>
      <w:r>
        <w:rPr>
          <w:i/>
        </w:rPr>
        <w:t xml:space="preserve"> </w:t>
      </w:r>
      <w:r w:rsidRPr="004254B4">
        <w:rPr>
          <w:i/>
        </w:rPr>
        <w:t>debido al nivel amplio de influencia o soporte del Estado, lo que dificulta la desvinculación entre ambas</w:t>
      </w:r>
      <w:r>
        <w:rPr>
          <w:i/>
        </w:rPr>
        <w:t xml:space="preserve"> </w:t>
      </w:r>
      <w:r w:rsidRPr="004254B4">
        <w:rPr>
          <w:i/>
        </w:rPr>
        <w:t>entidades</w:t>
      </w:r>
      <w:r>
        <w:rPr>
          <w:i/>
        </w:rPr>
        <w:t>”</w:t>
      </w:r>
      <w:r w:rsidRPr="004254B4">
        <w:rPr>
          <w:i/>
        </w:rPr>
        <w:t>.</w:t>
      </w:r>
    </w:p>
    <w:p w:rsidR="001D1BE7" w:rsidRDefault="001D1BE7" w:rsidP="001D1BE7">
      <w:pPr>
        <w:numPr>
          <w:ilvl w:val="1"/>
          <w:numId w:val="1"/>
        </w:numPr>
        <w:spacing w:before="240" w:line="276" w:lineRule="auto"/>
        <w:ind w:right="-1"/>
        <w:contextualSpacing/>
        <w:jc w:val="both"/>
        <w:rPr>
          <w:rFonts w:eastAsia="Times New Roman" w:cs="Arial"/>
          <w:lang w:eastAsia="es-MX"/>
        </w:rPr>
      </w:pPr>
      <w:r>
        <w:rPr>
          <w:i/>
        </w:rPr>
        <w:t>“</w:t>
      </w:r>
      <w:r>
        <w:t>S&amp;P Global Ratings confirma calificaciones de 'mxAAA' de los certificados PROIN 10 y PROIN 10-2; baja calificación a 'mxAA+' del crédito del IFREM con Banobras</w:t>
      </w:r>
      <w:r>
        <w:rPr>
          <w:i/>
        </w:rPr>
        <w:t>”</w:t>
      </w:r>
      <w:r w:rsidRPr="00B05C27">
        <w:rPr>
          <w:i/>
        </w:rPr>
        <w:t>.</w:t>
      </w:r>
      <w:r w:rsidRPr="00B05C27">
        <w:rPr>
          <w:rFonts w:eastAsia="Times New Roman" w:cs="Arial"/>
          <w:lang w:eastAsia="es-MX"/>
        </w:rPr>
        <w:t xml:space="preserve"> </w:t>
      </w:r>
      <w:r>
        <w:rPr>
          <w:rFonts w:eastAsia="Times New Roman" w:cs="Arial"/>
          <w:lang w:eastAsia="es-MX"/>
        </w:rPr>
        <w:t>24</w:t>
      </w:r>
      <w:r w:rsidRPr="00B05C27">
        <w:rPr>
          <w:rFonts w:eastAsia="Times New Roman" w:cs="Arial"/>
          <w:lang w:eastAsia="es-MX"/>
        </w:rPr>
        <w:t xml:space="preserve"> de julio 201</w:t>
      </w:r>
      <w:r>
        <w:rPr>
          <w:rFonts w:eastAsia="Times New Roman" w:cs="Arial"/>
          <w:lang w:eastAsia="es-MX"/>
        </w:rPr>
        <w:t>9</w:t>
      </w:r>
      <w:r w:rsidRPr="00133B4E">
        <w:rPr>
          <w:rFonts w:eastAsia="Times New Roman" w:cs="Arial"/>
          <w:lang w:eastAsia="es-MX"/>
        </w:rPr>
        <w:t>.</w:t>
      </w:r>
    </w:p>
    <w:p w:rsidR="001D1BE7" w:rsidRPr="00133B4E" w:rsidRDefault="001D1BE7" w:rsidP="001D1BE7">
      <w:pPr>
        <w:spacing w:before="240" w:line="276" w:lineRule="auto"/>
        <w:ind w:left="720" w:right="-1"/>
        <w:contextualSpacing/>
        <w:jc w:val="both"/>
        <w:rPr>
          <w:rFonts w:eastAsia="Times New Roman" w:cs="Arial"/>
          <w:lang w:eastAsia="es-MX"/>
        </w:rPr>
      </w:pPr>
    </w:p>
    <w:p w:rsidR="001D1BE7" w:rsidRPr="00D8561F" w:rsidRDefault="000B3342" w:rsidP="001D1BE7">
      <w:pPr>
        <w:spacing w:line="276" w:lineRule="auto"/>
        <w:ind w:right="-1"/>
        <w:jc w:val="both"/>
        <w:rPr>
          <w:rFonts w:cs="Arial"/>
          <w:i/>
          <w:color w:val="2E74B5" w:themeColor="accent1" w:themeShade="BF"/>
        </w:rPr>
      </w:pPr>
      <w:hyperlink r:id="rId32" w:history="1">
        <w:r w:rsidR="001D1BE7" w:rsidRPr="00D8561F">
          <w:rPr>
            <w:rStyle w:val="Hipervnculo"/>
            <w:color w:val="2E74B5" w:themeColor="accent1" w:themeShade="BF"/>
          </w:rPr>
          <w:t>https://www.bmv.com.mx/docs-pub/eventoca/eventoca_940592_2.pdf</w:t>
        </w:r>
      </w:hyperlink>
      <w:r w:rsidR="001D1BE7" w:rsidRPr="00D8561F">
        <w:rPr>
          <w:rFonts w:cs="Arial"/>
          <w:i/>
          <w:color w:val="2E74B5" w:themeColor="accent1" w:themeShade="BF"/>
        </w:rPr>
        <w:t xml:space="preserve"> </w:t>
      </w:r>
    </w:p>
    <w:p w:rsidR="001D1BE7" w:rsidRDefault="001D1BE7" w:rsidP="001D1BE7">
      <w:pPr>
        <w:spacing w:line="276" w:lineRule="auto"/>
        <w:ind w:right="-1"/>
        <w:jc w:val="both"/>
        <w:rPr>
          <w:i/>
        </w:rPr>
      </w:pPr>
      <w:r w:rsidRPr="00B05C27">
        <w:rPr>
          <w:rFonts w:cs="Arial"/>
          <w:i/>
        </w:rPr>
        <w:t>“</w:t>
      </w:r>
      <w:r w:rsidRPr="00997782">
        <w:rPr>
          <w:i/>
        </w:rPr>
        <w:t>*</w:t>
      </w:r>
      <w:r w:rsidRPr="004F14B2">
        <w:rPr>
          <w:i/>
        </w:rPr>
        <w:sym w:font="Symbol" w:char="F02D"/>
      </w:r>
      <w:r w:rsidRPr="004F14B2">
        <w:rPr>
          <w:i/>
        </w:rPr>
        <w:t xml:space="preserve"> Confirmamos nuestras calificaciones de deuda de ‘mxAAA’ de los certificados bursátiles Serie A (con clave de pizarra PROIN 10) y Serie B (con clave de pizarra PROIN 10-2) como resultado de la fortaleza de los flujos disponibles para el Fideicomiso No. 80615 (inscrito en Nacional Financiera). </w:t>
      </w:r>
      <w:r w:rsidRPr="004F14B2">
        <w:rPr>
          <w:i/>
        </w:rPr>
        <w:sym w:font="Symbol" w:char="F02D"/>
      </w:r>
      <w:r w:rsidRPr="004F14B2">
        <w:rPr>
          <w:i/>
        </w:rPr>
        <w:t xml:space="preserve"> Bajamos la calificación de deuda del crédito IFREM-Banobras debido a los cambios en la distribución del ingreso que respalda la línea de crédito contingente emitida por el Estado de México. </w:t>
      </w:r>
      <w:r w:rsidRPr="004F14B2">
        <w:rPr>
          <w:i/>
        </w:rPr>
        <w:sym w:font="Symbol" w:char="F02D"/>
      </w:r>
      <w:r w:rsidRPr="004F14B2">
        <w:rPr>
          <w:i/>
        </w:rPr>
        <w:t xml:space="preserve"> Las calificaciones toman como punto de partida la calificación crediticia de emisor del IFREM y del Estado de México, ambos con calificación crediticia de emisor de ‘mxA+’. </w:t>
      </w:r>
      <w:r w:rsidRPr="004F14B2">
        <w:rPr>
          <w:i/>
        </w:rPr>
        <w:sym w:font="Symbol" w:char="F02D"/>
      </w:r>
      <w:r w:rsidRPr="004F14B2">
        <w:rPr>
          <w:i/>
        </w:rPr>
        <w:t xml:space="preserve"> Las calificaciones reflejan el análisis de los flujos disponibles en los fideicomisos e incorporan los mecanismos de respaldo crediticio adicional que son suficientes para alcanzar las calificaciones de ‘mxAAA’ para los certificados y de ‘mxAA+’ para el crédito bancario.</w:t>
      </w:r>
      <w:r>
        <w:rPr>
          <w:i/>
        </w:rPr>
        <w:t>.</w:t>
      </w:r>
    </w:p>
    <w:p w:rsidR="001D1BE7" w:rsidRDefault="001D1BE7" w:rsidP="001D1BE7">
      <w:pPr>
        <w:spacing w:line="276" w:lineRule="auto"/>
        <w:ind w:right="-1"/>
        <w:jc w:val="both"/>
        <w:rPr>
          <w:i/>
        </w:rPr>
      </w:pPr>
    </w:p>
    <w:p w:rsidR="001D1BE7" w:rsidRDefault="001D1BE7" w:rsidP="001D1BE7">
      <w:pPr>
        <w:spacing w:line="276" w:lineRule="auto"/>
        <w:ind w:right="-1"/>
        <w:jc w:val="both"/>
        <w:rPr>
          <w:i/>
        </w:rPr>
      </w:pPr>
      <w:r w:rsidRPr="00997782">
        <w:rPr>
          <w:i/>
        </w:rPr>
        <w:t>Acción de Calificación</w:t>
      </w:r>
    </w:p>
    <w:p w:rsidR="001D1BE7" w:rsidRDefault="001D1BE7" w:rsidP="001D1BE7">
      <w:pPr>
        <w:spacing w:line="276" w:lineRule="auto"/>
        <w:ind w:right="-1"/>
        <w:jc w:val="both"/>
        <w:rPr>
          <w:rFonts w:cs="Arial"/>
          <w:i/>
        </w:rPr>
      </w:pPr>
      <w:r w:rsidRPr="004F14B2">
        <w:rPr>
          <w:i/>
        </w:rPr>
        <w:t>Ciudad de México, 24 de julio de 2019 – S&amp;P Global Ratings confirmó hoy sus calificaciones de deuda de largo plazo en escala nacional –CaVal– de ‘mxAAA’ de los certificados bursátiles Serie A, con clave de pizarra PROIN 10, y Serie B, con clave de pizarra PROIN 10-2, del Instituto de la Función Registral del Estado de México (IFREM; mxA+/Estable/--). Al mismo tiempo, bajamos la calificación de deuda del crédito bancario que contrató el IFREM con el Banco Nacional de Obras y Servicios Públicos, S.N.C. (Banobras) a ‘mxAA+’ de ‘mxAAA’.</w:t>
      </w:r>
      <w:r w:rsidRPr="00B05C27">
        <w:rPr>
          <w:rFonts w:cs="Arial"/>
          <w:i/>
        </w:rPr>
        <w:t>”</w:t>
      </w:r>
    </w:p>
    <w:p w:rsidR="001D1BE7" w:rsidRPr="00A71584" w:rsidRDefault="001D1BE7" w:rsidP="001D1BE7">
      <w:pPr>
        <w:spacing w:line="276" w:lineRule="auto"/>
        <w:ind w:right="-1"/>
        <w:jc w:val="both"/>
        <w:rPr>
          <w:rFonts w:cs="Arial"/>
        </w:rPr>
      </w:pPr>
    </w:p>
    <w:p w:rsidR="001D1BE7" w:rsidRPr="00B05C27" w:rsidRDefault="001D1BE7" w:rsidP="00644B34">
      <w:pPr>
        <w:numPr>
          <w:ilvl w:val="0"/>
          <w:numId w:val="35"/>
        </w:numPr>
        <w:spacing w:line="276" w:lineRule="auto"/>
        <w:ind w:left="567" w:right="-1" w:hanging="567"/>
        <w:contextualSpacing/>
        <w:jc w:val="both"/>
        <w:rPr>
          <w:rFonts w:eastAsia="Times New Roman"/>
          <w:b/>
          <w:lang w:eastAsia="es-MX"/>
        </w:rPr>
      </w:pPr>
      <w:r>
        <w:rPr>
          <w:rFonts w:eastAsia="Times New Roman"/>
          <w:b/>
          <w:lang w:eastAsia="es-MX"/>
        </w:rPr>
        <w:t>Proceso de Mejora</w:t>
      </w:r>
    </w:p>
    <w:p w:rsidR="001D1BE7" w:rsidRPr="00B05C27" w:rsidRDefault="001D1BE7" w:rsidP="001D1BE7">
      <w:pPr>
        <w:spacing w:before="240" w:line="276" w:lineRule="auto"/>
        <w:ind w:right="-1"/>
        <w:jc w:val="both"/>
      </w:pPr>
      <w:r w:rsidRPr="00B05C27">
        <w:t xml:space="preserve">El Instituto se certificó bajo la norma </w:t>
      </w:r>
      <w:r w:rsidRPr="00B05C27">
        <w:rPr>
          <w:b/>
        </w:rPr>
        <w:t>ISO 9001:2015</w:t>
      </w:r>
      <w:r w:rsidRPr="00B05C27">
        <w:t xml:space="preserve">, en el mes de noviembre </w:t>
      </w:r>
      <w:r w:rsidRPr="0094283C">
        <w:t>de 2017,</w:t>
      </w:r>
      <w:r w:rsidRPr="00B05C27">
        <w:t xml:space="preserve"> se encuentra inmerso en el proceso de mejora continua y sigue modernizando sus procesos.</w:t>
      </w:r>
    </w:p>
    <w:p w:rsidR="001D1BE7" w:rsidRPr="006009FE" w:rsidRDefault="001D1BE7" w:rsidP="001D1BE7">
      <w:pPr>
        <w:spacing w:line="276" w:lineRule="auto"/>
        <w:ind w:right="-1"/>
        <w:jc w:val="both"/>
      </w:pPr>
      <w:r w:rsidRPr="00B05C27">
        <w:t xml:space="preserve">El Estado de México ha pasado a mostrar un avance sobresaliente en la clasificación </w:t>
      </w:r>
      <w:r w:rsidRPr="00B05C27">
        <w:rPr>
          <w:b/>
        </w:rPr>
        <w:t>Doing Business en México</w:t>
      </w:r>
      <w:r w:rsidRPr="00B05C27">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w:t>
      </w:r>
      <w:r w:rsidRPr="006009FE">
        <w:t>en todo el país.</w:t>
      </w:r>
    </w:p>
    <w:p w:rsidR="001D1BE7" w:rsidRDefault="001D1BE7" w:rsidP="001D1BE7">
      <w:pPr>
        <w:spacing w:line="276" w:lineRule="auto"/>
        <w:ind w:right="-1"/>
        <w:jc w:val="both"/>
      </w:pPr>
      <w:r w:rsidRPr="006009FE">
        <w:t>En enero de 2020 la Unidad de Informática del IFREM, obtuvo la certificación en ISO/IEC 27001:2013,  Sistema de Gestión de Seguridad de la Información  (SGSI).</w:t>
      </w:r>
    </w:p>
    <w:p w:rsidR="001D1BE7" w:rsidRDefault="001D1BE7" w:rsidP="001D1BE7">
      <w:pPr>
        <w:spacing w:line="259" w:lineRule="auto"/>
      </w:pPr>
      <w:r>
        <w:br w:type="page"/>
      </w:r>
    </w:p>
    <w:p w:rsidR="001D1BE7" w:rsidRDefault="001D1BE7" w:rsidP="001D1BE7">
      <w:pPr>
        <w:spacing w:line="276" w:lineRule="auto"/>
        <w:ind w:right="-1"/>
        <w:jc w:val="both"/>
      </w:pPr>
    </w:p>
    <w:p w:rsidR="001D1BE7" w:rsidRDefault="001D1BE7" w:rsidP="00644B34">
      <w:pPr>
        <w:numPr>
          <w:ilvl w:val="0"/>
          <w:numId w:val="35"/>
        </w:numPr>
        <w:spacing w:after="0" w:line="276" w:lineRule="auto"/>
        <w:ind w:left="567" w:right="-1" w:hanging="567"/>
        <w:contextualSpacing/>
        <w:jc w:val="both"/>
        <w:rPr>
          <w:rFonts w:eastAsia="Times New Roman"/>
          <w:b/>
          <w:lang w:eastAsia="es-MX"/>
        </w:rPr>
      </w:pPr>
      <w:r w:rsidRPr="00B05C27">
        <w:rPr>
          <w:rFonts w:eastAsia="Times New Roman"/>
          <w:b/>
          <w:lang w:eastAsia="es-MX"/>
        </w:rPr>
        <w:t>Información por Segmentos</w:t>
      </w:r>
    </w:p>
    <w:p w:rsidR="001D1BE7" w:rsidRPr="008E7569" w:rsidRDefault="001D1BE7" w:rsidP="001D1BE7">
      <w:pPr>
        <w:spacing w:after="0" w:line="276" w:lineRule="auto"/>
        <w:ind w:left="567" w:right="-1"/>
        <w:contextualSpacing/>
        <w:jc w:val="both"/>
        <w:rPr>
          <w:rFonts w:eastAsia="Times New Roman"/>
          <w:b/>
          <w:sz w:val="10"/>
          <w:lang w:eastAsia="es-MX"/>
        </w:rPr>
      </w:pPr>
    </w:p>
    <w:p w:rsidR="001D1BE7" w:rsidRPr="00B05C27" w:rsidRDefault="001D1BE7" w:rsidP="001D1BE7">
      <w:pPr>
        <w:spacing w:line="276" w:lineRule="auto"/>
        <w:ind w:right="-1"/>
        <w:jc w:val="both"/>
        <w:rPr>
          <w:bCs/>
        </w:rPr>
      </w:pPr>
      <w:r w:rsidRPr="00B05C27">
        <w:rPr>
          <w:bCs/>
        </w:rPr>
        <w:t>El Instituto no cuenta con información por segmentos.</w:t>
      </w:r>
    </w:p>
    <w:p w:rsidR="001D1BE7" w:rsidRDefault="001D1BE7" w:rsidP="00644B34">
      <w:pPr>
        <w:numPr>
          <w:ilvl w:val="0"/>
          <w:numId w:val="35"/>
        </w:numPr>
        <w:spacing w:after="0" w:line="276" w:lineRule="auto"/>
        <w:ind w:left="567" w:right="-1" w:hanging="567"/>
        <w:contextualSpacing/>
        <w:jc w:val="both"/>
        <w:rPr>
          <w:rFonts w:eastAsia="Times New Roman"/>
          <w:b/>
          <w:lang w:eastAsia="es-MX"/>
        </w:rPr>
      </w:pPr>
      <w:r w:rsidRPr="00B05C27">
        <w:rPr>
          <w:rFonts w:eastAsia="Times New Roman"/>
          <w:b/>
          <w:lang w:eastAsia="es-MX"/>
        </w:rPr>
        <w:t>Eventos Posteriores al Cierre</w:t>
      </w:r>
    </w:p>
    <w:p w:rsidR="001D1BE7" w:rsidRPr="008E7569" w:rsidRDefault="001D1BE7" w:rsidP="001D1BE7">
      <w:pPr>
        <w:spacing w:after="0" w:line="276" w:lineRule="auto"/>
        <w:ind w:right="-1"/>
        <w:jc w:val="both"/>
        <w:rPr>
          <w:bCs/>
          <w:sz w:val="14"/>
        </w:rPr>
      </w:pPr>
    </w:p>
    <w:p w:rsidR="001D1BE7" w:rsidRPr="00151600" w:rsidRDefault="001D1BE7" w:rsidP="001D1BE7">
      <w:pPr>
        <w:spacing w:line="276" w:lineRule="auto"/>
        <w:ind w:right="-1"/>
        <w:jc w:val="both"/>
      </w:pPr>
      <w:r w:rsidRPr="00B05C27">
        <w:t>El Instituto no presenta eventos posteriores al cierre que pudieran tener un efecto importante en su situación financiera y resultados de operación futuros.</w:t>
      </w:r>
    </w:p>
    <w:p w:rsidR="001D1BE7" w:rsidRPr="006351E0" w:rsidRDefault="001D1BE7" w:rsidP="001D1BE7">
      <w:pPr>
        <w:spacing w:line="276" w:lineRule="auto"/>
        <w:ind w:right="-1"/>
        <w:jc w:val="both"/>
        <w:rPr>
          <w:sz w:val="6"/>
        </w:rPr>
      </w:pPr>
    </w:p>
    <w:p w:rsidR="001D1BE7" w:rsidRPr="00B05C27" w:rsidRDefault="001D1BE7" w:rsidP="00644B34">
      <w:pPr>
        <w:numPr>
          <w:ilvl w:val="0"/>
          <w:numId w:val="35"/>
        </w:numPr>
        <w:spacing w:after="0" w:line="276" w:lineRule="auto"/>
        <w:ind w:left="567" w:right="-1" w:hanging="567"/>
        <w:contextualSpacing/>
        <w:jc w:val="both"/>
        <w:rPr>
          <w:rFonts w:eastAsia="Times New Roman" w:cs="Arial"/>
          <w:lang w:eastAsia="es-MX"/>
        </w:rPr>
      </w:pPr>
      <w:r w:rsidRPr="00B05C27">
        <w:rPr>
          <w:rFonts w:eastAsia="Times New Roman" w:cs="Arial"/>
          <w:b/>
          <w:lang w:eastAsia="es-MX"/>
        </w:rPr>
        <w:t>Partes Relacionadas</w:t>
      </w:r>
    </w:p>
    <w:p w:rsidR="001D1BE7" w:rsidRPr="008E7569" w:rsidRDefault="001D1BE7" w:rsidP="001D1BE7">
      <w:pPr>
        <w:spacing w:after="0" w:line="276" w:lineRule="auto"/>
        <w:ind w:right="-1"/>
        <w:jc w:val="both"/>
        <w:rPr>
          <w:bCs/>
          <w:sz w:val="16"/>
        </w:rPr>
      </w:pPr>
    </w:p>
    <w:p w:rsidR="001D1BE7" w:rsidRPr="00B05C27" w:rsidRDefault="001D1BE7" w:rsidP="001D1BE7">
      <w:pPr>
        <w:spacing w:line="276" w:lineRule="auto"/>
        <w:ind w:right="-1"/>
        <w:jc w:val="both"/>
        <w:rPr>
          <w:rFonts w:cs="Arial"/>
        </w:rPr>
      </w:pPr>
      <w:r w:rsidRPr="00B05C27">
        <w:rPr>
          <w:rFonts w:cs="Arial"/>
        </w:rPr>
        <w:t>No existen partes relacionadas que pudieran ejercer influencia significativa sobre la toma de decisiones financieras y operativas en este Instituto.</w:t>
      </w:r>
    </w:p>
    <w:p w:rsidR="001D1BE7" w:rsidRPr="00B05C27" w:rsidRDefault="001D1BE7" w:rsidP="00644B34">
      <w:pPr>
        <w:numPr>
          <w:ilvl w:val="0"/>
          <w:numId w:val="35"/>
        </w:numPr>
        <w:spacing w:after="0" w:line="276" w:lineRule="auto"/>
        <w:ind w:left="567" w:right="-1" w:hanging="567"/>
        <w:contextualSpacing/>
        <w:jc w:val="both"/>
        <w:rPr>
          <w:bCs/>
        </w:rPr>
      </w:pPr>
      <w:r w:rsidRPr="00B05C27">
        <w:rPr>
          <w:rFonts w:eastAsia="Times New Roman" w:cs="Arial"/>
          <w:b/>
          <w:lang w:eastAsia="es-MX"/>
        </w:rPr>
        <w:t>Responsabilidad Sobre la Presentación Razonable de los Estados Financieros</w:t>
      </w:r>
    </w:p>
    <w:p w:rsidR="001D1BE7" w:rsidRDefault="001D1BE7" w:rsidP="001D1BE7">
      <w:pPr>
        <w:spacing w:line="276" w:lineRule="auto"/>
        <w:ind w:right="-1"/>
        <w:jc w:val="both"/>
        <w:rPr>
          <w:rFonts w:cs="Arial"/>
        </w:rPr>
      </w:pPr>
      <w:r w:rsidRPr="00B05C27">
        <w:rPr>
          <w:rFonts w:cs="Arial"/>
        </w:rPr>
        <w:t>“Bajo protesta de decir verdad declaramos que los Estados Financieros y sus Notas, son razonablemente correctos y son responsabilidad del emisor”.</w:t>
      </w:r>
    </w:p>
    <w:p w:rsidR="001D1BE7" w:rsidRPr="008E7569" w:rsidRDefault="001D1BE7" w:rsidP="001D1BE7">
      <w:pPr>
        <w:spacing w:line="276" w:lineRule="auto"/>
        <w:ind w:right="-1"/>
        <w:jc w:val="both"/>
        <w:rPr>
          <w:rFonts w:cs="Arial"/>
          <w:sz w:val="2"/>
        </w:rPr>
      </w:pPr>
    </w:p>
    <w:p w:rsidR="001D1BE7" w:rsidRPr="008E7569" w:rsidRDefault="001D1BE7" w:rsidP="001D1BE7">
      <w:pPr>
        <w:spacing w:line="276" w:lineRule="auto"/>
        <w:ind w:right="-1"/>
        <w:jc w:val="both"/>
        <w:rPr>
          <w:rFonts w:cs="Arial"/>
          <w:sz w:val="2"/>
        </w:rPr>
      </w:pPr>
    </w:p>
    <w:p w:rsidR="001D1BE7" w:rsidRPr="00B05C27" w:rsidRDefault="001D1BE7" w:rsidP="001D1BE7">
      <w:pPr>
        <w:tabs>
          <w:tab w:val="left" w:pos="3994"/>
        </w:tabs>
        <w:spacing w:after="0" w:line="276" w:lineRule="auto"/>
        <w:ind w:right="-1"/>
        <w:contextualSpacing/>
        <w:jc w:val="center"/>
        <w:rPr>
          <w:rFonts w:eastAsia="Times New Roman" w:cs="Arial"/>
          <w:lang w:eastAsia="es-MX"/>
        </w:rPr>
      </w:pPr>
      <w:r w:rsidRPr="00B05C27">
        <w:rPr>
          <w:rFonts w:eastAsia="Times New Roman" w:cs="Arial"/>
          <w:b/>
          <w:lang w:eastAsia="es-MX"/>
        </w:rPr>
        <w:t>Firmas:</w:t>
      </w:r>
    </w:p>
    <w:tbl>
      <w:tblPr>
        <w:tblW w:w="9937" w:type="dxa"/>
        <w:jc w:val="center"/>
        <w:tblLook w:val="04A0" w:firstRow="1" w:lastRow="0" w:firstColumn="1" w:lastColumn="0" w:noHBand="0" w:noVBand="1"/>
      </w:tblPr>
      <w:tblGrid>
        <w:gridCol w:w="5447"/>
        <w:gridCol w:w="4490"/>
      </w:tblGrid>
      <w:tr w:rsidR="001D1BE7" w:rsidRPr="00B05C27" w:rsidTr="00FD04F7">
        <w:trPr>
          <w:trHeight w:val="902"/>
          <w:jc w:val="center"/>
        </w:trPr>
        <w:tc>
          <w:tcPr>
            <w:tcW w:w="5447" w:type="dxa"/>
            <w:shd w:val="clear" w:color="auto" w:fill="auto"/>
          </w:tcPr>
          <w:p w:rsidR="001D1BE7" w:rsidRDefault="001D1BE7" w:rsidP="00FD04F7">
            <w:pPr>
              <w:spacing w:line="276" w:lineRule="auto"/>
              <w:ind w:right="-1"/>
              <w:jc w:val="center"/>
              <w:rPr>
                <w:rFonts w:cs="Arial"/>
              </w:rPr>
            </w:pPr>
          </w:p>
          <w:p w:rsidR="001D1BE7" w:rsidRDefault="001D1BE7" w:rsidP="00FD04F7">
            <w:pPr>
              <w:spacing w:line="276" w:lineRule="auto"/>
              <w:ind w:right="-1"/>
              <w:jc w:val="center"/>
              <w:rPr>
                <w:rFonts w:cs="Arial"/>
              </w:rPr>
            </w:pPr>
          </w:p>
          <w:p w:rsidR="001D1BE7" w:rsidRPr="00B05C27" w:rsidRDefault="001D1BE7" w:rsidP="00FD04F7">
            <w:pPr>
              <w:spacing w:line="276" w:lineRule="auto"/>
              <w:ind w:right="-1"/>
              <w:jc w:val="center"/>
              <w:rPr>
                <w:rFonts w:cs="Arial"/>
              </w:rPr>
            </w:pPr>
          </w:p>
          <w:p w:rsidR="001D1BE7" w:rsidRPr="00B05C27" w:rsidRDefault="001D1BE7" w:rsidP="00FD04F7">
            <w:pPr>
              <w:spacing w:line="276" w:lineRule="auto"/>
              <w:ind w:right="-1"/>
              <w:jc w:val="center"/>
              <w:rPr>
                <w:rFonts w:cs="Arial"/>
              </w:rPr>
            </w:pPr>
            <w:r w:rsidRPr="00B05C27">
              <w:rPr>
                <w:rFonts w:cs="Arial"/>
              </w:rPr>
              <w:t>________________________________</w:t>
            </w:r>
          </w:p>
          <w:p w:rsidR="001D1BE7" w:rsidRPr="00B05C27" w:rsidRDefault="001D1BE7" w:rsidP="00FD04F7">
            <w:pPr>
              <w:spacing w:after="0" w:line="276" w:lineRule="auto"/>
              <w:ind w:right="-1"/>
              <w:jc w:val="center"/>
              <w:rPr>
                <w:rFonts w:cs="Arial"/>
              </w:rPr>
            </w:pPr>
            <w:r w:rsidRPr="00B05C27">
              <w:rPr>
                <w:rFonts w:cs="Arial"/>
              </w:rPr>
              <w:t>M. en D. Tania Lorena Lugo Paz</w:t>
            </w:r>
          </w:p>
          <w:p w:rsidR="001D1BE7" w:rsidRPr="00B05C27" w:rsidRDefault="001D1BE7" w:rsidP="00FD04F7">
            <w:pPr>
              <w:spacing w:line="276" w:lineRule="auto"/>
              <w:ind w:right="-1"/>
              <w:jc w:val="center"/>
              <w:rPr>
                <w:rFonts w:cs="Arial"/>
              </w:rPr>
            </w:pPr>
            <w:r w:rsidRPr="00B05C27">
              <w:rPr>
                <w:rFonts w:cs="Arial"/>
                <w:b/>
              </w:rPr>
              <w:t>Directora General del IFREM</w:t>
            </w:r>
          </w:p>
        </w:tc>
        <w:tc>
          <w:tcPr>
            <w:tcW w:w="4490" w:type="dxa"/>
            <w:shd w:val="clear" w:color="auto" w:fill="auto"/>
          </w:tcPr>
          <w:p w:rsidR="001D1BE7" w:rsidRDefault="001D1BE7" w:rsidP="00FD04F7">
            <w:pPr>
              <w:spacing w:line="276" w:lineRule="auto"/>
              <w:ind w:right="-1"/>
              <w:jc w:val="center"/>
              <w:rPr>
                <w:rFonts w:cs="Arial"/>
              </w:rPr>
            </w:pPr>
          </w:p>
          <w:p w:rsidR="001D1BE7" w:rsidRDefault="001D1BE7" w:rsidP="00FD04F7">
            <w:pPr>
              <w:spacing w:line="276" w:lineRule="auto"/>
              <w:ind w:right="-1"/>
              <w:jc w:val="center"/>
              <w:rPr>
                <w:rFonts w:cs="Arial"/>
              </w:rPr>
            </w:pPr>
          </w:p>
          <w:p w:rsidR="001D1BE7" w:rsidRPr="00B05C27" w:rsidRDefault="001D1BE7" w:rsidP="00FD04F7">
            <w:pPr>
              <w:spacing w:line="276" w:lineRule="auto"/>
              <w:ind w:right="-1"/>
              <w:jc w:val="center"/>
              <w:rPr>
                <w:rFonts w:cs="Arial"/>
              </w:rPr>
            </w:pPr>
          </w:p>
          <w:p w:rsidR="001D1BE7" w:rsidRPr="00B05C27" w:rsidRDefault="001D1BE7" w:rsidP="00FD04F7">
            <w:pPr>
              <w:spacing w:line="276" w:lineRule="auto"/>
              <w:ind w:right="-1"/>
              <w:jc w:val="center"/>
              <w:rPr>
                <w:rFonts w:cs="Arial"/>
              </w:rPr>
            </w:pPr>
            <w:r w:rsidRPr="00B05C27">
              <w:rPr>
                <w:rFonts w:cs="Arial"/>
              </w:rPr>
              <w:t>________________________________</w:t>
            </w:r>
          </w:p>
          <w:p w:rsidR="001D1BE7" w:rsidRPr="00B05C27" w:rsidRDefault="001D1BE7" w:rsidP="00FD04F7">
            <w:pPr>
              <w:spacing w:after="0" w:line="276" w:lineRule="auto"/>
              <w:ind w:left="544" w:right="-1" w:hanging="261"/>
              <w:jc w:val="center"/>
              <w:rPr>
                <w:rFonts w:cs="Arial"/>
              </w:rPr>
            </w:pPr>
            <w:r w:rsidRPr="00B05C27">
              <w:rPr>
                <w:rFonts w:cs="Arial"/>
              </w:rPr>
              <w:t>L.A.E. Patricia Herrera Vallejo</w:t>
            </w:r>
          </w:p>
          <w:p w:rsidR="001D1BE7" w:rsidRPr="00B05C27" w:rsidRDefault="001D1BE7" w:rsidP="00FD04F7">
            <w:pPr>
              <w:spacing w:line="276" w:lineRule="auto"/>
              <w:ind w:right="-1"/>
              <w:jc w:val="center"/>
              <w:rPr>
                <w:rFonts w:cs="Arial"/>
              </w:rPr>
            </w:pPr>
            <w:r w:rsidRPr="00B05C27">
              <w:rPr>
                <w:rFonts w:cs="Arial"/>
                <w:b/>
              </w:rPr>
              <w:t>Directora de Administración y Finanzas</w:t>
            </w:r>
          </w:p>
        </w:tc>
      </w:tr>
      <w:tr w:rsidR="001D1BE7" w:rsidRPr="00B05C27" w:rsidTr="00FD04F7">
        <w:tblPrEx>
          <w:tblCellMar>
            <w:left w:w="70" w:type="dxa"/>
            <w:right w:w="70" w:type="dxa"/>
          </w:tblCellMar>
        </w:tblPrEx>
        <w:trPr>
          <w:trHeight w:val="171"/>
          <w:jc w:val="center"/>
        </w:trPr>
        <w:tc>
          <w:tcPr>
            <w:tcW w:w="9937" w:type="dxa"/>
            <w:gridSpan w:val="2"/>
            <w:shd w:val="clear" w:color="auto" w:fill="auto"/>
            <w:noWrap/>
            <w:vAlign w:val="bottom"/>
            <w:hideMark/>
          </w:tcPr>
          <w:p w:rsidR="001D1BE7" w:rsidRDefault="001D1BE7" w:rsidP="00FD04F7">
            <w:pPr>
              <w:spacing w:line="276" w:lineRule="auto"/>
              <w:ind w:right="-1"/>
              <w:rPr>
                <w:rFonts w:cs="Arial"/>
              </w:rPr>
            </w:pPr>
          </w:p>
          <w:p w:rsidR="001D1BE7" w:rsidRDefault="001D1BE7" w:rsidP="00FD04F7">
            <w:pPr>
              <w:spacing w:line="276" w:lineRule="auto"/>
              <w:ind w:right="-1"/>
              <w:rPr>
                <w:rFonts w:cs="Arial"/>
              </w:rPr>
            </w:pPr>
          </w:p>
          <w:p w:rsidR="001D1BE7" w:rsidRPr="008E7569" w:rsidRDefault="001D1BE7" w:rsidP="00FD04F7">
            <w:pPr>
              <w:spacing w:line="276" w:lineRule="auto"/>
              <w:ind w:right="-1"/>
              <w:rPr>
                <w:rFonts w:cs="Arial"/>
                <w:sz w:val="2"/>
              </w:rPr>
            </w:pPr>
          </w:p>
          <w:p w:rsidR="001D1BE7" w:rsidRPr="008E7569" w:rsidRDefault="001D1BE7" w:rsidP="00FD04F7">
            <w:pPr>
              <w:spacing w:line="276" w:lineRule="auto"/>
              <w:ind w:right="-1"/>
              <w:rPr>
                <w:rFonts w:cs="Arial"/>
                <w:sz w:val="2"/>
              </w:rPr>
            </w:pPr>
          </w:p>
          <w:p w:rsidR="001D1BE7" w:rsidRPr="00B05C27" w:rsidRDefault="001D1BE7" w:rsidP="00FD04F7">
            <w:pPr>
              <w:spacing w:line="276" w:lineRule="auto"/>
              <w:ind w:right="-1"/>
              <w:jc w:val="center"/>
              <w:rPr>
                <w:rFonts w:cs="Arial"/>
              </w:rPr>
            </w:pPr>
            <w:r w:rsidRPr="00B05C27">
              <w:rPr>
                <w:rFonts w:cs="Arial"/>
              </w:rPr>
              <w:t>________________________________</w:t>
            </w:r>
          </w:p>
          <w:p w:rsidR="001D1BE7" w:rsidRPr="00B05C27" w:rsidRDefault="001D1BE7" w:rsidP="00FD04F7">
            <w:pPr>
              <w:spacing w:after="0" w:line="276" w:lineRule="auto"/>
              <w:ind w:right="-1"/>
              <w:jc w:val="center"/>
              <w:rPr>
                <w:rFonts w:cs="Arial"/>
              </w:rPr>
            </w:pPr>
            <w:r>
              <w:rPr>
                <w:rFonts w:cs="Arial"/>
              </w:rPr>
              <w:t>M.A.P</w:t>
            </w:r>
            <w:r w:rsidRPr="00B05C27">
              <w:rPr>
                <w:rFonts w:cs="Arial"/>
              </w:rPr>
              <w:t>. Antonio Hernández Tenorio</w:t>
            </w:r>
          </w:p>
          <w:p w:rsidR="001D1BE7" w:rsidRPr="00B05C27" w:rsidRDefault="001D1BE7" w:rsidP="00FD04F7">
            <w:pPr>
              <w:spacing w:line="276" w:lineRule="auto"/>
              <w:ind w:right="-1"/>
              <w:jc w:val="center"/>
              <w:rPr>
                <w:rFonts w:cs="Arial"/>
              </w:rPr>
            </w:pPr>
            <w:r w:rsidRPr="00B05C27">
              <w:rPr>
                <w:rFonts w:cs="Arial"/>
                <w:b/>
              </w:rPr>
              <w:t>Subdirector de Finanzas</w:t>
            </w:r>
          </w:p>
        </w:tc>
      </w:tr>
    </w:tbl>
    <w:p w:rsidR="001D1BE7" w:rsidRDefault="001D1BE7" w:rsidP="001D1BE7">
      <w:pPr>
        <w:spacing w:line="259" w:lineRule="auto"/>
        <w:rPr>
          <w:rFonts w:cs="Arial"/>
        </w:rPr>
      </w:pPr>
    </w:p>
    <w:p w:rsidR="009A1EB8" w:rsidRPr="009A1EB8" w:rsidRDefault="009A1EB8" w:rsidP="009A1EB8">
      <w:pPr>
        <w:spacing w:line="259" w:lineRule="auto"/>
        <w:rPr>
          <w:rFonts w:cs="Arial"/>
        </w:rPr>
      </w:pPr>
    </w:p>
    <w:sectPr w:rsidR="009A1EB8" w:rsidRPr="009A1EB8" w:rsidSect="00553E8A">
      <w:headerReference w:type="default" r:id="rId33"/>
      <w:footerReference w:type="default" r:id="rId34"/>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42" w:rsidRDefault="000B3342" w:rsidP="0033212B">
      <w:pPr>
        <w:spacing w:after="0" w:line="240" w:lineRule="auto"/>
      </w:pPr>
      <w:r>
        <w:separator/>
      </w:r>
    </w:p>
  </w:endnote>
  <w:endnote w:type="continuationSeparator" w:id="0">
    <w:p w:rsidR="000B3342" w:rsidRDefault="000B3342"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029720"/>
      <w:docPartObj>
        <w:docPartGallery w:val="Page Numbers (Bottom of Page)"/>
        <w:docPartUnique/>
      </w:docPartObj>
    </w:sdtPr>
    <w:sdtEndPr/>
    <w:sdtContent>
      <w:p w:rsidR="00A804C5" w:rsidRDefault="00A804C5" w:rsidP="006351E0">
        <w:pPr>
          <w:tabs>
            <w:tab w:val="left" w:pos="5685"/>
            <w:tab w:val="left" w:pos="8745"/>
            <w:tab w:val="right" w:pos="10062"/>
          </w:tabs>
        </w:pPr>
      </w:p>
      <w:p w:rsidR="00A804C5" w:rsidRDefault="00A804C5"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73C12F0D" wp14:editId="5536F9B6">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C84618">
          <w:rPr>
            <w:b/>
            <w:bCs/>
            <w:noProof/>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C84618" w:rsidRPr="00C84618">
          <w:rPr>
            <w:b/>
            <w:bCs/>
            <w:noProof/>
            <w:lang w:val="es-ES"/>
          </w:rPr>
          <w:t>27</w:t>
        </w:r>
        <w:r>
          <w:rPr>
            <w:b/>
            <w:bCs/>
          </w:rPr>
          <w:fldChar w:fldCharType="end"/>
        </w:r>
      </w:p>
      <w:p w:rsidR="00A804C5" w:rsidRDefault="00A804C5" w:rsidP="00FD4233">
        <w:pPr>
          <w:tabs>
            <w:tab w:val="left" w:pos="1635"/>
            <w:tab w:val="center" w:pos="5031"/>
            <w:tab w:val="left" w:pos="6360"/>
            <w:tab w:val="left" w:pos="8445"/>
            <w:tab w:val="right" w:pos="10062"/>
          </w:tabs>
        </w:pPr>
        <w:r>
          <w:tab/>
        </w:r>
        <w:r>
          <w:tab/>
        </w:r>
        <w:r>
          <w:tab/>
        </w:r>
      </w:p>
      <w:p w:rsidR="00A804C5" w:rsidRDefault="00A804C5" w:rsidP="001A70A8">
        <w:pPr>
          <w:pStyle w:val="Piedepgina"/>
          <w:jc w:val="center"/>
        </w:pPr>
      </w:p>
      <w:p w:rsidR="00A804C5" w:rsidRDefault="00A804C5" w:rsidP="00FD4233">
        <w:pPr>
          <w:pStyle w:val="Piedepgina"/>
          <w:jc w:val="right"/>
        </w:pPr>
      </w:p>
      <w:p w:rsidR="00A804C5" w:rsidRDefault="00A804C5" w:rsidP="001A70A8">
        <w:pPr>
          <w:pStyle w:val="Piedepgina"/>
          <w:jc w:val="center"/>
        </w:pPr>
      </w:p>
      <w:p w:rsidR="00A804C5" w:rsidRDefault="00A804C5" w:rsidP="00AB0FF1">
        <w:pPr>
          <w:pStyle w:val="Piedepgina"/>
          <w:tabs>
            <w:tab w:val="center" w:pos="5031"/>
            <w:tab w:val="left" w:pos="8520"/>
          </w:tabs>
        </w:pPr>
        <w:r>
          <w:tab/>
        </w:r>
        <w:r>
          <w:tab/>
        </w:r>
        <w:r>
          <w:tab/>
        </w:r>
      </w:p>
    </w:sdtContent>
  </w:sdt>
  <w:p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42" w:rsidRDefault="000B3342" w:rsidP="0033212B">
      <w:pPr>
        <w:spacing w:after="0" w:line="240" w:lineRule="auto"/>
      </w:pPr>
      <w:r>
        <w:separator/>
      </w:r>
    </w:p>
  </w:footnote>
  <w:footnote w:type="continuationSeparator" w:id="0">
    <w:p w:rsidR="000B3342" w:rsidRDefault="000B3342" w:rsidP="003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C5" w:rsidRDefault="00A804C5"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60800" behindDoc="1" locked="0" layoutInCell="1" allowOverlap="1" wp14:anchorId="1A51DC58" wp14:editId="517ED0A5">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4C5" w:rsidRDefault="00A804C5" w:rsidP="000316D9">
    <w:pPr>
      <w:pStyle w:val="Encabezado"/>
      <w:tabs>
        <w:tab w:val="clear" w:pos="4419"/>
        <w:tab w:val="clear" w:pos="8838"/>
      </w:tabs>
      <w:ind w:left="-1560" w:right="-1652"/>
      <w:jc w:val="center"/>
      <w:rPr>
        <w:noProof/>
        <w:lang w:eastAsia="es-MX"/>
      </w:rPr>
    </w:pPr>
  </w:p>
  <w:p w:rsidR="00A804C5" w:rsidRDefault="00A804C5" w:rsidP="000316D9">
    <w:pPr>
      <w:pStyle w:val="Encabezado"/>
      <w:tabs>
        <w:tab w:val="clear" w:pos="4419"/>
        <w:tab w:val="clear" w:pos="8838"/>
      </w:tabs>
      <w:ind w:left="-1560" w:right="-1652"/>
      <w:jc w:val="center"/>
      <w:rPr>
        <w:noProof/>
        <w:lang w:eastAsia="es-MX"/>
      </w:rPr>
    </w:pPr>
  </w:p>
  <w:p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rsidR="00FE1A3F" w:rsidRPr="0019217C" w:rsidRDefault="00FE1A3F" w:rsidP="00FE1A3F">
    <w:pPr>
      <w:pStyle w:val="Encabezado"/>
      <w:tabs>
        <w:tab w:val="left" w:pos="708"/>
      </w:tabs>
      <w:ind w:left="-1560" w:right="-1652"/>
      <w:jc w:val="center"/>
      <w:rPr>
        <w:i/>
      </w:rPr>
    </w:pPr>
    <w:r w:rsidRPr="0019217C">
      <w:rPr>
        <w:rFonts w:ascii="Gotham Bold" w:hAnsi="Gotham Bold"/>
        <w:i/>
      </w:rPr>
      <w:t>“2020. Año de Laura Méndez de Cuenca; emblema de la mujer Mexiquense”.</w:t>
    </w:r>
  </w:p>
  <w:p w:rsidR="00A804C5" w:rsidRPr="00DF66A9" w:rsidRDefault="00A804C5"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2EBC"/>
    <w:multiLevelType w:val="hybridMultilevel"/>
    <w:tmpl w:val="5B38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2136D0"/>
    <w:multiLevelType w:val="hybridMultilevel"/>
    <w:tmpl w:val="F47E43FE"/>
    <w:lvl w:ilvl="0" w:tplc="FB884962">
      <w:start w:val="7"/>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236F80"/>
    <w:multiLevelType w:val="hybridMultilevel"/>
    <w:tmpl w:val="C80868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CAE7C0B"/>
    <w:multiLevelType w:val="hybridMultilevel"/>
    <w:tmpl w:val="D3E81118"/>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7B6922"/>
    <w:multiLevelType w:val="hybridMultilevel"/>
    <w:tmpl w:val="0EEE0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3C716C09"/>
    <w:multiLevelType w:val="hybridMultilevel"/>
    <w:tmpl w:val="DBD2BA4A"/>
    <w:lvl w:ilvl="0" w:tplc="95AEBE2E">
      <w:start w:val="5"/>
      <w:numFmt w:val="upperRoman"/>
      <w:lvlText w:val="%1."/>
      <w:lvlJc w:val="righ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5964A2D"/>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9FA3EED"/>
    <w:multiLevelType w:val="hybridMultilevel"/>
    <w:tmpl w:val="B5D40F92"/>
    <w:lvl w:ilvl="0" w:tplc="9CFAC170">
      <w:start w:val="1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A333E5"/>
    <w:multiLevelType w:val="hybridMultilevel"/>
    <w:tmpl w:val="300A5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A44EB2"/>
    <w:multiLevelType w:val="hybridMultilevel"/>
    <w:tmpl w:val="A4C0D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362DB9"/>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15157B"/>
    <w:multiLevelType w:val="hybridMultilevel"/>
    <w:tmpl w:val="80A0101A"/>
    <w:lvl w:ilvl="0" w:tplc="74181AF0">
      <w:start w:val="11"/>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64677FB9"/>
    <w:multiLevelType w:val="hybridMultilevel"/>
    <w:tmpl w:val="3CEECF22"/>
    <w:lvl w:ilvl="0" w:tplc="70F62FD0">
      <w:start w:val="9"/>
      <w:numFmt w:val="decimal"/>
      <w:lvlText w:val="%1."/>
      <w:lvlJc w:val="left"/>
      <w:pPr>
        <w:ind w:left="644"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274ED9"/>
    <w:multiLevelType w:val="hybridMultilevel"/>
    <w:tmpl w:val="4E3A91D0"/>
    <w:lvl w:ilvl="0" w:tplc="4E2EADB0">
      <w:start w:val="9"/>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D931B4"/>
    <w:multiLevelType w:val="hybridMultilevel"/>
    <w:tmpl w:val="240C442E"/>
    <w:lvl w:ilvl="0" w:tplc="E3FA7F22">
      <w:start w:val="10"/>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757B43"/>
    <w:multiLevelType w:val="hybridMultilevel"/>
    <w:tmpl w:val="1F50B7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7E7A66D6"/>
    <w:multiLevelType w:val="hybridMultilevel"/>
    <w:tmpl w:val="AA6EC10E"/>
    <w:lvl w:ilvl="0" w:tplc="077A556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6"/>
  </w:num>
  <w:num w:numId="5">
    <w:abstractNumId w:val="30"/>
  </w:num>
  <w:num w:numId="6">
    <w:abstractNumId w:val="5"/>
  </w:num>
  <w:num w:numId="7">
    <w:abstractNumId w:val="23"/>
  </w:num>
  <w:num w:numId="8">
    <w:abstractNumId w:val="28"/>
  </w:num>
  <w:num w:numId="9">
    <w:abstractNumId w:val="29"/>
  </w:num>
  <w:num w:numId="10">
    <w:abstractNumId w:val="22"/>
  </w:num>
  <w:num w:numId="11">
    <w:abstractNumId w:val="11"/>
  </w:num>
  <w:num w:numId="12">
    <w:abstractNumId w:val="2"/>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16"/>
  </w:num>
  <w:num w:numId="26">
    <w:abstractNumId w:val="20"/>
  </w:num>
  <w:num w:numId="27">
    <w:abstractNumId w:val="12"/>
  </w:num>
  <w:num w:numId="28">
    <w:abstractNumId w:val="14"/>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7"/>
  </w:num>
  <w:num w:numId="33">
    <w:abstractNumId w:val="0"/>
  </w:num>
  <w:num w:numId="34">
    <w:abstractNumId w:val="17"/>
  </w:num>
  <w:num w:numId="35">
    <w:abstractNumId w:val="21"/>
  </w:num>
  <w:num w:numId="36">
    <w:abstractNumId w:val="24"/>
  </w:num>
  <w:num w:numId="37">
    <w:abstractNumId w:val="18"/>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27DB"/>
    <w:rsid w:val="00003D73"/>
    <w:rsid w:val="00006ED2"/>
    <w:rsid w:val="00010FD9"/>
    <w:rsid w:val="00012845"/>
    <w:rsid w:val="0001352F"/>
    <w:rsid w:val="00015E63"/>
    <w:rsid w:val="00015FA6"/>
    <w:rsid w:val="00016F2A"/>
    <w:rsid w:val="0001768C"/>
    <w:rsid w:val="00020432"/>
    <w:rsid w:val="00021DE1"/>
    <w:rsid w:val="00022C7E"/>
    <w:rsid w:val="000265E6"/>
    <w:rsid w:val="00026EBB"/>
    <w:rsid w:val="00030B0F"/>
    <w:rsid w:val="00030B5E"/>
    <w:rsid w:val="000316D9"/>
    <w:rsid w:val="000317E9"/>
    <w:rsid w:val="000326A2"/>
    <w:rsid w:val="0003577A"/>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7108F"/>
    <w:rsid w:val="00072B06"/>
    <w:rsid w:val="00073B8C"/>
    <w:rsid w:val="0008290A"/>
    <w:rsid w:val="00082CB1"/>
    <w:rsid w:val="00083D56"/>
    <w:rsid w:val="00084D06"/>
    <w:rsid w:val="00084D64"/>
    <w:rsid w:val="00094250"/>
    <w:rsid w:val="00094DD0"/>
    <w:rsid w:val="0009517D"/>
    <w:rsid w:val="00096447"/>
    <w:rsid w:val="000968F8"/>
    <w:rsid w:val="000A081E"/>
    <w:rsid w:val="000A228A"/>
    <w:rsid w:val="000A2ADF"/>
    <w:rsid w:val="000A2B0A"/>
    <w:rsid w:val="000A30E0"/>
    <w:rsid w:val="000A3489"/>
    <w:rsid w:val="000A3DA3"/>
    <w:rsid w:val="000A4773"/>
    <w:rsid w:val="000A4B51"/>
    <w:rsid w:val="000A4CD9"/>
    <w:rsid w:val="000A4FB8"/>
    <w:rsid w:val="000A52F1"/>
    <w:rsid w:val="000A7CAE"/>
    <w:rsid w:val="000B027A"/>
    <w:rsid w:val="000B03BB"/>
    <w:rsid w:val="000B07D7"/>
    <w:rsid w:val="000B0F33"/>
    <w:rsid w:val="000B124F"/>
    <w:rsid w:val="000B3342"/>
    <w:rsid w:val="000C0132"/>
    <w:rsid w:val="000C08D7"/>
    <w:rsid w:val="000C5056"/>
    <w:rsid w:val="000C5544"/>
    <w:rsid w:val="000C7DD0"/>
    <w:rsid w:val="000D01F5"/>
    <w:rsid w:val="000D09FF"/>
    <w:rsid w:val="000D1290"/>
    <w:rsid w:val="000D1B63"/>
    <w:rsid w:val="000D40F1"/>
    <w:rsid w:val="000D5865"/>
    <w:rsid w:val="000D5A73"/>
    <w:rsid w:val="000E31FD"/>
    <w:rsid w:val="000E38D9"/>
    <w:rsid w:val="000E5435"/>
    <w:rsid w:val="000E57F1"/>
    <w:rsid w:val="000E650B"/>
    <w:rsid w:val="000E7537"/>
    <w:rsid w:val="000F0D32"/>
    <w:rsid w:val="000F401A"/>
    <w:rsid w:val="000F4A95"/>
    <w:rsid w:val="000F4FF2"/>
    <w:rsid w:val="000F737A"/>
    <w:rsid w:val="00100535"/>
    <w:rsid w:val="001104E6"/>
    <w:rsid w:val="001104EE"/>
    <w:rsid w:val="00110CC9"/>
    <w:rsid w:val="00113064"/>
    <w:rsid w:val="001135F5"/>
    <w:rsid w:val="00114174"/>
    <w:rsid w:val="001167C1"/>
    <w:rsid w:val="00121D31"/>
    <w:rsid w:val="0012306F"/>
    <w:rsid w:val="00123396"/>
    <w:rsid w:val="00124778"/>
    <w:rsid w:val="00124F83"/>
    <w:rsid w:val="00125235"/>
    <w:rsid w:val="00130EA5"/>
    <w:rsid w:val="00136FAC"/>
    <w:rsid w:val="00140429"/>
    <w:rsid w:val="001433AD"/>
    <w:rsid w:val="001436FB"/>
    <w:rsid w:val="00143879"/>
    <w:rsid w:val="0014449F"/>
    <w:rsid w:val="00152B8F"/>
    <w:rsid w:val="00152CE4"/>
    <w:rsid w:val="00153C26"/>
    <w:rsid w:val="00154103"/>
    <w:rsid w:val="00154D1C"/>
    <w:rsid w:val="00155156"/>
    <w:rsid w:val="001554DD"/>
    <w:rsid w:val="00155A9D"/>
    <w:rsid w:val="001570DC"/>
    <w:rsid w:val="001600FB"/>
    <w:rsid w:val="0016041F"/>
    <w:rsid w:val="00160821"/>
    <w:rsid w:val="00163812"/>
    <w:rsid w:val="0016506D"/>
    <w:rsid w:val="001678EA"/>
    <w:rsid w:val="00171698"/>
    <w:rsid w:val="00173CC3"/>
    <w:rsid w:val="00173DBF"/>
    <w:rsid w:val="00174100"/>
    <w:rsid w:val="00175DCD"/>
    <w:rsid w:val="001800B6"/>
    <w:rsid w:val="00180232"/>
    <w:rsid w:val="00180A93"/>
    <w:rsid w:val="001811A8"/>
    <w:rsid w:val="0018123E"/>
    <w:rsid w:val="00181B3F"/>
    <w:rsid w:val="00183F2F"/>
    <w:rsid w:val="00184BE1"/>
    <w:rsid w:val="00191E56"/>
    <w:rsid w:val="00194F29"/>
    <w:rsid w:val="00195ADE"/>
    <w:rsid w:val="001A0DBE"/>
    <w:rsid w:val="001A3EA4"/>
    <w:rsid w:val="001A42C4"/>
    <w:rsid w:val="001A6D07"/>
    <w:rsid w:val="001A70A8"/>
    <w:rsid w:val="001B054A"/>
    <w:rsid w:val="001B0613"/>
    <w:rsid w:val="001B1326"/>
    <w:rsid w:val="001B1E2C"/>
    <w:rsid w:val="001B3BFD"/>
    <w:rsid w:val="001B4811"/>
    <w:rsid w:val="001B6A78"/>
    <w:rsid w:val="001B79F0"/>
    <w:rsid w:val="001C1913"/>
    <w:rsid w:val="001C2D9F"/>
    <w:rsid w:val="001C32DD"/>
    <w:rsid w:val="001C33D8"/>
    <w:rsid w:val="001C36BA"/>
    <w:rsid w:val="001C6622"/>
    <w:rsid w:val="001C72C4"/>
    <w:rsid w:val="001D1BE7"/>
    <w:rsid w:val="001D237E"/>
    <w:rsid w:val="001D5057"/>
    <w:rsid w:val="001D5210"/>
    <w:rsid w:val="001D5A6E"/>
    <w:rsid w:val="001D74CB"/>
    <w:rsid w:val="001D793E"/>
    <w:rsid w:val="001E06EF"/>
    <w:rsid w:val="001E1B89"/>
    <w:rsid w:val="001E25C6"/>
    <w:rsid w:val="001E396C"/>
    <w:rsid w:val="001E4762"/>
    <w:rsid w:val="001E4D68"/>
    <w:rsid w:val="001E5489"/>
    <w:rsid w:val="001F05AD"/>
    <w:rsid w:val="001F0CE1"/>
    <w:rsid w:val="001F1301"/>
    <w:rsid w:val="001F1B28"/>
    <w:rsid w:val="001F1EE1"/>
    <w:rsid w:val="001F1FF9"/>
    <w:rsid w:val="001F5305"/>
    <w:rsid w:val="001F69B3"/>
    <w:rsid w:val="00200343"/>
    <w:rsid w:val="00201773"/>
    <w:rsid w:val="0020245B"/>
    <w:rsid w:val="0020644C"/>
    <w:rsid w:val="00213972"/>
    <w:rsid w:val="00216916"/>
    <w:rsid w:val="002174D6"/>
    <w:rsid w:val="00217C12"/>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580"/>
    <w:rsid w:val="00244598"/>
    <w:rsid w:val="00245317"/>
    <w:rsid w:val="0024535F"/>
    <w:rsid w:val="00246044"/>
    <w:rsid w:val="002465BB"/>
    <w:rsid w:val="0025080E"/>
    <w:rsid w:val="00251395"/>
    <w:rsid w:val="00251DC8"/>
    <w:rsid w:val="00256473"/>
    <w:rsid w:val="00256F96"/>
    <w:rsid w:val="00264D0E"/>
    <w:rsid w:val="00267222"/>
    <w:rsid w:val="0026744F"/>
    <w:rsid w:val="00272BA0"/>
    <w:rsid w:val="002734FE"/>
    <w:rsid w:val="00273EB5"/>
    <w:rsid w:val="00274345"/>
    <w:rsid w:val="00276066"/>
    <w:rsid w:val="00280535"/>
    <w:rsid w:val="00280B40"/>
    <w:rsid w:val="0028147E"/>
    <w:rsid w:val="002859B7"/>
    <w:rsid w:val="00287E5C"/>
    <w:rsid w:val="002909EB"/>
    <w:rsid w:val="002911AD"/>
    <w:rsid w:val="00292418"/>
    <w:rsid w:val="00293DA7"/>
    <w:rsid w:val="00296101"/>
    <w:rsid w:val="002969C0"/>
    <w:rsid w:val="002A193B"/>
    <w:rsid w:val="002A2AAD"/>
    <w:rsid w:val="002A5B22"/>
    <w:rsid w:val="002A7A96"/>
    <w:rsid w:val="002B0BED"/>
    <w:rsid w:val="002B23B8"/>
    <w:rsid w:val="002B344E"/>
    <w:rsid w:val="002B6494"/>
    <w:rsid w:val="002B747B"/>
    <w:rsid w:val="002B7DCD"/>
    <w:rsid w:val="002C089B"/>
    <w:rsid w:val="002C1500"/>
    <w:rsid w:val="002C2C79"/>
    <w:rsid w:val="002C44BF"/>
    <w:rsid w:val="002C6A51"/>
    <w:rsid w:val="002D0E71"/>
    <w:rsid w:val="002D109B"/>
    <w:rsid w:val="002D1F2E"/>
    <w:rsid w:val="002D29BC"/>
    <w:rsid w:val="002D2E53"/>
    <w:rsid w:val="002D4356"/>
    <w:rsid w:val="002D5D22"/>
    <w:rsid w:val="002E0E52"/>
    <w:rsid w:val="002E2BBF"/>
    <w:rsid w:val="002E378E"/>
    <w:rsid w:val="002E3C79"/>
    <w:rsid w:val="002E3F91"/>
    <w:rsid w:val="002E4880"/>
    <w:rsid w:val="002E55E9"/>
    <w:rsid w:val="002E63CE"/>
    <w:rsid w:val="002E7BFD"/>
    <w:rsid w:val="002F1339"/>
    <w:rsid w:val="002F561B"/>
    <w:rsid w:val="002F7710"/>
    <w:rsid w:val="002F7CAF"/>
    <w:rsid w:val="00300C9C"/>
    <w:rsid w:val="00301158"/>
    <w:rsid w:val="003042BB"/>
    <w:rsid w:val="003047F9"/>
    <w:rsid w:val="00306181"/>
    <w:rsid w:val="003135E5"/>
    <w:rsid w:val="00316036"/>
    <w:rsid w:val="0031644B"/>
    <w:rsid w:val="00316D48"/>
    <w:rsid w:val="00316D5D"/>
    <w:rsid w:val="00316DEB"/>
    <w:rsid w:val="00320151"/>
    <w:rsid w:val="00320C0E"/>
    <w:rsid w:val="003217AE"/>
    <w:rsid w:val="00322CA9"/>
    <w:rsid w:val="0032595A"/>
    <w:rsid w:val="00331541"/>
    <w:rsid w:val="0033212B"/>
    <w:rsid w:val="00333772"/>
    <w:rsid w:val="00336040"/>
    <w:rsid w:val="0033665F"/>
    <w:rsid w:val="003432D8"/>
    <w:rsid w:val="00343555"/>
    <w:rsid w:val="00343EFA"/>
    <w:rsid w:val="003476D9"/>
    <w:rsid w:val="00347A93"/>
    <w:rsid w:val="0035214D"/>
    <w:rsid w:val="003537A0"/>
    <w:rsid w:val="0035391C"/>
    <w:rsid w:val="003542D6"/>
    <w:rsid w:val="00354592"/>
    <w:rsid w:val="003547B9"/>
    <w:rsid w:val="00356AAE"/>
    <w:rsid w:val="00356C4C"/>
    <w:rsid w:val="00356CF2"/>
    <w:rsid w:val="00361EF9"/>
    <w:rsid w:val="00362C2A"/>
    <w:rsid w:val="00363D07"/>
    <w:rsid w:val="003648E4"/>
    <w:rsid w:val="003651B1"/>
    <w:rsid w:val="0036630F"/>
    <w:rsid w:val="00367E78"/>
    <w:rsid w:val="00370BA2"/>
    <w:rsid w:val="00370DAC"/>
    <w:rsid w:val="00372A64"/>
    <w:rsid w:val="003734DF"/>
    <w:rsid w:val="00373AD7"/>
    <w:rsid w:val="00373C05"/>
    <w:rsid w:val="00374D28"/>
    <w:rsid w:val="00376CAF"/>
    <w:rsid w:val="0038035B"/>
    <w:rsid w:val="003807BD"/>
    <w:rsid w:val="00380CB3"/>
    <w:rsid w:val="0038121B"/>
    <w:rsid w:val="003826EC"/>
    <w:rsid w:val="0038291E"/>
    <w:rsid w:val="00383861"/>
    <w:rsid w:val="0038425C"/>
    <w:rsid w:val="00390BB9"/>
    <w:rsid w:val="00392564"/>
    <w:rsid w:val="003936EC"/>
    <w:rsid w:val="0039385E"/>
    <w:rsid w:val="00394024"/>
    <w:rsid w:val="003A05A0"/>
    <w:rsid w:val="003A2CD8"/>
    <w:rsid w:val="003A39D3"/>
    <w:rsid w:val="003A3A0B"/>
    <w:rsid w:val="003A50C1"/>
    <w:rsid w:val="003A7B09"/>
    <w:rsid w:val="003B2588"/>
    <w:rsid w:val="003B3E10"/>
    <w:rsid w:val="003B6142"/>
    <w:rsid w:val="003C037F"/>
    <w:rsid w:val="003C03E7"/>
    <w:rsid w:val="003C1F1B"/>
    <w:rsid w:val="003C5EF2"/>
    <w:rsid w:val="003C6C0E"/>
    <w:rsid w:val="003C7D90"/>
    <w:rsid w:val="003D03BC"/>
    <w:rsid w:val="003D677E"/>
    <w:rsid w:val="003D73E4"/>
    <w:rsid w:val="003E5B9A"/>
    <w:rsid w:val="003E779C"/>
    <w:rsid w:val="003F0258"/>
    <w:rsid w:val="003F07F3"/>
    <w:rsid w:val="003F18B1"/>
    <w:rsid w:val="003F517E"/>
    <w:rsid w:val="003F6EAF"/>
    <w:rsid w:val="003F76F5"/>
    <w:rsid w:val="003F77FC"/>
    <w:rsid w:val="00402DCF"/>
    <w:rsid w:val="004039C8"/>
    <w:rsid w:val="00403D57"/>
    <w:rsid w:val="004059A4"/>
    <w:rsid w:val="00407A26"/>
    <w:rsid w:val="00407C3C"/>
    <w:rsid w:val="004161C8"/>
    <w:rsid w:val="00416639"/>
    <w:rsid w:val="00416696"/>
    <w:rsid w:val="00416D8B"/>
    <w:rsid w:val="004172FF"/>
    <w:rsid w:val="0041778B"/>
    <w:rsid w:val="00422466"/>
    <w:rsid w:val="00422EE1"/>
    <w:rsid w:val="00424CE4"/>
    <w:rsid w:val="00425087"/>
    <w:rsid w:val="00425ED0"/>
    <w:rsid w:val="004264A2"/>
    <w:rsid w:val="00430DBD"/>
    <w:rsid w:val="0043257C"/>
    <w:rsid w:val="00432E72"/>
    <w:rsid w:val="00435EDC"/>
    <w:rsid w:val="004378BA"/>
    <w:rsid w:val="00440F0A"/>
    <w:rsid w:val="00441158"/>
    <w:rsid w:val="00443064"/>
    <w:rsid w:val="004443F1"/>
    <w:rsid w:val="004448D3"/>
    <w:rsid w:val="004469C7"/>
    <w:rsid w:val="004472ED"/>
    <w:rsid w:val="004500FD"/>
    <w:rsid w:val="004520EC"/>
    <w:rsid w:val="004527F5"/>
    <w:rsid w:val="00452CB3"/>
    <w:rsid w:val="00452FAB"/>
    <w:rsid w:val="004559AD"/>
    <w:rsid w:val="0045633F"/>
    <w:rsid w:val="00457D93"/>
    <w:rsid w:val="00457F14"/>
    <w:rsid w:val="00461CA3"/>
    <w:rsid w:val="00465387"/>
    <w:rsid w:val="0047049F"/>
    <w:rsid w:val="00470F5A"/>
    <w:rsid w:val="0047201F"/>
    <w:rsid w:val="004723C3"/>
    <w:rsid w:val="00473507"/>
    <w:rsid w:val="00474B22"/>
    <w:rsid w:val="00475177"/>
    <w:rsid w:val="004756FF"/>
    <w:rsid w:val="00477F60"/>
    <w:rsid w:val="004804B4"/>
    <w:rsid w:val="004842BC"/>
    <w:rsid w:val="0048444A"/>
    <w:rsid w:val="0048474F"/>
    <w:rsid w:val="004852AC"/>
    <w:rsid w:val="004852C4"/>
    <w:rsid w:val="004860DC"/>
    <w:rsid w:val="004877CF"/>
    <w:rsid w:val="00493A69"/>
    <w:rsid w:val="00494444"/>
    <w:rsid w:val="0049527E"/>
    <w:rsid w:val="004A0297"/>
    <w:rsid w:val="004A0A66"/>
    <w:rsid w:val="004A1DEA"/>
    <w:rsid w:val="004A2C5A"/>
    <w:rsid w:val="004A3EEB"/>
    <w:rsid w:val="004A4070"/>
    <w:rsid w:val="004A5E62"/>
    <w:rsid w:val="004A7DE6"/>
    <w:rsid w:val="004A7E69"/>
    <w:rsid w:val="004B02A5"/>
    <w:rsid w:val="004B437E"/>
    <w:rsid w:val="004B580C"/>
    <w:rsid w:val="004B60E1"/>
    <w:rsid w:val="004B6E4E"/>
    <w:rsid w:val="004B7331"/>
    <w:rsid w:val="004B75FD"/>
    <w:rsid w:val="004C0175"/>
    <w:rsid w:val="004C21AF"/>
    <w:rsid w:val="004C2625"/>
    <w:rsid w:val="004C2985"/>
    <w:rsid w:val="004C34C6"/>
    <w:rsid w:val="004C4D2F"/>
    <w:rsid w:val="004C615E"/>
    <w:rsid w:val="004C657B"/>
    <w:rsid w:val="004C6C82"/>
    <w:rsid w:val="004D25FE"/>
    <w:rsid w:val="004D31AC"/>
    <w:rsid w:val="004D3578"/>
    <w:rsid w:val="004D4C6E"/>
    <w:rsid w:val="004D51CE"/>
    <w:rsid w:val="004D5518"/>
    <w:rsid w:val="004E18BD"/>
    <w:rsid w:val="004E32A4"/>
    <w:rsid w:val="004E50D3"/>
    <w:rsid w:val="004E5AD9"/>
    <w:rsid w:val="004E5C54"/>
    <w:rsid w:val="004E600D"/>
    <w:rsid w:val="004E62E7"/>
    <w:rsid w:val="004F0F88"/>
    <w:rsid w:val="004F206A"/>
    <w:rsid w:val="004F62FB"/>
    <w:rsid w:val="004F7873"/>
    <w:rsid w:val="005007BC"/>
    <w:rsid w:val="00500D5E"/>
    <w:rsid w:val="005021B6"/>
    <w:rsid w:val="00502422"/>
    <w:rsid w:val="0050315F"/>
    <w:rsid w:val="00503F8F"/>
    <w:rsid w:val="0050496B"/>
    <w:rsid w:val="00505DD1"/>
    <w:rsid w:val="005061FC"/>
    <w:rsid w:val="00506F2B"/>
    <w:rsid w:val="00511D50"/>
    <w:rsid w:val="00516075"/>
    <w:rsid w:val="00516FE9"/>
    <w:rsid w:val="005232EF"/>
    <w:rsid w:val="005236DD"/>
    <w:rsid w:val="0052527A"/>
    <w:rsid w:val="00525B78"/>
    <w:rsid w:val="0052620D"/>
    <w:rsid w:val="00530C8F"/>
    <w:rsid w:val="005315CD"/>
    <w:rsid w:val="005315E2"/>
    <w:rsid w:val="00531E46"/>
    <w:rsid w:val="00531E6D"/>
    <w:rsid w:val="0053225F"/>
    <w:rsid w:val="00535EEE"/>
    <w:rsid w:val="00540099"/>
    <w:rsid w:val="005401DA"/>
    <w:rsid w:val="00540D74"/>
    <w:rsid w:val="005422C9"/>
    <w:rsid w:val="005424DC"/>
    <w:rsid w:val="0054345B"/>
    <w:rsid w:val="00543F0C"/>
    <w:rsid w:val="0054413A"/>
    <w:rsid w:val="0054468D"/>
    <w:rsid w:val="0054544A"/>
    <w:rsid w:val="0054583C"/>
    <w:rsid w:val="00545FCF"/>
    <w:rsid w:val="00546879"/>
    <w:rsid w:val="00553AFE"/>
    <w:rsid w:val="00553E8A"/>
    <w:rsid w:val="005564DB"/>
    <w:rsid w:val="00561128"/>
    <w:rsid w:val="00561944"/>
    <w:rsid w:val="00563832"/>
    <w:rsid w:val="005664C2"/>
    <w:rsid w:val="00566ACC"/>
    <w:rsid w:val="005675CB"/>
    <w:rsid w:val="00567F22"/>
    <w:rsid w:val="00571B2E"/>
    <w:rsid w:val="005742F2"/>
    <w:rsid w:val="005749BF"/>
    <w:rsid w:val="00575F71"/>
    <w:rsid w:val="00576382"/>
    <w:rsid w:val="005775FD"/>
    <w:rsid w:val="00580993"/>
    <w:rsid w:val="005838D0"/>
    <w:rsid w:val="00583F1C"/>
    <w:rsid w:val="00585C33"/>
    <w:rsid w:val="00586CC3"/>
    <w:rsid w:val="00587023"/>
    <w:rsid w:val="005918DD"/>
    <w:rsid w:val="00592EEE"/>
    <w:rsid w:val="0059721A"/>
    <w:rsid w:val="00597F23"/>
    <w:rsid w:val="005A04FC"/>
    <w:rsid w:val="005A152D"/>
    <w:rsid w:val="005A19BD"/>
    <w:rsid w:val="005A2590"/>
    <w:rsid w:val="005A2D24"/>
    <w:rsid w:val="005A30FD"/>
    <w:rsid w:val="005A3ADB"/>
    <w:rsid w:val="005A71C4"/>
    <w:rsid w:val="005B0384"/>
    <w:rsid w:val="005B07E5"/>
    <w:rsid w:val="005B0C56"/>
    <w:rsid w:val="005B0D19"/>
    <w:rsid w:val="005B1A6C"/>
    <w:rsid w:val="005B1BC5"/>
    <w:rsid w:val="005B249B"/>
    <w:rsid w:val="005B2D41"/>
    <w:rsid w:val="005B3276"/>
    <w:rsid w:val="005B362E"/>
    <w:rsid w:val="005B5595"/>
    <w:rsid w:val="005B7E9C"/>
    <w:rsid w:val="005C0109"/>
    <w:rsid w:val="005C38DA"/>
    <w:rsid w:val="005C5D67"/>
    <w:rsid w:val="005C7E42"/>
    <w:rsid w:val="005D19DA"/>
    <w:rsid w:val="005D1EF0"/>
    <w:rsid w:val="005D3019"/>
    <w:rsid w:val="005D6F75"/>
    <w:rsid w:val="005E1C2B"/>
    <w:rsid w:val="005E1F09"/>
    <w:rsid w:val="005E256A"/>
    <w:rsid w:val="005E71C8"/>
    <w:rsid w:val="005F2A70"/>
    <w:rsid w:val="005F3488"/>
    <w:rsid w:val="005F49EE"/>
    <w:rsid w:val="005F4D2A"/>
    <w:rsid w:val="005F5123"/>
    <w:rsid w:val="005F6990"/>
    <w:rsid w:val="005F78B1"/>
    <w:rsid w:val="006009FE"/>
    <w:rsid w:val="00601E78"/>
    <w:rsid w:val="00601EF7"/>
    <w:rsid w:val="006036C9"/>
    <w:rsid w:val="00605468"/>
    <w:rsid w:val="00606708"/>
    <w:rsid w:val="006144D0"/>
    <w:rsid w:val="00615FD2"/>
    <w:rsid w:val="00621960"/>
    <w:rsid w:val="00625B63"/>
    <w:rsid w:val="00626153"/>
    <w:rsid w:val="006263F4"/>
    <w:rsid w:val="00626624"/>
    <w:rsid w:val="00626837"/>
    <w:rsid w:val="00627139"/>
    <w:rsid w:val="00627646"/>
    <w:rsid w:val="00633775"/>
    <w:rsid w:val="00634018"/>
    <w:rsid w:val="006349FF"/>
    <w:rsid w:val="006351E0"/>
    <w:rsid w:val="00641BEC"/>
    <w:rsid w:val="00643245"/>
    <w:rsid w:val="006438DB"/>
    <w:rsid w:val="00644B34"/>
    <w:rsid w:val="006455A3"/>
    <w:rsid w:val="006469D5"/>
    <w:rsid w:val="00650A58"/>
    <w:rsid w:val="00650E02"/>
    <w:rsid w:val="0065176D"/>
    <w:rsid w:val="006520D8"/>
    <w:rsid w:val="006550DA"/>
    <w:rsid w:val="00656782"/>
    <w:rsid w:val="006606B4"/>
    <w:rsid w:val="00663398"/>
    <w:rsid w:val="00664E0B"/>
    <w:rsid w:val="0066623A"/>
    <w:rsid w:val="00666E99"/>
    <w:rsid w:val="006672D5"/>
    <w:rsid w:val="00670AFA"/>
    <w:rsid w:val="00672170"/>
    <w:rsid w:val="006728A2"/>
    <w:rsid w:val="00674801"/>
    <w:rsid w:val="00674E6E"/>
    <w:rsid w:val="00677C31"/>
    <w:rsid w:val="00680A49"/>
    <w:rsid w:val="00680B0D"/>
    <w:rsid w:val="006879C5"/>
    <w:rsid w:val="00687CE9"/>
    <w:rsid w:val="00687E64"/>
    <w:rsid w:val="0069055E"/>
    <w:rsid w:val="0069079F"/>
    <w:rsid w:val="00690B43"/>
    <w:rsid w:val="00692FA9"/>
    <w:rsid w:val="0069441D"/>
    <w:rsid w:val="00697072"/>
    <w:rsid w:val="006A26F4"/>
    <w:rsid w:val="006B39D4"/>
    <w:rsid w:val="006B7822"/>
    <w:rsid w:val="006B7E1E"/>
    <w:rsid w:val="006C2B12"/>
    <w:rsid w:val="006C3420"/>
    <w:rsid w:val="006C38BA"/>
    <w:rsid w:val="006C4937"/>
    <w:rsid w:val="006C528C"/>
    <w:rsid w:val="006C5E13"/>
    <w:rsid w:val="006C60C9"/>
    <w:rsid w:val="006D0054"/>
    <w:rsid w:val="006D0936"/>
    <w:rsid w:val="006D4910"/>
    <w:rsid w:val="006D4E0F"/>
    <w:rsid w:val="006D59EE"/>
    <w:rsid w:val="006D64B9"/>
    <w:rsid w:val="006D7A83"/>
    <w:rsid w:val="006E3956"/>
    <w:rsid w:val="006E7E9B"/>
    <w:rsid w:val="006F0622"/>
    <w:rsid w:val="006F13E1"/>
    <w:rsid w:val="006F3551"/>
    <w:rsid w:val="006F3847"/>
    <w:rsid w:val="006F452D"/>
    <w:rsid w:val="006F4BB9"/>
    <w:rsid w:val="007063EF"/>
    <w:rsid w:val="007068B0"/>
    <w:rsid w:val="00707787"/>
    <w:rsid w:val="007079A7"/>
    <w:rsid w:val="007117A5"/>
    <w:rsid w:val="00711A9F"/>
    <w:rsid w:val="00714562"/>
    <w:rsid w:val="00714FBB"/>
    <w:rsid w:val="00717D74"/>
    <w:rsid w:val="0072028F"/>
    <w:rsid w:val="00721F8D"/>
    <w:rsid w:val="007230C9"/>
    <w:rsid w:val="007239A4"/>
    <w:rsid w:val="007240D6"/>
    <w:rsid w:val="0072571C"/>
    <w:rsid w:val="00725891"/>
    <w:rsid w:val="00725C9B"/>
    <w:rsid w:val="00726A0A"/>
    <w:rsid w:val="00727B8C"/>
    <w:rsid w:val="007301D1"/>
    <w:rsid w:val="00731A5E"/>
    <w:rsid w:val="00732F90"/>
    <w:rsid w:val="007345BE"/>
    <w:rsid w:val="00735DD5"/>
    <w:rsid w:val="007408E5"/>
    <w:rsid w:val="00741A01"/>
    <w:rsid w:val="007443F9"/>
    <w:rsid w:val="007459BA"/>
    <w:rsid w:val="00747448"/>
    <w:rsid w:val="007504F6"/>
    <w:rsid w:val="0075184C"/>
    <w:rsid w:val="00752500"/>
    <w:rsid w:val="00752B61"/>
    <w:rsid w:val="00752C13"/>
    <w:rsid w:val="00753983"/>
    <w:rsid w:val="00753E4E"/>
    <w:rsid w:val="0075427E"/>
    <w:rsid w:val="007546B4"/>
    <w:rsid w:val="0075502E"/>
    <w:rsid w:val="0075655B"/>
    <w:rsid w:val="00756B31"/>
    <w:rsid w:val="00757FE6"/>
    <w:rsid w:val="00760B58"/>
    <w:rsid w:val="00760E82"/>
    <w:rsid w:val="00761311"/>
    <w:rsid w:val="007623BC"/>
    <w:rsid w:val="007628FC"/>
    <w:rsid w:val="00763B0C"/>
    <w:rsid w:val="00764597"/>
    <w:rsid w:val="007646CA"/>
    <w:rsid w:val="00765B40"/>
    <w:rsid w:val="00766978"/>
    <w:rsid w:val="00774172"/>
    <w:rsid w:val="00775047"/>
    <w:rsid w:val="00781304"/>
    <w:rsid w:val="00783D18"/>
    <w:rsid w:val="00783DEF"/>
    <w:rsid w:val="0078429D"/>
    <w:rsid w:val="00784929"/>
    <w:rsid w:val="00784C3E"/>
    <w:rsid w:val="0079110E"/>
    <w:rsid w:val="0079137D"/>
    <w:rsid w:val="00791488"/>
    <w:rsid w:val="00791C27"/>
    <w:rsid w:val="00792087"/>
    <w:rsid w:val="00792CCB"/>
    <w:rsid w:val="00792D61"/>
    <w:rsid w:val="00793AE1"/>
    <w:rsid w:val="00793CAB"/>
    <w:rsid w:val="0079423F"/>
    <w:rsid w:val="00795F73"/>
    <w:rsid w:val="007971CE"/>
    <w:rsid w:val="007A0667"/>
    <w:rsid w:val="007A1B58"/>
    <w:rsid w:val="007A30C7"/>
    <w:rsid w:val="007A46CB"/>
    <w:rsid w:val="007A586B"/>
    <w:rsid w:val="007A5DB9"/>
    <w:rsid w:val="007A67F3"/>
    <w:rsid w:val="007A7E25"/>
    <w:rsid w:val="007B0AE7"/>
    <w:rsid w:val="007B3BFE"/>
    <w:rsid w:val="007B5B7F"/>
    <w:rsid w:val="007C042A"/>
    <w:rsid w:val="007C091C"/>
    <w:rsid w:val="007C593C"/>
    <w:rsid w:val="007C5FDC"/>
    <w:rsid w:val="007C6090"/>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51E"/>
    <w:rsid w:val="007F2B29"/>
    <w:rsid w:val="007F5F1A"/>
    <w:rsid w:val="007F5F3F"/>
    <w:rsid w:val="007F7333"/>
    <w:rsid w:val="007F76B0"/>
    <w:rsid w:val="007F7B65"/>
    <w:rsid w:val="007F7F08"/>
    <w:rsid w:val="008000D4"/>
    <w:rsid w:val="0080173F"/>
    <w:rsid w:val="008021B2"/>
    <w:rsid w:val="00802B5E"/>
    <w:rsid w:val="00803C02"/>
    <w:rsid w:val="00804268"/>
    <w:rsid w:val="0080451F"/>
    <w:rsid w:val="0080755B"/>
    <w:rsid w:val="00810C25"/>
    <w:rsid w:val="00811740"/>
    <w:rsid w:val="008119D8"/>
    <w:rsid w:val="008131C5"/>
    <w:rsid w:val="00820188"/>
    <w:rsid w:val="00820A1A"/>
    <w:rsid w:val="00820C0C"/>
    <w:rsid w:val="00821F53"/>
    <w:rsid w:val="00822865"/>
    <w:rsid w:val="00823DC6"/>
    <w:rsid w:val="00825DCC"/>
    <w:rsid w:val="00826352"/>
    <w:rsid w:val="00827824"/>
    <w:rsid w:val="00827B1A"/>
    <w:rsid w:val="00830650"/>
    <w:rsid w:val="00830C3E"/>
    <w:rsid w:val="00831437"/>
    <w:rsid w:val="0083237F"/>
    <w:rsid w:val="008328D1"/>
    <w:rsid w:val="00834FA0"/>
    <w:rsid w:val="00834FF2"/>
    <w:rsid w:val="0084311D"/>
    <w:rsid w:val="008434F1"/>
    <w:rsid w:val="00843E6B"/>
    <w:rsid w:val="008508F8"/>
    <w:rsid w:val="008523D4"/>
    <w:rsid w:val="008539AE"/>
    <w:rsid w:val="00853B8C"/>
    <w:rsid w:val="0086125E"/>
    <w:rsid w:val="00862B11"/>
    <w:rsid w:val="00864416"/>
    <w:rsid w:val="008653DE"/>
    <w:rsid w:val="0086611F"/>
    <w:rsid w:val="008662B0"/>
    <w:rsid w:val="00867002"/>
    <w:rsid w:val="00867F9A"/>
    <w:rsid w:val="0087085A"/>
    <w:rsid w:val="008732A1"/>
    <w:rsid w:val="00874363"/>
    <w:rsid w:val="00874598"/>
    <w:rsid w:val="00875C64"/>
    <w:rsid w:val="00875E19"/>
    <w:rsid w:val="00876140"/>
    <w:rsid w:val="0088225A"/>
    <w:rsid w:val="00883193"/>
    <w:rsid w:val="008921C4"/>
    <w:rsid w:val="00892230"/>
    <w:rsid w:val="00895572"/>
    <w:rsid w:val="00896138"/>
    <w:rsid w:val="0089650D"/>
    <w:rsid w:val="00896EB2"/>
    <w:rsid w:val="00897355"/>
    <w:rsid w:val="00897969"/>
    <w:rsid w:val="00897BE1"/>
    <w:rsid w:val="008A012E"/>
    <w:rsid w:val="008A022B"/>
    <w:rsid w:val="008A1BE4"/>
    <w:rsid w:val="008A3440"/>
    <w:rsid w:val="008A52B6"/>
    <w:rsid w:val="008A6305"/>
    <w:rsid w:val="008A7301"/>
    <w:rsid w:val="008B6E8F"/>
    <w:rsid w:val="008B7156"/>
    <w:rsid w:val="008C034D"/>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F7B"/>
    <w:rsid w:val="008E59AA"/>
    <w:rsid w:val="008E7569"/>
    <w:rsid w:val="008F0D9F"/>
    <w:rsid w:val="008F14E4"/>
    <w:rsid w:val="008F1E48"/>
    <w:rsid w:val="008F3247"/>
    <w:rsid w:val="008F398D"/>
    <w:rsid w:val="008F4043"/>
    <w:rsid w:val="008F4238"/>
    <w:rsid w:val="008F4CB0"/>
    <w:rsid w:val="008F5E8B"/>
    <w:rsid w:val="00902CE8"/>
    <w:rsid w:val="00904FB4"/>
    <w:rsid w:val="009057C4"/>
    <w:rsid w:val="009074DF"/>
    <w:rsid w:val="00907D12"/>
    <w:rsid w:val="00910D00"/>
    <w:rsid w:val="00912857"/>
    <w:rsid w:val="0091309B"/>
    <w:rsid w:val="009142E1"/>
    <w:rsid w:val="00915A6F"/>
    <w:rsid w:val="00921052"/>
    <w:rsid w:val="0092183E"/>
    <w:rsid w:val="009258E5"/>
    <w:rsid w:val="00926548"/>
    <w:rsid w:val="00930E4B"/>
    <w:rsid w:val="00931B6C"/>
    <w:rsid w:val="00933A7E"/>
    <w:rsid w:val="009359E2"/>
    <w:rsid w:val="0094010C"/>
    <w:rsid w:val="009402E4"/>
    <w:rsid w:val="00940400"/>
    <w:rsid w:val="0094250B"/>
    <w:rsid w:val="0094283C"/>
    <w:rsid w:val="00946589"/>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DB6"/>
    <w:rsid w:val="0096540A"/>
    <w:rsid w:val="00970C90"/>
    <w:rsid w:val="009712EB"/>
    <w:rsid w:val="00973469"/>
    <w:rsid w:val="00974FF2"/>
    <w:rsid w:val="00977941"/>
    <w:rsid w:val="00981A6F"/>
    <w:rsid w:val="00982F2A"/>
    <w:rsid w:val="00983C0A"/>
    <w:rsid w:val="00985CF0"/>
    <w:rsid w:val="0098739E"/>
    <w:rsid w:val="00987CEE"/>
    <w:rsid w:val="00991145"/>
    <w:rsid w:val="00991CBC"/>
    <w:rsid w:val="00993C5B"/>
    <w:rsid w:val="00994B1C"/>
    <w:rsid w:val="00996471"/>
    <w:rsid w:val="00997782"/>
    <w:rsid w:val="009A1D12"/>
    <w:rsid w:val="009A1E00"/>
    <w:rsid w:val="009A1EB8"/>
    <w:rsid w:val="009A2E41"/>
    <w:rsid w:val="009A3642"/>
    <w:rsid w:val="009A3A01"/>
    <w:rsid w:val="009A4B11"/>
    <w:rsid w:val="009A4B54"/>
    <w:rsid w:val="009A4F82"/>
    <w:rsid w:val="009A7302"/>
    <w:rsid w:val="009B23DC"/>
    <w:rsid w:val="009B3800"/>
    <w:rsid w:val="009B4ECA"/>
    <w:rsid w:val="009B6214"/>
    <w:rsid w:val="009B64BB"/>
    <w:rsid w:val="009B6EC5"/>
    <w:rsid w:val="009C11CF"/>
    <w:rsid w:val="009C1DA2"/>
    <w:rsid w:val="009C398F"/>
    <w:rsid w:val="009C3A16"/>
    <w:rsid w:val="009C44FD"/>
    <w:rsid w:val="009C64D2"/>
    <w:rsid w:val="009C672B"/>
    <w:rsid w:val="009D2FCA"/>
    <w:rsid w:val="009D3036"/>
    <w:rsid w:val="009D4658"/>
    <w:rsid w:val="009D7C62"/>
    <w:rsid w:val="009E0BA9"/>
    <w:rsid w:val="009E0BAB"/>
    <w:rsid w:val="009E1FE3"/>
    <w:rsid w:val="009E4120"/>
    <w:rsid w:val="009E444C"/>
    <w:rsid w:val="009E557D"/>
    <w:rsid w:val="009E5A17"/>
    <w:rsid w:val="009E5F12"/>
    <w:rsid w:val="009F239C"/>
    <w:rsid w:val="009F683B"/>
    <w:rsid w:val="009F6B76"/>
    <w:rsid w:val="00A02EAF"/>
    <w:rsid w:val="00A06D5A"/>
    <w:rsid w:val="00A119BF"/>
    <w:rsid w:val="00A12BC1"/>
    <w:rsid w:val="00A1410C"/>
    <w:rsid w:val="00A16786"/>
    <w:rsid w:val="00A23E00"/>
    <w:rsid w:val="00A24B08"/>
    <w:rsid w:val="00A24B10"/>
    <w:rsid w:val="00A2671E"/>
    <w:rsid w:val="00A26CA6"/>
    <w:rsid w:val="00A26D6F"/>
    <w:rsid w:val="00A31A8B"/>
    <w:rsid w:val="00A328A0"/>
    <w:rsid w:val="00A32EDA"/>
    <w:rsid w:val="00A3578F"/>
    <w:rsid w:val="00A36D4E"/>
    <w:rsid w:val="00A40C5C"/>
    <w:rsid w:val="00A416C2"/>
    <w:rsid w:val="00A41AEE"/>
    <w:rsid w:val="00A42651"/>
    <w:rsid w:val="00A44016"/>
    <w:rsid w:val="00A459AE"/>
    <w:rsid w:val="00A51DEC"/>
    <w:rsid w:val="00A525C3"/>
    <w:rsid w:val="00A534F0"/>
    <w:rsid w:val="00A569E7"/>
    <w:rsid w:val="00A6055F"/>
    <w:rsid w:val="00A62738"/>
    <w:rsid w:val="00A62BC0"/>
    <w:rsid w:val="00A63604"/>
    <w:rsid w:val="00A65071"/>
    <w:rsid w:val="00A6593D"/>
    <w:rsid w:val="00A66718"/>
    <w:rsid w:val="00A672D7"/>
    <w:rsid w:val="00A707BA"/>
    <w:rsid w:val="00A70EB4"/>
    <w:rsid w:val="00A71584"/>
    <w:rsid w:val="00A73A68"/>
    <w:rsid w:val="00A74195"/>
    <w:rsid w:val="00A74B2E"/>
    <w:rsid w:val="00A75A88"/>
    <w:rsid w:val="00A75D5B"/>
    <w:rsid w:val="00A76BB0"/>
    <w:rsid w:val="00A7721D"/>
    <w:rsid w:val="00A77264"/>
    <w:rsid w:val="00A77C4E"/>
    <w:rsid w:val="00A77E1E"/>
    <w:rsid w:val="00A804C5"/>
    <w:rsid w:val="00A80AFC"/>
    <w:rsid w:val="00A81148"/>
    <w:rsid w:val="00A825B7"/>
    <w:rsid w:val="00A82606"/>
    <w:rsid w:val="00A83D46"/>
    <w:rsid w:val="00A83E2A"/>
    <w:rsid w:val="00A84344"/>
    <w:rsid w:val="00A879BD"/>
    <w:rsid w:val="00A90B63"/>
    <w:rsid w:val="00A924A8"/>
    <w:rsid w:val="00A93F54"/>
    <w:rsid w:val="00A9735F"/>
    <w:rsid w:val="00AA05BC"/>
    <w:rsid w:val="00AA27C6"/>
    <w:rsid w:val="00AA4279"/>
    <w:rsid w:val="00AA43B8"/>
    <w:rsid w:val="00AA52EB"/>
    <w:rsid w:val="00AA7849"/>
    <w:rsid w:val="00AB0FF1"/>
    <w:rsid w:val="00AB1E5E"/>
    <w:rsid w:val="00AB4738"/>
    <w:rsid w:val="00AB4D91"/>
    <w:rsid w:val="00AB5BD0"/>
    <w:rsid w:val="00AB7DEA"/>
    <w:rsid w:val="00AC3664"/>
    <w:rsid w:val="00AC55F6"/>
    <w:rsid w:val="00AC6BFF"/>
    <w:rsid w:val="00AD2C10"/>
    <w:rsid w:val="00AD2CD9"/>
    <w:rsid w:val="00AD53F5"/>
    <w:rsid w:val="00AD6BC1"/>
    <w:rsid w:val="00AD708B"/>
    <w:rsid w:val="00AE0997"/>
    <w:rsid w:val="00AE251A"/>
    <w:rsid w:val="00AE25F2"/>
    <w:rsid w:val="00AE5877"/>
    <w:rsid w:val="00AE62F2"/>
    <w:rsid w:val="00AF00BD"/>
    <w:rsid w:val="00AF1B57"/>
    <w:rsid w:val="00AF1DA3"/>
    <w:rsid w:val="00AF281C"/>
    <w:rsid w:val="00AF34C2"/>
    <w:rsid w:val="00AF51FE"/>
    <w:rsid w:val="00B0168C"/>
    <w:rsid w:val="00B03967"/>
    <w:rsid w:val="00B043A9"/>
    <w:rsid w:val="00B044E8"/>
    <w:rsid w:val="00B05C27"/>
    <w:rsid w:val="00B05C98"/>
    <w:rsid w:val="00B10C96"/>
    <w:rsid w:val="00B1158B"/>
    <w:rsid w:val="00B1318C"/>
    <w:rsid w:val="00B134C8"/>
    <w:rsid w:val="00B13F7E"/>
    <w:rsid w:val="00B1540F"/>
    <w:rsid w:val="00B210BD"/>
    <w:rsid w:val="00B21998"/>
    <w:rsid w:val="00B24AFE"/>
    <w:rsid w:val="00B25057"/>
    <w:rsid w:val="00B274E8"/>
    <w:rsid w:val="00B32860"/>
    <w:rsid w:val="00B33C8E"/>
    <w:rsid w:val="00B36CC4"/>
    <w:rsid w:val="00B373F9"/>
    <w:rsid w:val="00B4105D"/>
    <w:rsid w:val="00B41652"/>
    <w:rsid w:val="00B42C27"/>
    <w:rsid w:val="00B42CAE"/>
    <w:rsid w:val="00B44A58"/>
    <w:rsid w:val="00B44E44"/>
    <w:rsid w:val="00B45292"/>
    <w:rsid w:val="00B455C0"/>
    <w:rsid w:val="00B52D61"/>
    <w:rsid w:val="00B52D98"/>
    <w:rsid w:val="00B53B61"/>
    <w:rsid w:val="00B55FC5"/>
    <w:rsid w:val="00B62631"/>
    <w:rsid w:val="00B62870"/>
    <w:rsid w:val="00B64830"/>
    <w:rsid w:val="00B70F1A"/>
    <w:rsid w:val="00B7172F"/>
    <w:rsid w:val="00B726A0"/>
    <w:rsid w:val="00B73277"/>
    <w:rsid w:val="00B73BEA"/>
    <w:rsid w:val="00B76395"/>
    <w:rsid w:val="00B82165"/>
    <w:rsid w:val="00B824B4"/>
    <w:rsid w:val="00B826B8"/>
    <w:rsid w:val="00B83713"/>
    <w:rsid w:val="00B84DA9"/>
    <w:rsid w:val="00B87561"/>
    <w:rsid w:val="00B87CDD"/>
    <w:rsid w:val="00B90C03"/>
    <w:rsid w:val="00B92B9D"/>
    <w:rsid w:val="00B943ED"/>
    <w:rsid w:val="00B96795"/>
    <w:rsid w:val="00B969EF"/>
    <w:rsid w:val="00B971FE"/>
    <w:rsid w:val="00BA36FA"/>
    <w:rsid w:val="00BA38A0"/>
    <w:rsid w:val="00BA3B68"/>
    <w:rsid w:val="00BA4362"/>
    <w:rsid w:val="00BA55A8"/>
    <w:rsid w:val="00BA5651"/>
    <w:rsid w:val="00BA5D07"/>
    <w:rsid w:val="00BA606D"/>
    <w:rsid w:val="00BB127A"/>
    <w:rsid w:val="00BB1290"/>
    <w:rsid w:val="00BB297A"/>
    <w:rsid w:val="00BB4121"/>
    <w:rsid w:val="00BB4D84"/>
    <w:rsid w:val="00BC286A"/>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FD"/>
    <w:rsid w:val="00BF02B4"/>
    <w:rsid w:val="00BF4B0E"/>
    <w:rsid w:val="00BF6C99"/>
    <w:rsid w:val="00C01A3D"/>
    <w:rsid w:val="00C032E2"/>
    <w:rsid w:val="00C058E1"/>
    <w:rsid w:val="00C06264"/>
    <w:rsid w:val="00C07266"/>
    <w:rsid w:val="00C073E3"/>
    <w:rsid w:val="00C11228"/>
    <w:rsid w:val="00C11451"/>
    <w:rsid w:val="00C11C68"/>
    <w:rsid w:val="00C1237F"/>
    <w:rsid w:val="00C129D4"/>
    <w:rsid w:val="00C137DC"/>
    <w:rsid w:val="00C14406"/>
    <w:rsid w:val="00C145E6"/>
    <w:rsid w:val="00C15F10"/>
    <w:rsid w:val="00C2028F"/>
    <w:rsid w:val="00C30B07"/>
    <w:rsid w:val="00C33325"/>
    <w:rsid w:val="00C348F6"/>
    <w:rsid w:val="00C4765B"/>
    <w:rsid w:val="00C5035E"/>
    <w:rsid w:val="00C50881"/>
    <w:rsid w:val="00C55043"/>
    <w:rsid w:val="00C56618"/>
    <w:rsid w:val="00C623FE"/>
    <w:rsid w:val="00C63CD3"/>
    <w:rsid w:val="00C6572E"/>
    <w:rsid w:val="00C67D65"/>
    <w:rsid w:val="00C72AA4"/>
    <w:rsid w:val="00C73A77"/>
    <w:rsid w:val="00C74680"/>
    <w:rsid w:val="00C77462"/>
    <w:rsid w:val="00C77DB6"/>
    <w:rsid w:val="00C81796"/>
    <w:rsid w:val="00C8241D"/>
    <w:rsid w:val="00C84618"/>
    <w:rsid w:val="00C847E1"/>
    <w:rsid w:val="00C85319"/>
    <w:rsid w:val="00C8748B"/>
    <w:rsid w:val="00C87A6A"/>
    <w:rsid w:val="00C90295"/>
    <w:rsid w:val="00C911D0"/>
    <w:rsid w:val="00C9135B"/>
    <w:rsid w:val="00C94F64"/>
    <w:rsid w:val="00C9554B"/>
    <w:rsid w:val="00C97C99"/>
    <w:rsid w:val="00CA1A4D"/>
    <w:rsid w:val="00CA1CB0"/>
    <w:rsid w:val="00CA2D8C"/>
    <w:rsid w:val="00CA3971"/>
    <w:rsid w:val="00CA43A1"/>
    <w:rsid w:val="00CA4EC6"/>
    <w:rsid w:val="00CA5A4F"/>
    <w:rsid w:val="00CA5DA4"/>
    <w:rsid w:val="00CA6384"/>
    <w:rsid w:val="00CA6DC8"/>
    <w:rsid w:val="00CA7153"/>
    <w:rsid w:val="00CA73DD"/>
    <w:rsid w:val="00CB04D2"/>
    <w:rsid w:val="00CB1786"/>
    <w:rsid w:val="00CB1BBF"/>
    <w:rsid w:val="00CB3A6C"/>
    <w:rsid w:val="00CB4004"/>
    <w:rsid w:val="00CB539C"/>
    <w:rsid w:val="00CB583E"/>
    <w:rsid w:val="00CC01F6"/>
    <w:rsid w:val="00CC0759"/>
    <w:rsid w:val="00CC4633"/>
    <w:rsid w:val="00CC5E86"/>
    <w:rsid w:val="00CC62AA"/>
    <w:rsid w:val="00CC6FD4"/>
    <w:rsid w:val="00CD01E6"/>
    <w:rsid w:val="00CD2403"/>
    <w:rsid w:val="00CD2FC1"/>
    <w:rsid w:val="00CD3581"/>
    <w:rsid w:val="00CD4FD5"/>
    <w:rsid w:val="00CD6822"/>
    <w:rsid w:val="00CE10AA"/>
    <w:rsid w:val="00CE12DB"/>
    <w:rsid w:val="00CE26E2"/>
    <w:rsid w:val="00CE3990"/>
    <w:rsid w:val="00CE4959"/>
    <w:rsid w:val="00CE6BBD"/>
    <w:rsid w:val="00CF06C5"/>
    <w:rsid w:val="00CF2803"/>
    <w:rsid w:val="00CF4562"/>
    <w:rsid w:val="00CF47ED"/>
    <w:rsid w:val="00CF4F39"/>
    <w:rsid w:val="00D02B80"/>
    <w:rsid w:val="00D06334"/>
    <w:rsid w:val="00D06EFA"/>
    <w:rsid w:val="00D076ED"/>
    <w:rsid w:val="00D109DF"/>
    <w:rsid w:val="00D10F1B"/>
    <w:rsid w:val="00D110A0"/>
    <w:rsid w:val="00D111F2"/>
    <w:rsid w:val="00D126AB"/>
    <w:rsid w:val="00D12E4B"/>
    <w:rsid w:val="00D14423"/>
    <w:rsid w:val="00D21642"/>
    <w:rsid w:val="00D21F01"/>
    <w:rsid w:val="00D23637"/>
    <w:rsid w:val="00D24128"/>
    <w:rsid w:val="00D275F1"/>
    <w:rsid w:val="00D32016"/>
    <w:rsid w:val="00D33267"/>
    <w:rsid w:val="00D35C3D"/>
    <w:rsid w:val="00D37A25"/>
    <w:rsid w:val="00D42AD3"/>
    <w:rsid w:val="00D43516"/>
    <w:rsid w:val="00D502B1"/>
    <w:rsid w:val="00D5122D"/>
    <w:rsid w:val="00D52BBD"/>
    <w:rsid w:val="00D52C9D"/>
    <w:rsid w:val="00D5420F"/>
    <w:rsid w:val="00D5471A"/>
    <w:rsid w:val="00D55A33"/>
    <w:rsid w:val="00D5776F"/>
    <w:rsid w:val="00D60D6E"/>
    <w:rsid w:val="00D6341F"/>
    <w:rsid w:val="00D63F1C"/>
    <w:rsid w:val="00D67BE0"/>
    <w:rsid w:val="00D71196"/>
    <w:rsid w:val="00D716CD"/>
    <w:rsid w:val="00D80D18"/>
    <w:rsid w:val="00D82DDE"/>
    <w:rsid w:val="00D87042"/>
    <w:rsid w:val="00D91522"/>
    <w:rsid w:val="00D94475"/>
    <w:rsid w:val="00D9479F"/>
    <w:rsid w:val="00D963C7"/>
    <w:rsid w:val="00D96406"/>
    <w:rsid w:val="00DA0350"/>
    <w:rsid w:val="00DA1660"/>
    <w:rsid w:val="00DA18A2"/>
    <w:rsid w:val="00DA21F3"/>
    <w:rsid w:val="00DA2B77"/>
    <w:rsid w:val="00DA3A6E"/>
    <w:rsid w:val="00DA51E4"/>
    <w:rsid w:val="00DA5AAC"/>
    <w:rsid w:val="00DA5FD6"/>
    <w:rsid w:val="00DA61F2"/>
    <w:rsid w:val="00DA679D"/>
    <w:rsid w:val="00DA7A18"/>
    <w:rsid w:val="00DB0282"/>
    <w:rsid w:val="00DB0DDD"/>
    <w:rsid w:val="00DB1C44"/>
    <w:rsid w:val="00DB1D36"/>
    <w:rsid w:val="00DB493E"/>
    <w:rsid w:val="00DB6C54"/>
    <w:rsid w:val="00DC3551"/>
    <w:rsid w:val="00DC3DBA"/>
    <w:rsid w:val="00DC646E"/>
    <w:rsid w:val="00DC7066"/>
    <w:rsid w:val="00DC785A"/>
    <w:rsid w:val="00DD02A7"/>
    <w:rsid w:val="00DD0AF8"/>
    <w:rsid w:val="00DD1E55"/>
    <w:rsid w:val="00DD227E"/>
    <w:rsid w:val="00DD22DA"/>
    <w:rsid w:val="00DD304D"/>
    <w:rsid w:val="00DD5F75"/>
    <w:rsid w:val="00DE24BF"/>
    <w:rsid w:val="00DE2AD7"/>
    <w:rsid w:val="00DE4911"/>
    <w:rsid w:val="00DE5319"/>
    <w:rsid w:val="00DE5812"/>
    <w:rsid w:val="00DE6048"/>
    <w:rsid w:val="00DE7DD9"/>
    <w:rsid w:val="00DF001C"/>
    <w:rsid w:val="00DF4636"/>
    <w:rsid w:val="00DF66A9"/>
    <w:rsid w:val="00DF7D09"/>
    <w:rsid w:val="00E0019F"/>
    <w:rsid w:val="00E00E79"/>
    <w:rsid w:val="00E01D43"/>
    <w:rsid w:val="00E0294A"/>
    <w:rsid w:val="00E0366E"/>
    <w:rsid w:val="00E05277"/>
    <w:rsid w:val="00E11A22"/>
    <w:rsid w:val="00E11E1F"/>
    <w:rsid w:val="00E12BB5"/>
    <w:rsid w:val="00E12C1B"/>
    <w:rsid w:val="00E12F5D"/>
    <w:rsid w:val="00E1612D"/>
    <w:rsid w:val="00E16E9D"/>
    <w:rsid w:val="00E16EC0"/>
    <w:rsid w:val="00E23144"/>
    <w:rsid w:val="00E24300"/>
    <w:rsid w:val="00E31028"/>
    <w:rsid w:val="00E32501"/>
    <w:rsid w:val="00E32A0C"/>
    <w:rsid w:val="00E341A2"/>
    <w:rsid w:val="00E40374"/>
    <w:rsid w:val="00E41006"/>
    <w:rsid w:val="00E41E6E"/>
    <w:rsid w:val="00E422F5"/>
    <w:rsid w:val="00E43B56"/>
    <w:rsid w:val="00E443D3"/>
    <w:rsid w:val="00E44795"/>
    <w:rsid w:val="00E448B1"/>
    <w:rsid w:val="00E465D8"/>
    <w:rsid w:val="00E467FA"/>
    <w:rsid w:val="00E50301"/>
    <w:rsid w:val="00E510D0"/>
    <w:rsid w:val="00E55CF9"/>
    <w:rsid w:val="00E568EC"/>
    <w:rsid w:val="00E5716D"/>
    <w:rsid w:val="00E57AD9"/>
    <w:rsid w:val="00E57CBD"/>
    <w:rsid w:val="00E6053E"/>
    <w:rsid w:val="00E60728"/>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535"/>
    <w:rsid w:val="00E81ECD"/>
    <w:rsid w:val="00E82F75"/>
    <w:rsid w:val="00E843D4"/>
    <w:rsid w:val="00E867FA"/>
    <w:rsid w:val="00E873BE"/>
    <w:rsid w:val="00E9104B"/>
    <w:rsid w:val="00E95451"/>
    <w:rsid w:val="00EA3FB7"/>
    <w:rsid w:val="00EA4065"/>
    <w:rsid w:val="00EA4400"/>
    <w:rsid w:val="00EA4BC9"/>
    <w:rsid w:val="00EA5E72"/>
    <w:rsid w:val="00EA757A"/>
    <w:rsid w:val="00EA7AE4"/>
    <w:rsid w:val="00EB10FF"/>
    <w:rsid w:val="00EB1261"/>
    <w:rsid w:val="00EB195F"/>
    <w:rsid w:val="00EB3551"/>
    <w:rsid w:val="00EB5246"/>
    <w:rsid w:val="00EB64C0"/>
    <w:rsid w:val="00EB6E02"/>
    <w:rsid w:val="00EC149A"/>
    <w:rsid w:val="00EC20A8"/>
    <w:rsid w:val="00EC23C6"/>
    <w:rsid w:val="00EC3E23"/>
    <w:rsid w:val="00EC5B61"/>
    <w:rsid w:val="00EC6092"/>
    <w:rsid w:val="00EC720F"/>
    <w:rsid w:val="00ED0C61"/>
    <w:rsid w:val="00ED2044"/>
    <w:rsid w:val="00ED38C8"/>
    <w:rsid w:val="00ED431A"/>
    <w:rsid w:val="00ED5153"/>
    <w:rsid w:val="00ED6682"/>
    <w:rsid w:val="00ED76CF"/>
    <w:rsid w:val="00EE10F9"/>
    <w:rsid w:val="00EE1EC6"/>
    <w:rsid w:val="00EE1FC3"/>
    <w:rsid w:val="00EE301A"/>
    <w:rsid w:val="00EE309E"/>
    <w:rsid w:val="00EE3BD0"/>
    <w:rsid w:val="00EE5418"/>
    <w:rsid w:val="00EE7677"/>
    <w:rsid w:val="00EE7866"/>
    <w:rsid w:val="00EF2A85"/>
    <w:rsid w:val="00EF30C7"/>
    <w:rsid w:val="00EF4204"/>
    <w:rsid w:val="00EF5977"/>
    <w:rsid w:val="00EF7678"/>
    <w:rsid w:val="00EF77CA"/>
    <w:rsid w:val="00F00AA3"/>
    <w:rsid w:val="00F00D56"/>
    <w:rsid w:val="00F020B9"/>
    <w:rsid w:val="00F020C8"/>
    <w:rsid w:val="00F023BD"/>
    <w:rsid w:val="00F02EFA"/>
    <w:rsid w:val="00F03221"/>
    <w:rsid w:val="00F033B0"/>
    <w:rsid w:val="00F05D92"/>
    <w:rsid w:val="00F06C44"/>
    <w:rsid w:val="00F10AE7"/>
    <w:rsid w:val="00F10CB7"/>
    <w:rsid w:val="00F10E83"/>
    <w:rsid w:val="00F11549"/>
    <w:rsid w:val="00F12180"/>
    <w:rsid w:val="00F12414"/>
    <w:rsid w:val="00F143C1"/>
    <w:rsid w:val="00F14985"/>
    <w:rsid w:val="00F17365"/>
    <w:rsid w:val="00F175E7"/>
    <w:rsid w:val="00F17E6F"/>
    <w:rsid w:val="00F20297"/>
    <w:rsid w:val="00F2057A"/>
    <w:rsid w:val="00F20AAD"/>
    <w:rsid w:val="00F24635"/>
    <w:rsid w:val="00F3085F"/>
    <w:rsid w:val="00F313BD"/>
    <w:rsid w:val="00F31910"/>
    <w:rsid w:val="00F32415"/>
    <w:rsid w:val="00F32CF0"/>
    <w:rsid w:val="00F3405C"/>
    <w:rsid w:val="00F35597"/>
    <w:rsid w:val="00F36762"/>
    <w:rsid w:val="00F37593"/>
    <w:rsid w:val="00F44CB5"/>
    <w:rsid w:val="00F45698"/>
    <w:rsid w:val="00F45F3D"/>
    <w:rsid w:val="00F4606C"/>
    <w:rsid w:val="00F52237"/>
    <w:rsid w:val="00F55D2C"/>
    <w:rsid w:val="00F5646F"/>
    <w:rsid w:val="00F565DF"/>
    <w:rsid w:val="00F56F87"/>
    <w:rsid w:val="00F574F9"/>
    <w:rsid w:val="00F576A9"/>
    <w:rsid w:val="00F6076C"/>
    <w:rsid w:val="00F60AB5"/>
    <w:rsid w:val="00F61A73"/>
    <w:rsid w:val="00F6308D"/>
    <w:rsid w:val="00F64B01"/>
    <w:rsid w:val="00F67032"/>
    <w:rsid w:val="00F67709"/>
    <w:rsid w:val="00F71A41"/>
    <w:rsid w:val="00F71DEA"/>
    <w:rsid w:val="00F73632"/>
    <w:rsid w:val="00F740C7"/>
    <w:rsid w:val="00F813CB"/>
    <w:rsid w:val="00F82804"/>
    <w:rsid w:val="00F82C58"/>
    <w:rsid w:val="00F847C4"/>
    <w:rsid w:val="00F8488C"/>
    <w:rsid w:val="00F8640E"/>
    <w:rsid w:val="00F91368"/>
    <w:rsid w:val="00F930CE"/>
    <w:rsid w:val="00F94D44"/>
    <w:rsid w:val="00F96525"/>
    <w:rsid w:val="00F97D88"/>
    <w:rsid w:val="00FA28B7"/>
    <w:rsid w:val="00FA2D87"/>
    <w:rsid w:val="00FA3A4F"/>
    <w:rsid w:val="00FA3FDE"/>
    <w:rsid w:val="00FA443F"/>
    <w:rsid w:val="00FA463D"/>
    <w:rsid w:val="00FA5961"/>
    <w:rsid w:val="00FB0D80"/>
    <w:rsid w:val="00FB24D8"/>
    <w:rsid w:val="00FB4DFA"/>
    <w:rsid w:val="00FB52BE"/>
    <w:rsid w:val="00FB56FE"/>
    <w:rsid w:val="00FB5E0A"/>
    <w:rsid w:val="00FB767C"/>
    <w:rsid w:val="00FC22A0"/>
    <w:rsid w:val="00FC25D9"/>
    <w:rsid w:val="00FC5E13"/>
    <w:rsid w:val="00FC5F56"/>
    <w:rsid w:val="00FC6FBF"/>
    <w:rsid w:val="00FC72E1"/>
    <w:rsid w:val="00FC7446"/>
    <w:rsid w:val="00FC76CB"/>
    <w:rsid w:val="00FD029D"/>
    <w:rsid w:val="00FD35EC"/>
    <w:rsid w:val="00FD4233"/>
    <w:rsid w:val="00FD450F"/>
    <w:rsid w:val="00FD7146"/>
    <w:rsid w:val="00FD7316"/>
    <w:rsid w:val="00FD7994"/>
    <w:rsid w:val="00FE0C67"/>
    <w:rsid w:val="00FE1763"/>
    <w:rsid w:val="00FE1A3F"/>
    <w:rsid w:val="00FE2481"/>
    <w:rsid w:val="00FE4403"/>
    <w:rsid w:val="00FE61B1"/>
    <w:rsid w:val="00FE6F86"/>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yperlink" Target="https://www.bmv.com.mx/docs-pub/eventoca/eventoca_940592_2.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ifrem.edomex.gob.mx/organigrama" TargetMode="External"/><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itchratings.com/site/pr/1010662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028B-06EE-4526-82B4-AEB88C7F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8006</Words>
  <Characters>44033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Contabilidad 1</cp:lastModifiedBy>
  <cp:revision>2</cp:revision>
  <cp:lastPrinted>2020-03-23T21:18:00Z</cp:lastPrinted>
  <dcterms:created xsi:type="dcterms:W3CDTF">2020-05-28T19:12:00Z</dcterms:created>
  <dcterms:modified xsi:type="dcterms:W3CDTF">2020-05-28T19:12:00Z</dcterms:modified>
</cp:coreProperties>
</file>