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6A" w:rsidRPr="007E2E82" w:rsidRDefault="00C87A6A" w:rsidP="00C87A6A">
      <w:pPr>
        <w:numPr>
          <w:ilvl w:val="0"/>
          <w:numId w:val="14"/>
        </w:numPr>
        <w:spacing w:after="101" w:line="276" w:lineRule="auto"/>
        <w:ind w:right="-1"/>
        <w:jc w:val="center"/>
        <w:rPr>
          <w:rFonts w:eastAsia="Times New Roman" w:cs="Arial"/>
          <w:b/>
          <w:lang w:val="es-ES" w:eastAsia="es-ES"/>
        </w:rPr>
      </w:pPr>
      <w:r w:rsidRPr="007E2E82">
        <w:rPr>
          <w:rFonts w:eastAsia="Times New Roman" w:cs="Arial"/>
          <w:b/>
          <w:lang w:val="es-ES" w:eastAsia="es-ES"/>
        </w:rPr>
        <w:t>NOTAS A LOS ESTADOS FINANCIEROS</w:t>
      </w:r>
    </w:p>
    <w:p w:rsidR="00C87A6A" w:rsidRPr="007E2E82" w:rsidRDefault="00C87A6A" w:rsidP="00C87A6A">
      <w:pPr>
        <w:spacing w:line="276" w:lineRule="auto"/>
        <w:ind w:right="-1"/>
        <w:jc w:val="center"/>
        <w:outlineLvl w:val="0"/>
        <w:rPr>
          <w:b/>
        </w:rPr>
      </w:pPr>
      <w:r w:rsidRPr="007E2E82">
        <w:rPr>
          <w:rFonts w:cs="Arial"/>
          <w:b/>
        </w:rPr>
        <w:t>(Cifras en pesos)</w:t>
      </w:r>
    </w:p>
    <w:p w:rsidR="00C87A6A" w:rsidRPr="007E2E82" w:rsidRDefault="00C87A6A" w:rsidP="00C87A6A">
      <w:pPr>
        <w:spacing w:line="276" w:lineRule="auto"/>
        <w:ind w:right="-1"/>
        <w:jc w:val="center"/>
        <w:outlineLvl w:val="0"/>
      </w:pPr>
      <w:r w:rsidRPr="007E2E82">
        <w:rPr>
          <w:b/>
        </w:rPr>
        <w:t xml:space="preserve">Entidad: </w:t>
      </w:r>
      <w:r w:rsidRPr="007E2E82">
        <w:rPr>
          <w:u w:val="single"/>
        </w:rPr>
        <w:t>Instituto de la Función Registral del Estado de México</w:t>
      </w:r>
      <w:r w:rsidRPr="007E2E82">
        <w:t xml:space="preserve"> (IFREM).</w:t>
      </w:r>
    </w:p>
    <w:p w:rsidR="00C87A6A" w:rsidRPr="007E2E82" w:rsidRDefault="00C87A6A" w:rsidP="00C87A6A">
      <w:pPr>
        <w:spacing w:line="276" w:lineRule="auto"/>
        <w:ind w:right="-1"/>
        <w:jc w:val="center"/>
        <w:outlineLvl w:val="0"/>
        <w:rPr>
          <w:u w:val="single"/>
        </w:rPr>
      </w:pPr>
      <w:r w:rsidRPr="007E2E82">
        <w:rPr>
          <w:b/>
        </w:rPr>
        <w:t xml:space="preserve">Mes: </w:t>
      </w:r>
      <w:proofErr w:type="gramStart"/>
      <w:r w:rsidR="002D1F2E">
        <w:rPr>
          <w:u w:val="single"/>
        </w:rPr>
        <w:t>Diciembre</w:t>
      </w:r>
      <w:proofErr w:type="gramEnd"/>
      <w:r w:rsidRPr="007E2E82">
        <w:t xml:space="preserve"> </w:t>
      </w:r>
      <w:r w:rsidRPr="007E2E82">
        <w:rPr>
          <w:b/>
        </w:rPr>
        <w:t>de</w:t>
      </w:r>
      <w:r w:rsidRPr="007E2E82">
        <w:t xml:space="preserve"> </w:t>
      </w:r>
      <w:r w:rsidRPr="007E2E82">
        <w:rPr>
          <w:u w:val="single"/>
        </w:rPr>
        <w:t>2019.</w:t>
      </w:r>
    </w:p>
    <w:p w:rsidR="00C87A6A" w:rsidRPr="004D25FE" w:rsidRDefault="00C87A6A" w:rsidP="00C87A6A">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4D25FE">
        <w:rPr>
          <w:rFonts w:eastAsia="Times New Roman" w:cs="Arial"/>
          <w:b/>
          <w:lang w:eastAsia="es-MX"/>
        </w:rPr>
        <w:t>NOTAS DE DESGLOSE:</w:t>
      </w:r>
    </w:p>
    <w:p w:rsidR="00C87A6A" w:rsidRPr="004D25FE" w:rsidRDefault="00C87A6A" w:rsidP="00C87A6A">
      <w:pPr>
        <w:tabs>
          <w:tab w:val="left" w:pos="3836"/>
        </w:tabs>
        <w:spacing w:after="0" w:line="276" w:lineRule="auto"/>
        <w:ind w:left="714" w:right="-1"/>
        <w:contextualSpacing/>
        <w:outlineLvl w:val="0"/>
        <w:rPr>
          <w:rFonts w:eastAsia="Times New Roman" w:cs="Arial"/>
          <w:b/>
          <w:sz w:val="8"/>
          <w:lang w:eastAsia="es-MX"/>
        </w:rPr>
      </w:pPr>
    </w:p>
    <w:p w:rsidR="00C87A6A" w:rsidRPr="004D25FE" w:rsidRDefault="00C87A6A" w:rsidP="00C87A6A">
      <w:pPr>
        <w:numPr>
          <w:ilvl w:val="0"/>
          <w:numId w:val="16"/>
        </w:numPr>
        <w:spacing w:before="240" w:after="240" w:line="276" w:lineRule="auto"/>
        <w:ind w:right="-1"/>
        <w:contextualSpacing/>
        <w:outlineLvl w:val="0"/>
        <w:rPr>
          <w:rFonts w:eastAsia="Times New Roman" w:cs="Arial"/>
          <w:b/>
          <w:lang w:eastAsia="es-MX"/>
        </w:rPr>
      </w:pPr>
      <w:r w:rsidRPr="004D25FE">
        <w:rPr>
          <w:rFonts w:eastAsia="Times New Roman" w:cs="Arial"/>
          <w:b/>
          <w:lang w:eastAsia="es-MX"/>
        </w:rPr>
        <w:t>NOTAS AL ESTADO DE SITUACIÓN FINANCIERA</w:t>
      </w:r>
    </w:p>
    <w:p w:rsidR="00C87A6A" w:rsidRPr="004D25FE" w:rsidRDefault="00C87A6A" w:rsidP="00C87A6A">
      <w:pPr>
        <w:spacing w:before="240" w:after="240" w:line="276" w:lineRule="auto"/>
        <w:ind w:right="-1"/>
        <w:outlineLvl w:val="0"/>
        <w:rPr>
          <w:rFonts w:cs="Arial"/>
          <w:b/>
        </w:rPr>
      </w:pPr>
      <w:r w:rsidRPr="004D25FE">
        <w:rPr>
          <w:rFonts w:cs="Arial"/>
          <w:b/>
        </w:rPr>
        <w:t>Activo Circulante</w:t>
      </w:r>
    </w:p>
    <w:p w:rsidR="00C87A6A" w:rsidRPr="004D25FE" w:rsidRDefault="00C87A6A" w:rsidP="00C87A6A">
      <w:pPr>
        <w:tabs>
          <w:tab w:val="left" w:pos="3836"/>
        </w:tabs>
        <w:spacing w:line="276" w:lineRule="auto"/>
        <w:ind w:right="-1"/>
        <w:jc w:val="both"/>
        <w:rPr>
          <w:rFonts w:cs="Arial"/>
        </w:rPr>
      </w:pPr>
      <w:r w:rsidRPr="004D25FE">
        <w:rPr>
          <w:rFonts w:cs="Arial"/>
          <w:b/>
        </w:rPr>
        <w:t xml:space="preserve">Efectivo y Equivalentes. - </w:t>
      </w:r>
      <w:r w:rsidRPr="004D25FE">
        <w:rPr>
          <w:rFonts w:cs="Arial"/>
        </w:rPr>
        <w:t xml:space="preserve">El saldo de </w:t>
      </w:r>
      <w:r w:rsidR="00100535" w:rsidRPr="004D25FE">
        <w:rPr>
          <w:rFonts w:cs="Arial"/>
        </w:rPr>
        <w:t>215,483,085.59</w:t>
      </w:r>
      <w:r w:rsidRPr="004D25FE">
        <w:rPr>
          <w:rFonts w:cs="Arial"/>
        </w:rPr>
        <w:t>, se integra con las siguientes cuentas:</w:t>
      </w:r>
    </w:p>
    <w:p w:rsidR="00C87A6A" w:rsidRPr="004D25FE" w:rsidRDefault="00C87A6A" w:rsidP="00C87A6A">
      <w:pPr>
        <w:numPr>
          <w:ilvl w:val="0"/>
          <w:numId w:val="1"/>
        </w:numPr>
        <w:spacing w:line="276" w:lineRule="auto"/>
        <w:ind w:right="-1"/>
        <w:jc w:val="both"/>
        <w:rPr>
          <w:rFonts w:cs="Arial"/>
        </w:rPr>
      </w:pPr>
      <w:r w:rsidRPr="004D25FE">
        <w:rPr>
          <w:rFonts w:cs="Arial"/>
          <w:b/>
        </w:rPr>
        <w:t xml:space="preserve">Efectivo. - </w:t>
      </w:r>
      <w:r w:rsidRPr="004D25FE">
        <w:rPr>
          <w:rFonts w:cs="Arial"/>
        </w:rPr>
        <w:t xml:space="preserve">El saldo de </w:t>
      </w:r>
      <w:r w:rsidRPr="004D25FE">
        <w:rPr>
          <w:rFonts w:cs="Arial"/>
          <w:color w:val="000000" w:themeColor="text1"/>
        </w:rPr>
        <w:t xml:space="preserve">33,000.00, </w:t>
      </w:r>
      <w:r w:rsidRPr="004D25FE">
        <w:rPr>
          <w:rFonts w:cs="Arial"/>
        </w:rPr>
        <w:t>es el importe de efectivo disponible para solventar gastos menores y cubrir necesidades urgentes de gasto corriente que se requieran en las oficinas administrativas de la Dirección General.</w:t>
      </w:r>
      <w:r w:rsidRPr="004D25FE">
        <w:t xml:space="preserve"> </w:t>
      </w:r>
    </w:p>
    <w:p w:rsidR="00C87A6A" w:rsidRPr="00915A6F" w:rsidRDefault="00C87A6A" w:rsidP="00516FE9">
      <w:pPr>
        <w:numPr>
          <w:ilvl w:val="0"/>
          <w:numId w:val="1"/>
        </w:numPr>
        <w:spacing w:after="0" w:line="276" w:lineRule="auto"/>
        <w:ind w:right="-1"/>
        <w:jc w:val="both"/>
        <w:rPr>
          <w:rFonts w:cs="Arial"/>
          <w:b/>
        </w:rPr>
      </w:pPr>
      <w:r w:rsidRPr="004D25FE">
        <w:rPr>
          <w:rFonts w:cs="Arial"/>
          <w:b/>
        </w:rPr>
        <w:t xml:space="preserve">Bancos/Tesorería. - </w:t>
      </w:r>
      <w:r w:rsidRPr="004D25FE">
        <w:rPr>
          <w:rFonts w:cs="Arial"/>
        </w:rPr>
        <w:t xml:space="preserve">El saldo </w:t>
      </w:r>
      <w:r w:rsidRPr="004D25FE">
        <w:rPr>
          <w:rFonts w:cs="Arial"/>
          <w:color w:val="000000" w:themeColor="text1"/>
        </w:rPr>
        <w:t xml:space="preserve">de </w:t>
      </w:r>
      <w:r w:rsidR="00516FE9" w:rsidRPr="004D25FE">
        <w:rPr>
          <w:rFonts w:cs="Arial"/>
          <w:color w:val="000000" w:themeColor="text1"/>
        </w:rPr>
        <w:t>24,716,012.18</w:t>
      </w:r>
      <w:r w:rsidRPr="004D25FE">
        <w:rPr>
          <w:rFonts w:cs="Arial"/>
        </w:rPr>
        <w:t>, refleja la disponibilidad financiera para cubrir los gastos por las necesidades de la</w:t>
      </w:r>
      <w:r w:rsidRPr="007E2E82">
        <w:rPr>
          <w:rFonts w:cs="Arial"/>
        </w:rPr>
        <w:t xml:space="preserve"> operación y de inversión, con la finalidad de cumplir con los compromisos de pago en tiempo y forma. La relación de cuentas productivas especificas es la siguiente:</w:t>
      </w:r>
    </w:p>
    <w:p w:rsidR="00915A6F" w:rsidRPr="00C14406" w:rsidRDefault="00915A6F" w:rsidP="00915A6F">
      <w:pPr>
        <w:spacing w:after="0" w:line="276" w:lineRule="auto"/>
        <w:ind w:left="502" w:right="-1"/>
        <w:jc w:val="both"/>
        <w:rPr>
          <w:rFonts w:cs="Arial"/>
          <w:b/>
        </w:rPr>
      </w:pPr>
    </w:p>
    <w:p w:rsidR="00C87A6A" w:rsidRPr="00C14406" w:rsidRDefault="00516FE9" w:rsidP="00915A6F">
      <w:pPr>
        <w:spacing w:after="0" w:line="276" w:lineRule="auto"/>
        <w:ind w:left="360" w:right="-1"/>
        <w:jc w:val="center"/>
        <w:rPr>
          <w:rFonts w:cs="Arial"/>
          <w:b/>
        </w:rPr>
      </w:pPr>
      <w:r w:rsidRPr="00516FE9">
        <w:rPr>
          <w:noProof/>
          <w:lang w:eastAsia="es-MX"/>
        </w:rPr>
        <w:drawing>
          <wp:inline distT="0" distB="0" distL="0" distR="0">
            <wp:extent cx="5029200" cy="3438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438525"/>
                    </a:xfrm>
                    <a:prstGeom prst="rect">
                      <a:avLst/>
                    </a:prstGeom>
                    <a:noFill/>
                    <a:ln>
                      <a:noFill/>
                    </a:ln>
                  </pic:spPr>
                </pic:pic>
              </a:graphicData>
            </a:graphic>
          </wp:inline>
        </w:drawing>
      </w:r>
    </w:p>
    <w:p w:rsidR="00C87A6A" w:rsidRDefault="00C87A6A" w:rsidP="00C87A6A">
      <w:pPr>
        <w:spacing w:after="0" w:line="276" w:lineRule="auto"/>
        <w:ind w:left="360" w:right="-1"/>
        <w:jc w:val="center"/>
        <w:rPr>
          <w:rFonts w:cs="Arial"/>
          <w:b/>
        </w:rPr>
      </w:pPr>
    </w:p>
    <w:p w:rsidR="00C87A6A" w:rsidRDefault="00C87A6A" w:rsidP="00416639">
      <w:pPr>
        <w:numPr>
          <w:ilvl w:val="0"/>
          <w:numId w:val="1"/>
        </w:numPr>
        <w:spacing w:after="0" w:line="276" w:lineRule="auto"/>
        <w:contextualSpacing/>
        <w:jc w:val="both"/>
        <w:rPr>
          <w:rFonts w:eastAsia="Times New Roman" w:cs="Arial"/>
          <w:szCs w:val="24"/>
          <w:lang w:eastAsia="es-MX"/>
        </w:rPr>
      </w:pPr>
      <w:r w:rsidRPr="004D25FE">
        <w:rPr>
          <w:rFonts w:eastAsia="Times New Roman" w:cs="Arial"/>
          <w:b/>
          <w:szCs w:val="24"/>
          <w:lang w:eastAsia="es-MX"/>
        </w:rPr>
        <w:lastRenderedPageBreak/>
        <w:t>Inversiones Temporales (Hasta 3 meses). -</w:t>
      </w:r>
      <w:r w:rsidRPr="004D25FE">
        <w:rPr>
          <w:rFonts w:eastAsia="Times New Roman" w:cs="Arial"/>
          <w:szCs w:val="24"/>
          <w:lang w:eastAsia="es-MX"/>
        </w:rPr>
        <w:t>El</w:t>
      </w:r>
      <w:r w:rsidRPr="007E2E82">
        <w:rPr>
          <w:rFonts w:eastAsia="Times New Roman" w:cs="Arial"/>
          <w:szCs w:val="24"/>
          <w:lang w:eastAsia="es-MX"/>
        </w:rPr>
        <w:t xml:space="preserve"> saldo </w:t>
      </w:r>
      <w:r w:rsidRPr="00AB4D91">
        <w:rPr>
          <w:rFonts w:eastAsia="Times New Roman" w:cs="Arial"/>
          <w:color w:val="000000" w:themeColor="text1"/>
          <w:szCs w:val="24"/>
          <w:lang w:eastAsia="es-MX"/>
        </w:rPr>
        <w:t xml:space="preserve">de </w:t>
      </w:r>
      <w:r w:rsidR="00416639" w:rsidRPr="00416639">
        <w:rPr>
          <w:rFonts w:eastAsia="Times New Roman" w:cs="Arial"/>
          <w:color w:val="000000" w:themeColor="text1"/>
          <w:szCs w:val="24"/>
          <w:lang w:eastAsia="es-MX"/>
        </w:rPr>
        <w:t>190,734,073.41</w:t>
      </w:r>
      <w:r w:rsidR="00416639">
        <w:rPr>
          <w:rFonts w:eastAsia="Times New Roman" w:cs="Arial"/>
          <w:color w:val="000000" w:themeColor="text1"/>
          <w:szCs w:val="24"/>
          <w:lang w:eastAsia="es-MX"/>
        </w:rPr>
        <w:t xml:space="preserve"> </w:t>
      </w:r>
      <w:r w:rsidRPr="007E2E82">
        <w:rPr>
          <w:rFonts w:eastAsia="Times New Roman" w:cs="Arial"/>
          <w:szCs w:val="24"/>
          <w:lang w:eastAsia="es-MX"/>
        </w:rPr>
        <w:t xml:space="preserve">refleja los depósitos bancarios a la vista para tener disponibilidades financieras en instrumentos de renta fija y poder cubrir con oportunidad los gastos de operación y de inversión del Instituto. Los intereses se registran en Otros Ingresos Financieros. </w:t>
      </w:r>
    </w:p>
    <w:p w:rsidR="00C87A6A" w:rsidRDefault="00C87A6A" w:rsidP="00C87A6A">
      <w:pPr>
        <w:tabs>
          <w:tab w:val="left" w:pos="639"/>
          <w:tab w:val="left" w:pos="3836"/>
        </w:tabs>
        <w:spacing w:before="240" w:line="276" w:lineRule="auto"/>
        <w:ind w:right="-1"/>
        <w:jc w:val="center"/>
        <w:rPr>
          <w:rFonts w:cs="Arial"/>
          <w:b/>
        </w:rPr>
      </w:pPr>
      <w:r>
        <w:rPr>
          <w:rFonts w:cs="Arial"/>
          <w:b/>
        </w:rPr>
        <w:t xml:space="preserve"> </w:t>
      </w:r>
      <w:r w:rsidR="009B3800" w:rsidRPr="009B3800">
        <w:rPr>
          <w:noProof/>
          <w:lang w:eastAsia="es-MX"/>
        </w:rPr>
        <w:drawing>
          <wp:inline distT="0" distB="0" distL="0" distR="0">
            <wp:extent cx="5029200" cy="390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90525"/>
                    </a:xfrm>
                    <a:prstGeom prst="rect">
                      <a:avLst/>
                    </a:prstGeom>
                    <a:noFill/>
                    <a:ln>
                      <a:noFill/>
                    </a:ln>
                  </pic:spPr>
                </pic:pic>
              </a:graphicData>
            </a:graphic>
          </wp:inline>
        </w:drawing>
      </w:r>
      <w:r>
        <w:rPr>
          <w:rFonts w:cs="Arial"/>
          <w:b/>
        </w:rPr>
        <w:t xml:space="preserve">   </w:t>
      </w:r>
    </w:p>
    <w:p w:rsidR="00AF51FE" w:rsidRDefault="00C87A6A" w:rsidP="00AF51FE">
      <w:pPr>
        <w:tabs>
          <w:tab w:val="left" w:pos="639"/>
          <w:tab w:val="left" w:pos="3836"/>
        </w:tabs>
        <w:spacing w:before="240" w:line="276" w:lineRule="auto"/>
        <w:ind w:right="-1"/>
        <w:jc w:val="both"/>
        <w:rPr>
          <w:rFonts w:cs="Arial"/>
        </w:rPr>
      </w:pPr>
      <w:r w:rsidRPr="004D25FE">
        <w:rPr>
          <w:rFonts w:cs="Arial"/>
          <w:b/>
        </w:rPr>
        <w:t>Derecho a Recibir Efectivo o Equivalentes.</w:t>
      </w:r>
      <w:r w:rsidRPr="00015FA6">
        <w:rPr>
          <w:rFonts w:cs="Arial"/>
          <w:b/>
        </w:rPr>
        <w:t xml:space="preserve"> - </w:t>
      </w:r>
      <w:r w:rsidRPr="00015FA6">
        <w:rPr>
          <w:rFonts w:cs="Arial"/>
        </w:rPr>
        <w:t xml:space="preserve">El saldo </w:t>
      </w:r>
      <w:r w:rsidRPr="00015FA6">
        <w:rPr>
          <w:rFonts w:cs="Arial"/>
          <w:color w:val="000000" w:themeColor="text1"/>
        </w:rPr>
        <w:t xml:space="preserve">de </w:t>
      </w:r>
      <w:r w:rsidR="00AF51FE">
        <w:rPr>
          <w:rFonts w:cs="Arial"/>
          <w:color w:val="000000" w:themeColor="text1"/>
          <w:shd w:val="clear" w:color="auto" w:fill="FFFFFF" w:themeFill="background1"/>
        </w:rPr>
        <w:t>1,494.76</w:t>
      </w:r>
      <w:r w:rsidRPr="00015FA6">
        <w:rPr>
          <w:rFonts w:cs="Arial"/>
          <w:color w:val="000000" w:themeColor="text1"/>
          <w:shd w:val="clear" w:color="auto" w:fill="FFFFFF" w:themeFill="background1"/>
        </w:rPr>
        <w:t>,</w:t>
      </w:r>
      <w:r w:rsidRPr="00015FA6">
        <w:rPr>
          <w:rFonts w:cs="Arial"/>
          <w:color w:val="000000" w:themeColor="text1"/>
        </w:rPr>
        <w:t xml:space="preserve"> </w:t>
      </w:r>
      <w:r w:rsidRPr="00015FA6">
        <w:rPr>
          <w:rFonts w:cs="Arial"/>
        </w:rPr>
        <w:t>se integra de las siguientes cuentas:</w:t>
      </w:r>
    </w:p>
    <w:p w:rsidR="00D32016" w:rsidRDefault="00D32016" w:rsidP="00D32016">
      <w:pPr>
        <w:tabs>
          <w:tab w:val="left" w:pos="639"/>
          <w:tab w:val="left" w:pos="3836"/>
        </w:tabs>
        <w:spacing w:before="240" w:line="276" w:lineRule="auto"/>
        <w:ind w:right="-1"/>
        <w:jc w:val="center"/>
        <w:rPr>
          <w:rFonts w:cs="Arial"/>
        </w:rPr>
      </w:pPr>
      <w:r w:rsidRPr="00D32016">
        <w:rPr>
          <w:noProof/>
          <w:lang w:eastAsia="es-MX"/>
        </w:rPr>
        <w:drawing>
          <wp:inline distT="0" distB="0" distL="0" distR="0">
            <wp:extent cx="5019675" cy="118308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4628" cy="1186612"/>
                    </a:xfrm>
                    <a:prstGeom prst="rect">
                      <a:avLst/>
                    </a:prstGeom>
                    <a:noFill/>
                    <a:ln>
                      <a:noFill/>
                    </a:ln>
                  </pic:spPr>
                </pic:pic>
              </a:graphicData>
            </a:graphic>
          </wp:inline>
        </w:drawing>
      </w:r>
    </w:p>
    <w:p w:rsidR="00C87A6A" w:rsidRPr="004D25FE" w:rsidRDefault="00C87A6A" w:rsidP="001B054A">
      <w:pPr>
        <w:pStyle w:val="Prrafodelista"/>
        <w:numPr>
          <w:ilvl w:val="0"/>
          <w:numId w:val="1"/>
        </w:numPr>
        <w:tabs>
          <w:tab w:val="left" w:pos="639"/>
          <w:tab w:val="left" w:pos="3836"/>
        </w:tabs>
        <w:spacing w:before="240" w:line="276" w:lineRule="auto"/>
        <w:ind w:right="-1"/>
        <w:jc w:val="both"/>
        <w:rPr>
          <w:rFonts w:ascii="HelveticaNeueLT Std" w:hAnsi="HelveticaNeueLT Std" w:cs="Arial"/>
          <w:sz w:val="20"/>
        </w:rPr>
      </w:pPr>
      <w:r w:rsidRPr="004D25FE">
        <w:rPr>
          <w:rFonts w:ascii="HelveticaNeueLT Std" w:hAnsi="HelveticaNeueLT Std" w:cs="Arial"/>
          <w:b/>
          <w:sz w:val="20"/>
        </w:rPr>
        <w:t>Cuentas por Cobrar a Corto Plazo.</w:t>
      </w:r>
      <w:r w:rsidRPr="004D25FE">
        <w:rPr>
          <w:b/>
        </w:rPr>
        <w:t xml:space="preserve"> </w:t>
      </w:r>
      <w:r w:rsidRPr="004D25FE">
        <w:rPr>
          <w:rFonts w:ascii="HelveticaNeueLT Std" w:hAnsi="HelveticaNeueLT Std" w:cs="Arial"/>
          <w:sz w:val="20"/>
        </w:rPr>
        <w:t xml:space="preserve">– El saldo de esta cuenta </w:t>
      </w:r>
      <w:r w:rsidR="00AF51FE" w:rsidRPr="004D25FE">
        <w:rPr>
          <w:rFonts w:ascii="HelveticaNeueLT Std" w:hAnsi="HelveticaNeueLT Std" w:cs="Arial"/>
          <w:sz w:val="20"/>
        </w:rPr>
        <w:t>que</w:t>
      </w:r>
      <w:r w:rsidR="00516FE9" w:rsidRPr="004D25FE">
        <w:rPr>
          <w:rFonts w:ascii="HelveticaNeueLT Std" w:hAnsi="HelveticaNeueLT Std" w:cs="Arial"/>
          <w:sz w:val="20"/>
        </w:rPr>
        <w:t>do</w:t>
      </w:r>
      <w:r w:rsidR="00AF51FE" w:rsidRPr="004D25FE">
        <w:rPr>
          <w:rFonts w:ascii="HelveticaNeueLT Std" w:hAnsi="HelveticaNeueLT Std" w:cs="Arial"/>
          <w:sz w:val="20"/>
        </w:rPr>
        <w:t xml:space="preserve"> cancelado al mes de </w:t>
      </w:r>
      <w:proofErr w:type="gramStart"/>
      <w:r w:rsidR="00AF51FE" w:rsidRPr="004D25FE">
        <w:rPr>
          <w:rFonts w:ascii="HelveticaNeueLT Std" w:hAnsi="HelveticaNeueLT Std" w:cs="Arial"/>
          <w:sz w:val="20"/>
        </w:rPr>
        <w:t>diciembre  y</w:t>
      </w:r>
      <w:proofErr w:type="gramEnd"/>
      <w:r w:rsidR="00AF51FE" w:rsidRPr="004D25FE">
        <w:rPr>
          <w:rFonts w:ascii="HelveticaNeueLT Std" w:hAnsi="HelveticaNeueLT Std" w:cs="Arial"/>
          <w:sz w:val="20"/>
        </w:rPr>
        <w:t xml:space="preserve"> </w:t>
      </w:r>
      <w:r w:rsidR="004F206A" w:rsidRPr="004D25FE">
        <w:rPr>
          <w:rFonts w:ascii="HelveticaNeueLT Std" w:hAnsi="HelveticaNeueLT Std" w:cs="Arial"/>
          <w:sz w:val="20"/>
        </w:rPr>
        <w:t xml:space="preserve"> </w:t>
      </w:r>
      <w:r w:rsidRPr="004D25FE">
        <w:rPr>
          <w:rFonts w:ascii="HelveticaNeueLT Std" w:hAnsi="HelveticaNeueLT Std" w:cs="Arial"/>
          <w:sz w:val="20"/>
        </w:rPr>
        <w:t>correspond</w:t>
      </w:r>
      <w:r w:rsidR="00AF51FE" w:rsidRPr="004D25FE">
        <w:rPr>
          <w:rFonts w:ascii="HelveticaNeueLT Std" w:hAnsi="HelveticaNeueLT Std" w:cs="Arial"/>
          <w:sz w:val="20"/>
        </w:rPr>
        <w:t>ía</w:t>
      </w:r>
      <w:r w:rsidRPr="004D25FE">
        <w:rPr>
          <w:rFonts w:ascii="HelveticaNeueLT Std" w:hAnsi="HelveticaNeueLT Std" w:cs="Arial"/>
          <w:sz w:val="20"/>
        </w:rPr>
        <w:t xml:space="preserve"> a la comprobación de los depósitos del GEM, del Programa de Regularización de Tenencia de la Tierra cuya fuente de financiamiento corresponde al Programa de Acciones para el Desarrollo (PAD).</w:t>
      </w:r>
    </w:p>
    <w:p w:rsidR="00C87A6A" w:rsidRPr="004D25FE" w:rsidRDefault="00C87A6A" w:rsidP="00057789">
      <w:pPr>
        <w:numPr>
          <w:ilvl w:val="0"/>
          <w:numId w:val="1"/>
        </w:numPr>
        <w:tabs>
          <w:tab w:val="left" w:pos="639"/>
          <w:tab w:val="left" w:pos="3836"/>
        </w:tabs>
        <w:spacing w:before="240" w:after="0" w:line="276" w:lineRule="auto"/>
        <w:ind w:right="-1"/>
        <w:contextualSpacing/>
        <w:jc w:val="both"/>
        <w:rPr>
          <w:rFonts w:cs="Arial"/>
        </w:rPr>
      </w:pPr>
      <w:r w:rsidRPr="004D25FE">
        <w:rPr>
          <w:rFonts w:cs="Arial"/>
          <w:b/>
        </w:rPr>
        <w:t>Deudores Diversos. -</w:t>
      </w:r>
      <w:r w:rsidRPr="004D25FE">
        <w:rPr>
          <w:rFonts w:cs="Arial"/>
        </w:rPr>
        <w:t xml:space="preserve"> El </w:t>
      </w:r>
      <w:r w:rsidRPr="004D25FE">
        <w:rPr>
          <w:rFonts w:cs="Arial"/>
          <w:color w:val="000000" w:themeColor="text1"/>
        </w:rPr>
        <w:t xml:space="preserve">saldo </w:t>
      </w:r>
      <w:r w:rsidR="00057789" w:rsidRPr="004D25FE">
        <w:rPr>
          <w:rFonts w:cs="Arial"/>
          <w:color w:val="000000" w:themeColor="text1"/>
        </w:rPr>
        <w:t>de 1,</w:t>
      </w:r>
      <w:r w:rsidR="009B3800" w:rsidRPr="004D25FE">
        <w:rPr>
          <w:rFonts w:cs="Arial"/>
          <w:color w:val="000000" w:themeColor="text1"/>
        </w:rPr>
        <w:t xml:space="preserve">494.76 </w:t>
      </w:r>
      <w:r w:rsidR="00057789" w:rsidRPr="004D25FE">
        <w:rPr>
          <w:rFonts w:cs="Arial"/>
          <w:color w:val="000000" w:themeColor="text1"/>
        </w:rPr>
        <w:t>s</w:t>
      </w:r>
      <w:r w:rsidR="00E843D4" w:rsidRPr="004D25FE">
        <w:rPr>
          <w:rFonts w:cs="Arial"/>
          <w:color w:val="000000" w:themeColor="text1"/>
        </w:rPr>
        <w:t xml:space="preserve">e </w:t>
      </w:r>
      <w:r w:rsidR="00015FA6" w:rsidRPr="004D25FE">
        <w:rPr>
          <w:rFonts w:cs="Arial"/>
          <w:color w:val="000000" w:themeColor="text1"/>
        </w:rPr>
        <w:t xml:space="preserve">integra </w:t>
      </w:r>
      <w:r w:rsidR="00E843D4" w:rsidRPr="004D25FE">
        <w:rPr>
          <w:rFonts w:cs="Arial"/>
          <w:color w:val="000000" w:themeColor="text1"/>
        </w:rPr>
        <w:t xml:space="preserve">principalmente </w:t>
      </w:r>
      <w:r w:rsidR="004F206A" w:rsidRPr="004D25FE">
        <w:rPr>
          <w:rFonts w:cs="Arial"/>
          <w:color w:val="000000" w:themeColor="text1"/>
        </w:rPr>
        <w:t xml:space="preserve">del </w:t>
      </w:r>
      <w:r w:rsidR="00057789" w:rsidRPr="004D25FE">
        <w:rPr>
          <w:rFonts w:cs="Arial"/>
          <w:color w:val="000000" w:themeColor="text1"/>
        </w:rPr>
        <w:t xml:space="preserve">anticipo </w:t>
      </w:r>
      <w:proofErr w:type="gramStart"/>
      <w:r w:rsidR="00057789" w:rsidRPr="004D25FE">
        <w:rPr>
          <w:rFonts w:cs="Arial"/>
          <w:color w:val="000000" w:themeColor="text1"/>
        </w:rPr>
        <w:t xml:space="preserve">de </w:t>
      </w:r>
      <w:r w:rsidR="00057789" w:rsidRPr="004D25FE">
        <w:rPr>
          <w:rFonts w:cs="Arial"/>
        </w:rPr>
        <w:t xml:space="preserve"> FONACOT</w:t>
      </w:r>
      <w:proofErr w:type="gramEnd"/>
      <w:r w:rsidRPr="004D25FE">
        <w:rPr>
          <w:rFonts w:cs="Arial"/>
        </w:rPr>
        <w:t>.</w:t>
      </w:r>
    </w:p>
    <w:p w:rsidR="00C87A6A" w:rsidRPr="004D25FE" w:rsidRDefault="00C87A6A" w:rsidP="00C87A6A">
      <w:pPr>
        <w:spacing w:after="0" w:line="276" w:lineRule="auto"/>
        <w:ind w:right="-1"/>
        <w:jc w:val="both"/>
        <w:rPr>
          <w:rFonts w:cs="Arial"/>
          <w:b/>
        </w:rPr>
      </w:pPr>
    </w:p>
    <w:p w:rsidR="00C87A6A" w:rsidRPr="004D25FE" w:rsidRDefault="00C87A6A" w:rsidP="00C87A6A">
      <w:pPr>
        <w:spacing w:after="0" w:line="276" w:lineRule="auto"/>
        <w:ind w:right="-1"/>
        <w:jc w:val="both"/>
        <w:rPr>
          <w:rFonts w:cs="Arial"/>
          <w:b/>
        </w:rPr>
      </w:pPr>
      <w:r w:rsidRPr="004D25FE">
        <w:rPr>
          <w:rFonts w:cs="Arial"/>
          <w:b/>
        </w:rPr>
        <w:t>Activo No Circulante</w:t>
      </w:r>
    </w:p>
    <w:p w:rsidR="00C87A6A" w:rsidRPr="004D25FE" w:rsidRDefault="00C87A6A" w:rsidP="00C87A6A">
      <w:pPr>
        <w:spacing w:after="0" w:line="276" w:lineRule="auto"/>
        <w:ind w:right="-1"/>
        <w:jc w:val="both"/>
        <w:rPr>
          <w:rFonts w:cs="Arial"/>
          <w:b/>
          <w:sz w:val="12"/>
        </w:rPr>
      </w:pPr>
    </w:p>
    <w:p w:rsidR="00C87A6A" w:rsidRPr="004D25FE" w:rsidRDefault="00C87A6A" w:rsidP="00C87A6A">
      <w:pPr>
        <w:tabs>
          <w:tab w:val="left" w:pos="3836"/>
        </w:tabs>
        <w:spacing w:line="276" w:lineRule="auto"/>
        <w:ind w:right="-1"/>
        <w:jc w:val="both"/>
        <w:rPr>
          <w:rFonts w:cs="Arial"/>
          <w:b/>
        </w:rPr>
      </w:pPr>
      <w:r w:rsidRPr="004D25FE">
        <w:rPr>
          <w:rFonts w:cs="Arial"/>
          <w:b/>
        </w:rPr>
        <w:t xml:space="preserve">Inversiones Financieras a Largo Plazo. - </w:t>
      </w:r>
      <w:r w:rsidRPr="004D25FE">
        <w:rPr>
          <w:rFonts w:cs="Arial"/>
        </w:rPr>
        <w:t>El saldo se integra con la siguiente cuenta</w:t>
      </w:r>
      <w:r w:rsidRPr="004D25FE">
        <w:rPr>
          <w:rFonts w:cs="Arial"/>
          <w:b/>
        </w:rPr>
        <w:t>:</w:t>
      </w:r>
      <w:r w:rsidRPr="004D25FE">
        <w:t xml:space="preserve"> </w:t>
      </w:r>
    </w:p>
    <w:p w:rsidR="00C87A6A" w:rsidRPr="004D25FE" w:rsidRDefault="00C87A6A" w:rsidP="0031644B">
      <w:pPr>
        <w:pStyle w:val="Prrafodelista"/>
        <w:numPr>
          <w:ilvl w:val="0"/>
          <w:numId w:val="1"/>
        </w:numPr>
        <w:spacing w:line="276" w:lineRule="auto"/>
        <w:ind w:right="-1"/>
        <w:jc w:val="both"/>
        <w:rPr>
          <w:rFonts w:cs="Arial"/>
          <w:b/>
          <w:color w:val="000000" w:themeColor="text1"/>
          <w:sz w:val="4"/>
        </w:rPr>
      </w:pPr>
      <w:r w:rsidRPr="004D25FE">
        <w:rPr>
          <w:rFonts w:ascii="HelveticaNeueLT Std" w:eastAsiaTheme="minorHAnsi" w:hAnsi="HelveticaNeueLT Std" w:cs="Arial"/>
          <w:b/>
          <w:color w:val="000000" w:themeColor="text1"/>
          <w:sz w:val="20"/>
          <w:szCs w:val="20"/>
          <w:lang w:eastAsia="en-US"/>
        </w:rPr>
        <w:t>Fideicomisos, Mandatos y Contratos Análogos. -</w:t>
      </w:r>
      <w:r w:rsidRPr="004D25FE">
        <w:rPr>
          <w:rFonts w:ascii="HelveticaNeueLT Std" w:eastAsiaTheme="minorHAnsi" w:hAnsi="HelveticaNeueLT Std" w:cs="Arial"/>
          <w:color w:val="000000" w:themeColor="text1"/>
          <w:sz w:val="20"/>
          <w:szCs w:val="20"/>
          <w:lang w:eastAsia="en-US"/>
        </w:rPr>
        <w:t xml:space="preserve"> El saldo de esta cuenta al mes que se analiza es por </w:t>
      </w:r>
      <w:r w:rsidR="0031644B" w:rsidRPr="004D25FE">
        <w:rPr>
          <w:rFonts w:ascii="HelveticaNeueLT Std" w:eastAsiaTheme="minorHAnsi" w:hAnsi="HelveticaNeueLT Std" w:cs="Arial"/>
          <w:color w:val="000000" w:themeColor="text1"/>
          <w:sz w:val="20"/>
          <w:szCs w:val="20"/>
          <w:lang w:eastAsia="en-US"/>
        </w:rPr>
        <w:t>4,872,498,869.74</w:t>
      </w:r>
      <w:r w:rsidRPr="004D25FE">
        <w:rPr>
          <w:rFonts w:ascii="HelveticaNeueLT Std" w:eastAsiaTheme="minorHAnsi" w:hAnsi="HelveticaNeueLT Std" w:cs="Arial"/>
          <w:color w:val="000000" w:themeColor="text1"/>
          <w:sz w:val="20"/>
          <w:szCs w:val="20"/>
          <w:lang w:eastAsia="en-US"/>
        </w:rPr>
        <w:t xml:space="preserve">, que refleja los recursos transferidos al Fideicomiso de Cobranza, que corresponden al RPP por </w:t>
      </w:r>
      <w:r w:rsidR="0031644B" w:rsidRPr="004D25FE">
        <w:rPr>
          <w:rFonts w:ascii="HelveticaNeueLT Std" w:eastAsiaTheme="minorHAnsi" w:hAnsi="HelveticaNeueLT Std" w:cs="Arial"/>
          <w:color w:val="000000" w:themeColor="text1"/>
          <w:sz w:val="20"/>
          <w:szCs w:val="20"/>
          <w:lang w:eastAsia="en-US"/>
        </w:rPr>
        <w:t xml:space="preserve">4,861,760,606.89 </w:t>
      </w:r>
      <w:r w:rsidRPr="004D25FE">
        <w:rPr>
          <w:rFonts w:ascii="HelveticaNeueLT Std" w:eastAsiaTheme="minorHAnsi" w:hAnsi="HelveticaNeueLT Std" w:cs="Arial"/>
          <w:color w:val="000000" w:themeColor="text1"/>
          <w:sz w:val="20"/>
          <w:szCs w:val="20"/>
          <w:lang w:eastAsia="en-US"/>
        </w:rPr>
        <w:t xml:space="preserve">y al RPC por </w:t>
      </w:r>
      <w:r w:rsidR="0031644B" w:rsidRPr="004D25FE">
        <w:rPr>
          <w:rFonts w:ascii="HelveticaNeueLT Std" w:eastAsiaTheme="minorHAnsi" w:hAnsi="HelveticaNeueLT Std" w:cs="Arial"/>
          <w:color w:val="000000" w:themeColor="text1"/>
          <w:sz w:val="20"/>
          <w:szCs w:val="20"/>
          <w:lang w:eastAsia="en-US"/>
        </w:rPr>
        <w:t>10,738,262.85</w:t>
      </w:r>
      <w:r w:rsidR="003C7D90" w:rsidRPr="004D25FE">
        <w:rPr>
          <w:rFonts w:ascii="HelveticaNeueLT Std" w:eastAsiaTheme="minorHAnsi" w:hAnsi="HelveticaNeueLT Std" w:cs="Arial"/>
          <w:color w:val="000000" w:themeColor="text1"/>
          <w:sz w:val="20"/>
          <w:szCs w:val="20"/>
          <w:lang w:eastAsia="en-US"/>
        </w:rPr>
        <w:t xml:space="preserve">. </w:t>
      </w:r>
      <w:r w:rsidR="005236DD" w:rsidRPr="004D25FE">
        <w:rPr>
          <w:rFonts w:ascii="HelveticaNeueLT Std" w:eastAsiaTheme="minorHAnsi" w:hAnsi="HelveticaNeueLT Std" w:cs="Arial"/>
          <w:color w:val="000000" w:themeColor="text1"/>
          <w:sz w:val="20"/>
          <w:szCs w:val="20"/>
          <w:lang w:eastAsia="en-US"/>
        </w:rPr>
        <w:t xml:space="preserve">En este mes se registraron únicamente </w:t>
      </w:r>
      <w:proofErr w:type="spellStart"/>
      <w:r w:rsidR="005236DD" w:rsidRPr="004D25FE">
        <w:rPr>
          <w:rFonts w:ascii="HelveticaNeueLT Std" w:eastAsiaTheme="minorHAnsi" w:hAnsi="HelveticaNeueLT Std" w:cs="Arial"/>
          <w:color w:val="000000" w:themeColor="text1"/>
          <w:sz w:val="20"/>
          <w:szCs w:val="20"/>
          <w:lang w:eastAsia="en-US"/>
        </w:rPr>
        <w:t>tranferencias</w:t>
      </w:r>
      <w:proofErr w:type="spellEnd"/>
      <w:r w:rsidR="005236DD" w:rsidRPr="004D25FE">
        <w:rPr>
          <w:rFonts w:ascii="HelveticaNeueLT Std" w:eastAsiaTheme="minorHAnsi" w:hAnsi="HelveticaNeueLT Std" w:cs="Arial"/>
          <w:color w:val="000000" w:themeColor="text1"/>
          <w:sz w:val="20"/>
          <w:szCs w:val="20"/>
          <w:lang w:eastAsia="en-US"/>
        </w:rPr>
        <w:t xml:space="preserve"> entre el RCP y RPP.</w:t>
      </w:r>
    </w:p>
    <w:p w:rsidR="0075502E" w:rsidRPr="004D25FE" w:rsidRDefault="0075502E" w:rsidP="0075502E">
      <w:pPr>
        <w:pStyle w:val="Prrafodelista"/>
        <w:spacing w:line="276" w:lineRule="auto"/>
        <w:ind w:left="502" w:right="-1"/>
        <w:jc w:val="both"/>
        <w:rPr>
          <w:rFonts w:cs="Arial"/>
          <w:b/>
          <w:color w:val="000000" w:themeColor="text1"/>
          <w:sz w:val="4"/>
        </w:rPr>
      </w:pPr>
    </w:p>
    <w:p w:rsidR="00C87A6A" w:rsidRPr="004D25FE" w:rsidRDefault="00C87A6A" w:rsidP="00C87A6A">
      <w:pPr>
        <w:spacing w:line="276" w:lineRule="auto"/>
        <w:ind w:right="-1"/>
        <w:jc w:val="both"/>
        <w:rPr>
          <w:rFonts w:cs="Arial"/>
          <w:b/>
        </w:rPr>
      </w:pPr>
      <w:r w:rsidRPr="004D25FE">
        <w:rPr>
          <w:rFonts w:cs="Arial"/>
          <w:b/>
        </w:rPr>
        <w:t>Bienes Inmuebles, Infraestructura y Construcciones en Proceso.</w:t>
      </w:r>
    </w:p>
    <w:p w:rsidR="00C87A6A" w:rsidRPr="00820A1A" w:rsidRDefault="00C87A6A" w:rsidP="0031644B">
      <w:pPr>
        <w:numPr>
          <w:ilvl w:val="0"/>
          <w:numId w:val="1"/>
        </w:numPr>
        <w:spacing w:after="0" w:line="276" w:lineRule="auto"/>
        <w:ind w:right="-1"/>
        <w:jc w:val="both"/>
        <w:rPr>
          <w:rFonts w:cs="Arial"/>
          <w:b/>
          <w:color w:val="000000" w:themeColor="text1"/>
        </w:rPr>
      </w:pPr>
      <w:r w:rsidRPr="004D25FE">
        <w:rPr>
          <w:rFonts w:cs="Arial"/>
          <w:b/>
        </w:rPr>
        <w:t xml:space="preserve">Edificios no Habitacionales. - </w:t>
      </w:r>
      <w:r w:rsidRPr="004D25FE">
        <w:rPr>
          <w:rFonts w:cs="Arial"/>
        </w:rPr>
        <w:t>A la fecha</w:t>
      </w:r>
      <w:r w:rsidRPr="003A2CD8">
        <w:rPr>
          <w:rFonts w:cs="Arial"/>
        </w:rPr>
        <w:t xml:space="preserve"> de estas notas presentaron un valor histórico de </w:t>
      </w:r>
      <w:r w:rsidR="00F45698" w:rsidRPr="00F45698">
        <w:rPr>
          <w:rFonts w:cs="Arial"/>
        </w:rPr>
        <w:t>86,325,735.19</w:t>
      </w:r>
      <w:r w:rsidR="00CC6FD4">
        <w:rPr>
          <w:rFonts w:cs="Arial"/>
        </w:rPr>
        <w:t>, l</w:t>
      </w:r>
      <w:r w:rsidRPr="003A2CD8">
        <w:rPr>
          <w:rFonts w:cs="Arial"/>
          <w:color w:val="000000" w:themeColor="text1"/>
        </w:rPr>
        <w:t xml:space="preserve">a depreciación acumulada al mes actual fue de </w:t>
      </w:r>
      <w:r w:rsidR="0031644B" w:rsidRPr="0031644B">
        <w:rPr>
          <w:rFonts w:cs="Arial"/>
          <w:color w:val="000000" w:themeColor="text1"/>
        </w:rPr>
        <w:t>7,146,872.40</w:t>
      </w:r>
      <w:r w:rsidRPr="003A2CD8">
        <w:rPr>
          <w:rFonts w:cs="Arial"/>
          <w:color w:val="000000" w:themeColor="text1"/>
        </w:rPr>
        <w:t xml:space="preserve">, se afecta contra el resultado del ejercicio por lo que se determinó un valor neto en libros de </w:t>
      </w:r>
      <w:r w:rsidR="0031644B" w:rsidRPr="0031644B">
        <w:rPr>
          <w:rFonts w:cs="Arial"/>
          <w:color w:val="000000" w:themeColor="text1"/>
        </w:rPr>
        <w:t>79,178,862.79</w:t>
      </w:r>
      <w:r>
        <w:rPr>
          <w:rFonts w:cs="Arial"/>
          <w:color w:val="000000" w:themeColor="text1"/>
        </w:rPr>
        <w:t>.</w:t>
      </w:r>
    </w:p>
    <w:p w:rsidR="00C87A6A" w:rsidRPr="00820A1A" w:rsidRDefault="00C87A6A" w:rsidP="004F7873">
      <w:pPr>
        <w:spacing w:after="0" w:line="276" w:lineRule="auto"/>
        <w:ind w:left="502" w:right="-1"/>
        <w:jc w:val="both"/>
        <w:rPr>
          <w:rFonts w:cs="Arial"/>
          <w:b/>
          <w:color w:val="000000" w:themeColor="text1"/>
        </w:rPr>
      </w:pPr>
    </w:p>
    <w:p w:rsidR="00CE3990" w:rsidRDefault="00C87A6A" w:rsidP="00C87A6A">
      <w:pPr>
        <w:pStyle w:val="Prrafodelista"/>
        <w:numPr>
          <w:ilvl w:val="0"/>
          <w:numId w:val="1"/>
        </w:numPr>
        <w:spacing w:line="276" w:lineRule="auto"/>
        <w:ind w:right="-1"/>
        <w:jc w:val="both"/>
        <w:rPr>
          <w:rFonts w:ascii="HelveticaNeueLT Std" w:eastAsiaTheme="minorHAnsi" w:hAnsi="HelveticaNeueLT Std" w:cs="Arial"/>
          <w:color w:val="000000" w:themeColor="text1"/>
          <w:sz w:val="20"/>
          <w:szCs w:val="20"/>
          <w:lang w:eastAsia="en-US"/>
        </w:rPr>
      </w:pPr>
      <w:r w:rsidRPr="004D25FE">
        <w:rPr>
          <w:rFonts w:ascii="HelveticaNeueLT Std" w:eastAsiaTheme="minorHAnsi" w:hAnsi="HelveticaNeueLT Std" w:cs="Arial"/>
          <w:b/>
          <w:color w:val="000000" w:themeColor="text1"/>
          <w:sz w:val="20"/>
          <w:szCs w:val="20"/>
          <w:lang w:eastAsia="en-US"/>
        </w:rPr>
        <w:t>Construcciones en Proceso en Bienes Propios</w:t>
      </w:r>
      <w:r w:rsidRPr="004D25FE">
        <w:rPr>
          <w:rFonts w:ascii="HelveticaNeueLT Std" w:eastAsiaTheme="minorHAnsi" w:hAnsi="HelveticaNeueLT Std" w:cs="Arial"/>
          <w:color w:val="000000" w:themeColor="text1"/>
          <w:sz w:val="20"/>
          <w:szCs w:val="20"/>
          <w:lang w:eastAsia="en-US"/>
        </w:rPr>
        <w:t>. - E</w:t>
      </w:r>
      <w:r w:rsidR="00EE301A" w:rsidRPr="004D25FE">
        <w:rPr>
          <w:rFonts w:ascii="HelveticaNeueLT Std" w:eastAsiaTheme="minorHAnsi" w:hAnsi="HelveticaNeueLT Std" w:cs="Arial"/>
          <w:color w:val="000000" w:themeColor="text1"/>
          <w:sz w:val="20"/>
          <w:szCs w:val="20"/>
          <w:lang w:eastAsia="en-US"/>
        </w:rPr>
        <w:t xml:space="preserve">l </w:t>
      </w:r>
      <w:proofErr w:type="gramStart"/>
      <w:r w:rsidR="00EE301A" w:rsidRPr="004D25FE">
        <w:rPr>
          <w:rFonts w:ascii="HelveticaNeueLT Std" w:eastAsiaTheme="minorHAnsi" w:hAnsi="HelveticaNeueLT Std" w:cs="Arial"/>
          <w:color w:val="000000" w:themeColor="text1"/>
          <w:sz w:val="20"/>
          <w:szCs w:val="20"/>
          <w:lang w:eastAsia="en-US"/>
        </w:rPr>
        <w:t xml:space="preserve">saldo </w:t>
      </w:r>
      <w:r w:rsidRPr="004D25FE">
        <w:rPr>
          <w:rFonts w:ascii="HelveticaNeueLT Std" w:eastAsiaTheme="minorHAnsi" w:hAnsi="HelveticaNeueLT Std" w:cs="Arial"/>
          <w:color w:val="000000" w:themeColor="text1"/>
          <w:sz w:val="20"/>
          <w:szCs w:val="20"/>
          <w:lang w:eastAsia="en-US"/>
        </w:rPr>
        <w:t xml:space="preserve"> </w:t>
      </w:r>
      <w:r w:rsidR="003B6142" w:rsidRPr="004D25FE">
        <w:rPr>
          <w:rFonts w:ascii="HelveticaNeueLT Std" w:eastAsiaTheme="minorHAnsi" w:hAnsi="HelveticaNeueLT Std" w:cs="Arial"/>
          <w:color w:val="000000" w:themeColor="text1"/>
          <w:sz w:val="20"/>
          <w:szCs w:val="20"/>
          <w:lang w:eastAsia="en-US"/>
        </w:rPr>
        <w:t>se</w:t>
      </w:r>
      <w:proofErr w:type="gramEnd"/>
      <w:r w:rsidR="003B6142" w:rsidRPr="004D25FE">
        <w:rPr>
          <w:rFonts w:ascii="HelveticaNeueLT Std" w:eastAsiaTheme="minorHAnsi" w:hAnsi="HelveticaNeueLT Std" w:cs="Arial"/>
          <w:color w:val="000000" w:themeColor="text1"/>
          <w:sz w:val="20"/>
          <w:szCs w:val="20"/>
          <w:lang w:eastAsia="en-US"/>
        </w:rPr>
        <w:t xml:space="preserve"> canceló en el</w:t>
      </w:r>
      <w:r w:rsidR="007E5D5E" w:rsidRPr="004D25FE">
        <w:rPr>
          <w:rFonts w:ascii="HelveticaNeueLT Std" w:eastAsiaTheme="minorHAnsi" w:hAnsi="HelveticaNeueLT Std" w:cs="Arial"/>
          <w:color w:val="000000" w:themeColor="text1"/>
          <w:sz w:val="20"/>
          <w:szCs w:val="20"/>
          <w:lang w:eastAsia="en-US"/>
        </w:rPr>
        <w:t xml:space="preserve"> mes</w:t>
      </w:r>
      <w:r w:rsidR="001433AD" w:rsidRPr="004D25FE">
        <w:rPr>
          <w:rFonts w:ascii="HelveticaNeueLT Std" w:eastAsiaTheme="minorHAnsi" w:hAnsi="HelveticaNeueLT Std" w:cs="Arial"/>
          <w:color w:val="000000" w:themeColor="text1"/>
          <w:sz w:val="20"/>
          <w:szCs w:val="20"/>
          <w:lang w:eastAsia="en-US"/>
        </w:rPr>
        <w:t xml:space="preserve"> septiembre </w:t>
      </w:r>
      <w:r w:rsidR="007E5D5E" w:rsidRPr="004D25FE">
        <w:rPr>
          <w:rFonts w:ascii="HelveticaNeueLT Std" w:eastAsiaTheme="minorHAnsi" w:hAnsi="HelveticaNeueLT Std" w:cs="Arial"/>
          <w:color w:val="000000" w:themeColor="text1"/>
          <w:sz w:val="20"/>
          <w:szCs w:val="20"/>
          <w:lang w:eastAsia="en-US"/>
        </w:rPr>
        <w:t xml:space="preserve">y se </w:t>
      </w:r>
      <w:proofErr w:type="spellStart"/>
      <w:r w:rsidR="007E5D5E" w:rsidRPr="004D25FE">
        <w:rPr>
          <w:rFonts w:ascii="HelveticaNeueLT Std" w:eastAsiaTheme="minorHAnsi" w:hAnsi="HelveticaNeueLT Std" w:cs="Arial"/>
          <w:color w:val="000000" w:themeColor="text1"/>
          <w:sz w:val="20"/>
          <w:szCs w:val="20"/>
          <w:lang w:eastAsia="en-US"/>
        </w:rPr>
        <w:t>traspaso</w:t>
      </w:r>
      <w:proofErr w:type="spellEnd"/>
      <w:r w:rsidR="007E5D5E" w:rsidRPr="004D25FE">
        <w:rPr>
          <w:rFonts w:ascii="HelveticaNeueLT Std" w:eastAsiaTheme="minorHAnsi" w:hAnsi="HelveticaNeueLT Std" w:cs="Arial"/>
          <w:color w:val="000000" w:themeColor="text1"/>
          <w:sz w:val="20"/>
          <w:szCs w:val="20"/>
          <w:lang w:eastAsia="en-US"/>
        </w:rPr>
        <w:t xml:space="preserve"> a la cuenta de Edific</w:t>
      </w:r>
      <w:r w:rsidR="00621960" w:rsidRPr="004D25FE">
        <w:rPr>
          <w:rFonts w:ascii="HelveticaNeueLT Std" w:eastAsiaTheme="minorHAnsi" w:hAnsi="HelveticaNeueLT Std" w:cs="Arial"/>
          <w:color w:val="000000" w:themeColor="text1"/>
          <w:sz w:val="20"/>
          <w:szCs w:val="20"/>
          <w:lang w:eastAsia="en-US"/>
        </w:rPr>
        <w:t>i</w:t>
      </w:r>
      <w:r w:rsidR="007E5D5E" w:rsidRPr="004D25FE">
        <w:rPr>
          <w:rFonts w:ascii="HelveticaNeueLT Std" w:eastAsiaTheme="minorHAnsi" w:hAnsi="HelveticaNeueLT Std" w:cs="Arial"/>
          <w:color w:val="000000" w:themeColor="text1"/>
          <w:sz w:val="20"/>
          <w:szCs w:val="20"/>
          <w:lang w:eastAsia="en-US"/>
        </w:rPr>
        <w:t xml:space="preserve">os no habitacionales </w:t>
      </w:r>
      <w:r w:rsidRPr="004D25FE">
        <w:rPr>
          <w:rFonts w:ascii="HelveticaNeueLT Std" w:eastAsiaTheme="minorHAnsi" w:hAnsi="HelveticaNeueLT Std" w:cs="Arial"/>
          <w:color w:val="000000" w:themeColor="text1"/>
          <w:sz w:val="20"/>
          <w:szCs w:val="20"/>
          <w:lang w:eastAsia="en-US"/>
        </w:rPr>
        <w:t xml:space="preserve"> </w:t>
      </w:r>
      <w:r w:rsidR="007E5D5E" w:rsidRPr="004D25FE">
        <w:rPr>
          <w:rFonts w:ascii="HelveticaNeueLT Std" w:eastAsiaTheme="minorHAnsi" w:hAnsi="HelveticaNeueLT Std" w:cs="Arial"/>
          <w:color w:val="000000" w:themeColor="text1"/>
          <w:sz w:val="20"/>
          <w:szCs w:val="20"/>
          <w:lang w:eastAsia="en-US"/>
        </w:rPr>
        <w:t>(</w:t>
      </w:r>
      <w:r w:rsidRPr="004D25FE">
        <w:rPr>
          <w:rFonts w:ascii="HelveticaNeueLT Std" w:eastAsiaTheme="minorHAnsi" w:hAnsi="HelveticaNeueLT Std" w:cs="Arial"/>
          <w:color w:val="000000" w:themeColor="text1"/>
          <w:sz w:val="20"/>
          <w:szCs w:val="20"/>
          <w:lang w:eastAsia="en-US"/>
        </w:rPr>
        <w:t>Archivo</w:t>
      </w:r>
      <w:r w:rsidRPr="00820A1A">
        <w:rPr>
          <w:rFonts w:ascii="HelveticaNeueLT Std" w:eastAsiaTheme="minorHAnsi" w:hAnsi="HelveticaNeueLT Std" w:cs="Arial"/>
          <w:color w:val="000000" w:themeColor="text1"/>
          <w:sz w:val="20"/>
          <w:szCs w:val="20"/>
          <w:lang w:eastAsia="en-US"/>
        </w:rPr>
        <w:t xml:space="preserve"> General de Notarias</w:t>
      </w:r>
      <w:r w:rsidR="007E5D5E">
        <w:rPr>
          <w:rFonts w:ascii="HelveticaNeueLT Std" w:eastAsiaTheme="minorHAnsi" w:hAnsi="HelveticaNeueLT Std" w:cs="Arial"/>
          <w:color w:val="000000" w:themeColor="text1"/>
          <w:sz w:val="20"/>
          <w:szCs w:val="20"/>
          <w:lang w:eastAsia="en-US"/>
        </w:rPr>
        <w:t>).</w:t>
      </w:r>
    </w:p>
    <w:p w:rsidR="00CE3990" w:rsidRDefault="00CE3990">
      <w:pPr>
        <w:spacing w:line="259" w:lineRule="auto"/>
        <w:rPr>
          <w:rFonts w:cs="Arial"/>
          <w:color w:val="000000" w:themeColor="text1"/>
        </w:rPr>
      </w:pPr>
      <w:r>
        <w:rPr>
          <w:rFonts w:cs="Arial"/>
          <w:color w:val="000000" w:themeColor="text1"/>
        </w:rPr>
        <w:br w:type="page"/>
      </w:r>
    </w:p>
    <w:p w:rsidR="00C87A6A" w:rsidRPr="00820A1A" w:rsidRDefault="00C87A6A" w:rsidP="00C87A6A">
      <w:pPr>
        <w:spacing w:line="276" w:lineRule="auto"/>
        <w:ind w:right="-1"/>
        <w:jc w:val="both"/>
        <w:rPr>
          <w:rFonts w:cs="Arial"/>
          <w:b/>
        </w:rPr>
      </w:pPr>
      <w:r w:rsidRPr="004D25FE">
        <w:rPr>
          <w:rFonts w:cs="Arial"/>
          <w:b/>
        </w:rPr>
        <w:lastRenderedPageBreak/>
        <w:t>Bienes Muebles.</w:t>
      </w:r>
    </w:p>
    <w:p w:rsidR="00C87A6A" w:rsidRPr="00621960" w:rsidRDefault="00C87A6A" w:rsidP="00C87A6A">
      <w:pPr>
        <w:spacing w:after="0" w:line="276" w:lineRule="auto"/>
        <w:ind w:right="-1"/>
        <w:jc w:val="both"/>
      </w:pPr>
      <w:r w:rsidRPr="00621960">
        <w:rPr>
          <w:rFonts w:cs="Arial"/>
        </w:rPr>
        <w:t>De acuerdo con el Análisis de Movimientos del Activo No Circulante y su Depreciación:</w:t>
      </w:r>
      <w:r w:rsidRPr="00621960">
        <w:t xml:space="preserve"> </w:t>
      </w:r>
    </w:p>
    <w:p w:rsidR="00C87A6A" w:rsidRPr="007E5D5E" w:rsidRDefault="00C87A6A" w:rsidP="00FD35EC">
      <w:pPr>
        <w:spacing w:after="0" w:line="276" w:lineRule="auto"/>
        <w:ind w:right="-1"/>
        <w:jc w:val="center"/>
        <w:rPr>
          <w:sz w:val="14"/>
          <w:highlight w:val="yellow"/>
        </w:rPr>
      </w:pPr>
    </w:p>
    <w:p w:rsidR="007D5713" w:rsidRDefault="004842BC" w:rsidP="00FD35EC">
      <w:pPr>
        <w:spacing w:after="0" w:line="276" w:lineRule="auto"/>
        <w:ind w:right="-1"/>
        <w:jc w:val="center"/>
        <w:rPr>
          <w:rFonts w:cs="Arial"/>
          <w:b/>
        </w:rPr>
      </w:pPr>
      <w:r w:rsidRPr="004842BC">
        <w:rPr>
          <w:noProof/>
          <w:lang w:eastAsia="es-MX"/>
        </w:rPr>
        <w:drawing>
          <wp:inline distT="0" distB="0" distL="0" distR="0">
            <wp:extent cx="6362700" cy="188519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328" cy="1888052"/>
                    </a:xfrm>
                    <a:prstGeom prst="rect">
                      <a:avLst/>
                    </a:prstGeom>
                    <a:noFill/>
                    <a:ln>
                      <a:noFill/>
                    </a:ln>
                  </pic:spPr>
                </pic:pic>
              </a:graphicData>
            </a:graphic>
          </wp:inline>
        </w:drawing>
      </w:r>
    </w:p>
    <w:p w:rsidR="00C87A6A" w:rsidRDefault="00C87A6A" w:rsidP="00F574F9">
      <w:pPr>
        <w:spacing w:after="0" w:line="276" w:lineRule="auto"/>
        <w:ind w:right="-1"/>
        <w:jc w:val="both"/>
        <w:rPr>
          <w:rFonts w:cs="Arial"/>
        </w:rPr>
      </w:pPr>
      <w:r w:rsidRPr="00C9554B">
        <w:rPr>
          <w:rFonts w:cs="Arial"/>
          <w:b/>
        </w:rPr>
        <w:t xml:space="preserve">Nota: </w:t>
      </w:r>
      <w:r w:rsidRPr="00C9554B">
        <w:rPr>
          <w:rFonts w:cs="Arial"/>
        </w:rPr>
        <w:t>Las bajas de los bienes de equipo de cómputo y muebles de oficina son por donación</w:t>
      </w:r>
      <w:r w:rsidR="00F574F9">
        <w:rPr>
          <w:rFonts w:cs="Arial"/>
        </w:rPr>
        <w:t>, siniestros</w:t>
      </w:r>
      <w:r w:rsidRPr="00C9554B">
        <w:rPr>
          <w:rFonts w:cs="Arial"/>
        </w:rPr>
        <w:t xml:space="preserve"> y bienes</w:t>
      </w:r>
      <w:r w:rsidR="00F574F9">
        <w:rPr>
          <w:rFonts w:cs="Arial"/>
        </w:rPr>
        <w:t xml:space="preserve"> obsoletos o</w:t>
      </w:r>
      <w:r w:rsidRPr="00C9554B">
        <w:rPr>
          <w:rFonts w:cs="Arial"/>
        </w:rPr>
        <w:t xml:space="preserve"> en mal estado.  </w:t>
      </w:r>
    </w:p>
    <w:p w:rsidR="00C87A6A" w:rsidRDefault="00C87A6A" w:rsidP="00C87A6A">
      <w:pPr>
        <w:spacing w:after="0" w:line="276" w:lineRule="auto"/>
        <w:ind w:right="-1"/>
        <w:rPr>
          <w:rFonts w:cs="Arial"/>
          <w:b/>
        </w:rPr>
      </w:pPr>
    </w:p>
    <w:p w:rsidR="00C87A6A" w:rsidRPr="007E2E82" w:rsidRDefault="00C87A6A" w:rsidP="00C87A6A">
      <w:pPr>
        <w:spacing w:after="0" w:line="276" w:lineRule="auto"/>
        <w:ind w:right="-1"/>
        <w:rPr>
          <w:rFonts w:cs="Arial"/>
          <w:b/>
        </w:rPr>
      </w:pPr>
      <w:r>
        <w:rPr>
          <w:rFonts w:cs="Arial"/>
          <w:b/>
        </w:rPr>
        <w:t>Activos Diferidos.</w:t>
      </w:r>
      <w:r w:rsidRPr="00DA51E4">
        <w:rPr>
          <w:rFonts w:cs="Arial"/>
        </w:rPr>
        <w:t xml:space="preserve"> </w:t>
      </w:r>
      <w:r w:rsidRPr="00F6308D">
        <w:rPr>
          <w:rFonts w:cs="Arial"/>
        </w:rPr>
        <w:t xml:space="preserve">El saldo de </w:t>
      </w:r>
      <w:r w:rsidR="0052620D" w:rsidRPr="0052620D">
        <w:rPr>
          <w:rFonts w:cs="Arial"/>
          <w:color w:val="000000" w:themeColor="text1"/>
        </w:rPr>
        <w:t>61,839.00</w:t>
      </w:r>
      <w:r w:rsidRPr="00F6308D">
        <w:rPr>
          <w:rFonts w:cs="Arial"/>
          <w:color w:val="000000" w:themeColor="text1"/>
        </w:rPr>
        <w:t xml:space="preserve">, </w:t>
      </w:r>
      <w:r w:rsidRPr="00F6308D">
        <w:rPr>
          <w:rFonts w:cs="Arial"/>
        </w:rPr>
        <w:t>se integra por la siguiente cuenta:</w:t>
      </w:r>
    </w:p>
    <w:p w:rsidR="00C87A6A" w:rsidRPr="00F6308D" w:rsidRDefault="00C87A6A" w:rsidP="00C87A6A">
      <w:pPr>
        <w:spacing w:after="0" w:line="276" w:lineRule="auto"/>
        <w:ind w:right="-1"/>
        <w:jc w:val="both"/>
        <w:rPr>
          <w:rFonts w:cs="Arial"/>
        </w:rPr>
      </w:pPr>
    </w:p>
    <w:p w:rsidR="00C87A6A" w:rsidRPr="004D25FE" w:rsidRDefault="00C87A6A" w:rsidP="0052620D">
      <w:pPr>
        <w:pStyle w:val="Prrafodelista"/>
        <w:numPr>
          <w:ilvl w:val="0"/>
          <w:numId w:val="1"/>
        </w:numPr>
        <w:spacing w:line="276" w:lineRule="auto"/>
        <w:ind w:right="-1"/>
        <w:jc w:val="both"/>
        <w:outlineLvl w:val="0"/>
        <w:rPr>
          <w:rFonts w:ascii="HelveticaNeueLT Std" w:eastAsiaTheme="minorHAnsi" w:hAnsi="HelveticaNeueLT Std" w:cs="Arial"/>
          <w:sz w:val="20"/>
          <w:szCs w:val="20"/>
          <w:lang w:eastAsia="en-US"/>
        </w:rPr>
      </w:pPr>
      <w:r w:rsidRPr="004D25FE">
        <w:rPr>
          <w:rFonts w:ascii="HelveticaNeueLT Std" w:eastAsiaTheme="minorHAnsi" w:hAnsi="HelveticaNeueLT Std" w:cs="Arial"/>
          <w:b/>
          <w:sz w:val="20"/>
          <w:szCs w:val="20"/>
          <w:lang w:eastAsia="en-US"/>
        </w:rPr>
        <w:t>Otros Activos Diferidos. -</w:t>
      </w:r>
      <w:r w:rsidRPr="004D25FE">
        <w:rPr>
          <w:rFonts w:ascii="HelveticaNeueLT Std" w:eastAsiaTheme="minorHAnsi" w:hAnsi="HelveticaNeueLT Std" w:cs="Arial"/>
          <w:sz w:val="20"/>
          <w:szCs w:val="20"/>
          <w:lang w:eastAsia="en-US"/>
        </w:rPr>
        <w:t xml:space="preserve"> Su saldo representa principalmente los depósitos en garantía que se han otorgado a la Compañía de Luz (CFE) para prestar el servicio de energía eléctrica</w:t>
      </w:r>
      <w:r w:rsidR="0052620D" w:rsidRPr="004D25FE">
        <w:rPr>
          <w:rFonts w:ascii="HelveticaNeueLT Std" w:eastAsiaTheme="minorHAnsi" w:hAnsi="HelveticaNeueLT Std" w:cs="Arial"/>
          <w:sz w:val="20"/>
          <w:szCs w:val="20"/>
          <w:lang w:eastAsia="en-US"/>
        </w:rPr>
        <w:t xml:space="preserve"> y en este mes se disminuyó por 8,000</w:t>
      </w:r>
      <w:r w:rsidR="004842BC" w:rsidRPr="004D25FE">
        <w:rPr>
          <w:rFonts w:ascii="HelveticaNeueLT Std" w:eastAsiaTheme="minorHAnsi" w:hAnsi="HelveticaNeueLT Std" w:cs="Arial"/>
          <w:sz w:val="20"/>
          <w:szCs w:val="20"/>
          <w:lang w:eastAsia="en-US"/>
        </w:rPr>
        <w:t>.00</w:t>
      </w:r>
      <w:r w:rsidR="0052620D" w:rsidRPr="004D25FE">
        <w:rPr>
          <w:rFonts w:ascii="HelveticaNeueLT Std" w:eastAsiaTheme="minorHAnsi" w:hAnsi="HelveticaNeueLT Std" w:cs="Arial"/>
          <w:sz w:val="20"/>
          <w:szCs w:val="20"/>
          <w:lang w:eastAsia="en-US"/>
        </w:rPr>
        <w:t xml:space="preserve"> que correspondían a la Garantía de Alma Rodríguez Martínez del Arrendamiento de la </w:t>
      </w:r>
      <w:r w:rsidR="00CE26E2" w:rsidRPr="004D25FE">
        <w:rPr>
          <w:rFonts w:ascii="HelveticaNeueLT Std" w:eastAsiaTheme="minorHAnsi" w:hAnsi="HelveticaNeueLT Std" w:cs="Arial"/>
          <w:sz w:val="20"/>
          <w:szCs w:val="20"/>
          <w:lang w:eastAsia="en-US"/>
        </w:rPr>
        <w:t>O</w:t>
      </w:r>
      <w:r w:rsidR="0052620D" w:rsidRPr="004D25FE">
        <w:rPr>
          <w:rFonts w:ascii="HelveticaNeueLT Std" w:eastAsiaTheme="minorHAnsi" w:hAnsi="HelveticaNeueLT Std" w:cs="Arial"/>
          <w:sz w:val="20"/>
          <w:szCs w:val="20"/>
          <w:lang w:eastAsia="en-US"/>
        </w:rPr>
        <w:t>fici</w:t>
      </w:r>
      <w:r w:rsidR="00CE26E2" w:rsidRPr="004D25FE">
        <w:rPr>
          <w:rFonts w:ascii="HelveticaNeueLT Std" w:eastAsiaTheme="minorHAnsi" w:hAnsi="HelveticaNeueLT Std" w:cs="Arial"/>
          <w:sz w:val="20"/>
          <w:szCs w:val="20"/>
          <w:lang w:eastAsia="en-US"/>
        </w:rPr>
        <w:t>na</w:t>
      </w:r>
      <w:r w:rsidR="0052620D" w:rsidRPr="004D25FE">
        <w:rPr>
          <w:rFonts w:ascii="HelveticaNeueLT Std" w:eastAsiaTheme="minorHAnsi" w:hAnsi="HelveticaNeueLT Std" w:cs="Arial"/>
          <w:sz w:val="20"/>
          <w:szCs w:val="20"/>
          <w:lang w:eastAsia="en-US"/>
        </w:rPr>
        <w:t xml:space="preserve"> Registral Chalco</w:t>
      </w:r>
      <w:r w:rsidRPr="004D25FE">
        <w:rPr>
          <w:rFonts w:ascii="HelveticaNeueLT Std" w:eastAsiaTheme="minorHAnsi" w:hAnsi="HelveticaNeueLT Std" w:cs="Arial"/>
          <w:sz w:val="20"/>
          <w:szCs w:val="20"/>
          <w:lang w:eastAsia="en-US"/>
        </w:rPr>
        <w:t>.</w:t>
      </w:r>
    </w:p>
    <w:p w:rsidR="00C87A6A" w:rsidRPr="004D25FE" w:rsidRDefault="00C87A6A" w:rsidP="00C87A6A">
      <w:pPr>
        <w:spacing w:after="0" w:line="276" w:lineRule="auto"/>
        <w:ind w:left="360" w:right="-1"/>
        <w:jc w:val="both"/>
        <w:rPr>
          <w:rFonts w:cs="Arial"/>
          <w:b/>
        </w:rPr>
      </w:pPr>
    </w:p>
    <w:p w:rsidR="00C87A6A" w:rsidRPr="004D25FE" w:rsidRDefault="00C87A6A" w:rsidP="00C87A6A">
      <w:pPr>
        <w:spacing w:line="276" w:lineRule="auto"/>
        <w:ind w:right="-1"/>
        <w:jc w:val="both"/>
        <w:outlineLvl w:val="0"/>
        <w:rPr>
          <w:rFonts w:cs="Arial"/>
          <w:b/>
        </w:rPr>
      </w:pPr>
      <w:r w:rsidRPr="004D25FE">
        <w:rPr>
          <w:rFonts w:cs="Arial"/>
          <w:b/>
        </w:rPr>
        <w:t>Pasivo Circulante</w:t>
      </w:r>
    </w:p>
    <w:p w:rsidR="00C87A6A" w:rsidRPr="004D25FE" w:rsidRDefault="00C87A6A" w:rsidP="004842BC">
      <w:pPr>
        <w:pStyle w:val="Prrafodelista"/>
        <w:numPr>
          <w:ilvl w:val="0"/>
          <w:numId w:val="1"/>
        </w:numPr>
        <w:spacing w:line="276" w:lineRule="auto"/>
        <w:ind w:right="-1"/>
        <w:jc w:val="both"/>
        <w:outlineLvl w:val="0"/>
        <w:rPr>
          <w:rFonts w:cs="Arial"/>
          <w:sz w:val="22"/>
          <w:szCs w:val="22"/>
        </w:rPr>
      </w:pPr>
      <w:r w:rsidRPr="004D25FE">
        <w:rPr>
          <w:rFonts w:ascii="HelveticaNeueLT Std" w:eastAsiaTheme="minorHAnsi" w:hAnsi="HelveticaNeueLT Std" w:cs="Arial"/>
          <w:b/>
          <w:sz w:val="20"/>
          <w:szCs w:val="20"/>
          <w:lang w:eastAsia="en-US"/>
        </w:rPr>
        <w:t>Cuentas por Pagar a Corto Plazo:</w:t>
      </w:r>
      <w:r w:rsidRPr="004D25FE">
        <w:rPr>
          <w:rFonts w:cs="Arial"/>
          <w:b/>
          <w:sz w:val="22"/>
          <w:szCs w:val="22"/>
        </w:rPr>
        <w:t xml:space="preserve"> </w:t>
      </w:r>
      <w:r w:rsidRPr="004D25FE">
        <w:rPr>
          <w:rFonts w:ascii="HelveticaNeueLT Std" w:hAnsi="HelveticaNeueLT Std" w:cs="Arial"/>
          <w:sz w:val="20"/>
          <w:szCs w:val="20"/>
        </w:rPr>
        <w:t xml:space="preserve">El saldo de este rubro </w:t>
      </w:r>
      <w:r w:rsidRPr="004D25FE">
        <w:rPr>
          <w:rFonts w:ascii="HelveticaNeueLT Std" w:hAnsi="HelveticaNeueLT Std" w:cs="Arial"/>
          <w:color w:val="000000" w:themeColor="text1"/>
          <w:sz w:val="20"/>
          <w:szCs w:val="20"/>
        </w:rPr>
        <w:t xml:space="preserve">por </w:t>
      </w:r>
      <w:r w:rsidR="004842BC" w:rsidRPr="004D25FE">
        <w:rPr>
          <w:rFonts w:ascii="HelveticaNeueLT Std" w:hAnsi="HelveticaNeueLT Std" w:cs="Arial"/>
          <w:color w:val="000000" w:themeColor="text1"/>
          <w:sz w:val="20"/>
          <w:szCs w:val="20"/>
        </w:rPr>
        <w:t>17,785,630.13</w:t>
      </w:r>
      <w:r w:rsidRPr="004D25FE">
        <w:rPr>
          <w:rFonts w:ascii="HelveticaNeueLT Std" w:hAnsi="HelveticaNeueLT Std" w:cs="Arial"/>
          <w:color w:val="000000" w:themeColor="text1"/>
          <w:sz w:val="20"/>
          <w:szCs w:val="20"/>
        </w:rPr>
        <w:t xml:space="preserve">, </w:t>
      </w:r>
      <w:r w:rsidRPr="004D25FE">
        <w:rPr>
          <w:rFonts w:ascii="HelveticaNeueLT Std" w:hAnsi="HelveticaNeueLT Std" w:cs="Arial"/>
          <w:sz w:val="20"/>
          <w:szCs w:val="20"/>
        </w:rPr>
        <w:t>se integra de la forma y con la antigüedad de saldos siguientes:</w:t>
      </w:r>
    </w:p>
    <w:p w:rsidR="00C87A6A" w:rsidRDefault="004842BC" w:rsidP="00C87A6A">
      <w:pPr>
        <w:spacing w:line="276" w:lineRule="auto"/>
        <w:ind w:right="-1"/>
        <w:jc w:val="center"/>
        <w:outlineLvl w:val="0"/>
        <w:rPr>
          <w:rFonts w:cs="Arial"/>
        </w:rPr>
      </w:pPr>
      <w:r w:rsidRPr="004842BC">
        <w:rPr>
          <w:noProof/>
          <w:lang w:eastAsia="es-MX"/>
        </w:rPr>
        <w:drawing>
          <wp:inline distT="0" distB="0" distL="0" distR="0">
            <wp:extent cx="4895850" cy="5340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785" cy="535613"/>
                    </a:xfrm>
                    <a:prstGeom prst="rect">
                      <a:avLst/>
                    </a:prstGeom>
                    <a:noFill/>
                    <a:ln>
                      <a:noFill/>
                    </a:ln>
                  </pic:spPr>
                </pic:pic>
              </a:graphicData>
            </a:graphic>
          </wp:inline>
        </w:drawing>
      </w:r>
    </w:p>
    <w:p w:rsidR="007A0667" w:rsidRPr="004D25FE" w:rsidRDefault="00C87A6A" w:rsidP="00BA4362">
      <w:pPr>
        <w:numPr>
          <w:ilvl w:val="0"/>
          <w:numId w:val="1"/>
        </w:numPr>
        <w:spacing w:after="0" w:line="240" w:lineRule="auto"/>
        <w:contextualSpacing/>
        <w:jc w:val="both"/>
        <w:rPr>
          <w:rFonts w:eastAsia="Times New Roman" w:cs="Times New Roman"/>
          <w:color w:val="000000"/>
          <w:lang w:eastAsia="es-MX"/>
        </w:rPr>
      </w:pPr>
      <w:r w:rsidRPr="004D25FE">
        <w:rPr>
          <w:rFonts w:eastAsia="Times New Roman" w:cs="Arial"/>
          <w:b/>
          <w:lang w:eastAsia="es-MX"/>
        </w:rPr>
        <w:t>Proveedores por Pagar a Corto Plazo. -</w:t>
      </w:r>
      <w:r w:rsidRPr="004D25FE">
        <w:rPr>
          <w:rFonts w:eastAsia="Times New Roman" w:cs="Arial"/>
          <w:lang w:eastAsia="es-MX"/>
        </w:rPr>
        <w:t xml:space="preserve"> </w:t>
      </w:r>
      <w:r w:rsidRPr="004D25FE">
        <w:rPr>
          <w:rFonts w:cs="Arial"/>
        </w:rPr>
        <w:t xml:space="preserve">El saldo </w:t>
      </w:r>
      <w:r w:rsidRPr="004D25FE">
        <w:rPr>
          <w:rFonts w:cs="Arial"/>
          <w:color w:val="000000" w:themeColor="text1"/>
        </w:rPr>
        <w:t xml:space="preserve">de </w:t>
      </w:r>
      <w:r w:rsidR="004842BC" w:rsidRPr="004D25FE">
        <w:rPr>
          <w:rFonts w:cs="Arial"/>
          <w:color w:val="000000" w:themeColor="text1"/>
        </w:rPr>
        <w:t>14,811,206.70</w:t>
      </w:r>
      <w:r w:rsidRPr="004D25FE">
        <w:rPr>
          <w:rFonts w:cs="Arial"/>
          <w:color w:val="000000" w:themeColor="text1"/>
        </w:rPr>
        <w:t xml:space="preserve">, </w:t>
      </w:r>
      <w:r w:rsidRPr="004D25FE">
        <w:rPr>
          <w:rFonts w:cs="Arial"/>
        </w:rPr>
        <w:t xml:space="preserve">representa el importe de las obligaciones de pago, principalmente </w:t>
      </w:r>
      <w:r w:rsidR="007A0667" w:rsidRPr="004D25FE">
        <w:rPr>
          <w:rFonts w:cs="Arial"/>
        </w:rPr>
        <w:t>con los siguientes proveedores;</w:t>
      </w:r>
      <w:r w:rsidRPr="004D25FE">
        <w:rPr>
          <w:rFonts w:cs="Arial"/>
        </w:rPr>
        <w:t xml:space="preserve"> </w:t>
      </w:r>
      <w:r w:rsidR="007A0667" w:rsidRPr="004D25FE">
        <w:rPr>
          <w:rFonts w:cs="Arial"/>
        </w:rPr>
        <w:t xml:space="preserve">Axtel S.A.B. de C.V., Eficiencia de Continuidad de Negocios S.A. de C.V., KPMG Cárdenas </w:t>
      </w:r>
      <w:proofErr w:type="spellStart"/>
      <w:r w:rsidR="007A0667" w:rsidRPr="004D25FE">
        <w:rPr>
          <w:rFonts w:cs="Arial"/>
        </w:rPr>
        <w:t>Dosal</w:t>
      </w:r>
      <w:proofErr w:type="spellEnd"/>
      <w:r w:rsidR="007A0667" w:rsidRPr="004D25FE">
        <w:rPr>
          <w:rFonts w:cs="Arial"/>
        </w:rPr>
        <w:t xml:space="preserve"> S.C., </w:t>
      </w:r>
      <w:proofErr w:type="spellStart"/>
      <w:r w:rsidR="007A0667" w:rsidRPr="004D25FE">
        <w:rPr>
          <w:rFonts w:cs="Arial"/>
        </w:rPr>
        <w:t>Nuuptech</w:t>
      </w:r>
      <w:proofErr w:type="spellEnd"/>
      <w:r w:rsidR="007A0667" w:rsidRPr="004D25FE">
        <w:rPr>
          <w:rFonts w:cs="Arial"/>
        </w:rPr>
        <w:t xml:space="preserve">, S.A. de C.V., </w:t>
      </w:r>
      <w:proofErr w:type="spellStart"/>
      <w:r w:rsidR="007A0667" w:rsidRPr="004D25FE">
        <w:rPr>
          <w:rFonts w:cs="Arial"/>
        </w:rPr>
        <w:t>Enter</w:t>
      </w:r>
      <w:proofErr w:type="spellEnd"/>
      <w:r w:rsidR="007A0667" w:rsidRPr="004D25FE">
        <w:rPr>
          <w:rFonts w:cs="Arial"/>
        </w:rPr>
        <w:t xml:space="preserve"> Computadoras </w:t>
      </w:r>
      <w:proofErr w:type="gramStart"/>
      <w:r w:rsidR="007A0667" w:rsidRPr="004D25FE">
        <w:rPr>
          <w:rFonts w:cs="Arial"/>
        </w:rPr>
        <w:t>S.A</w:t>
      </w:r>
      <w:proofErr w:type="gramEnd"/>
      <w:r w:rsidR="007A0667" w:rsidRPr="004D25FE">
        <w:rPr>
          <w:rFonts w:cs="Arial"/>
        </w:rPr>
        <w:t xml:space="preserve"> de C.V.,  </w:t>
      </w:r>
      <w:r w:rsidR="00A75A88" w:rsidRPr="004D25FE">
        <w:rPr>
          <w:rFonts w:cs="Arial"/>
        </w:rPr>
        <w:t xml:space="preserve">Grupo T&amp;C </w:t>
      </w:r>
      <w:proofErr w:type="spellStart"/>
      <w:r w:rsidR="00A75A88" w:rsidRPr="004D25FE">
        <w:rPr>
          <w:rFonts w:cs="Arial"/>
        </w:rPr>
        <w:t>Tele&amp;com</w:t>
      </w:r>
      <w:proofErr w:type="spellEnd"/>
      <w:r w:rsidR="00A75A88" w:rsidRPr="004D25FE">
        <w:rPr>
          <w:rFonts w:cs="Arial"/>
        </w:rPr>
        <w:t xml:space="preserve"> </w:t>
      </w:r>
      <w:proofErr w:type="spellStart"/>
      <w:r w:rsidR="00A75A88" w:rsidRPr="004D25FE">
        <w:rPr>
          <w:rFonts w:cs="Arial"/>
        </w:rPr>
        <w:t>S.A.de</w:t>
      </w:r>
      <w:proofErr w:type="spellEnd"/>
      <w:r w:rsidR="00A75A88" w:rsidRPr="004D25FE">
        <w:rPr>
          <w:rFonts w:cs="Arial"/>
        </w:rPr>
        <w:t xml:space="preserve"> C.V., y </w:t>
      </w:r>
      <w:proofErr w:type="spellStart"/>
      <w:r w:rsidR="00A75A88" w:rsidRPr="004D25FE">
        <w:rPr>
          <w:rFonts w:cs="Arial"/>
        </w:rPr>
        <w:t>Tech</w:t>
      </w:r>
      <w:proofErr w:type="spellEnd"/>
      <w:r w:rsidR="00A75A88" w:rsidRPr="004D25FE">
        <w:rPr>
          <w:rFonts w:cs="Arial"/>
        </w:rPr>
        <w:t xml:space="preserve">-Pro S.A. de C.V. </w:t>
      </w:r>
    </w:p>
    <w:p w:rsidR="00A75A88" w:rsidRPr="004D25FE" w:rsidRDefault="00A75A88" w:rsidP="00A75A88">
      <w:pPr>
        <w:spacing w:after="0" w:line="240" w:lineRule="auto"/>
        <w:ind w:left="502"/>
        <w:contextualSpacing/>
        <w:jc w:val="both"/>
        <w:rPr>
          <w:rFonts w:eastAsia="Times New Roman" w:cs="Times New Roman"/>
          <w:color w:val="000000"/>
          <w:lang w:eastAsia="es-MX"/>
        </w:rPr>
      </w:pPr>
    </w:p>
    <w:p w:rsidR="00C87A6A" w:rsidRPr="004D25FE" w:rsidRDefault="00C87A6A" w:rsidP="00BA4362">
      <w:pPr>
        <w:numPr>
          <w:ilvl w:val="0"/>
          <w:numId w:val="1"/>
        </w:numPr>
        <w:spacing w:after="0" w:line="276" w:lineRule="auto"/>
        <w:ind w:right="-1"/>
        <w:contextualSpacing/>
        <w:jc w:val="both"/>
        <w:rPr>
          <w:rFonts w:eastAsia="Times New Roman" w:cs="Arial"/>
          <w:lang w:eastAsia="es-MX"/>
        </w:rPr>
      </w:pPr>
      <w:r w:rsidRPr="004D25FE">
        <w:rPr>
          <w:rFonts w:eastAsia="Times New Roman" w:cs="Arial"/>
          <w:b/>
          <w:lang w:eastAsia="es-MX"/>
        </w:rPr>
        <w:t>Retenciones y Contribuciones por Pagar a Corto Plazo. -</w:t>
      </w:r>
      <w:r w:rsidRPr="004D25FE">
        <w:rPr>
          <w:rFonts w:eastAsia="Times New Roman" w:cs="Arial"/>
          <w:lang w:eastAsia="es-MX"/>
        </w:rPr>
        <w:t xml:space="preserve"> El saldo </w:t>
      </w:r>
      <w:r w:rsidRPr="004D25FE">
        <w:rPr>
          <w:rFonts w:eastAsia="Times New Roman" w:cs="Arial"/>
          <w:color w:val="000000" w:themeColor="text1"/>
          <w:lang w:eastAsia="es-MX"/>
        </w:rPr>
        <w:t xml:space="preserve">de </w:t>
      </w:r>
      <w:r w:rsidR="00A75A88" w:rsidRPr="004D25FE">
        <w:rPr>
          <w:rFonts w:eastAsia="Times New Roman" w:cs="Arial"/>
          <w:color w:val="000000" w:themeColor="text1"/>
          <w:lang w:eastAsia="es-MX"/>
        </w:rPr>
        <w:t>1,143,098.37</w:t>
      </w:r>
      <w:r w:rsidRPr="004D25FE">
        <w:rPr>
          <w:rFonts w:eastAsia="Times New Roman" w:cs="Arial"/>
          <w:color w:val="000000" w:themeColor="text1"/>
          <w:lang w:eastAsia="es-MX"/>
        </w:rPr>
        <w:t xml:space="preserve">, representa </w:t>
      </w:r>
      <w:r w:rsidRPr="004D25FE">
        <w:rPr>
          <w:rFonts w:eastAsia="Times New Roman" w:cs="Arial"/>
          <w:lang w:eastAsia="es-MX"/>
        </w:rPr>
        <w:t>el importe de las retenciones pe</w:t>
      </w:r>
      <w:r w:rsidR="005564DB" w:rsidRPr="004D25FE">
        <w:rPr>
          <w:rFonts w:eastAsia="Times New Roman" w:cs="Arial"/>
          <w:lang w:eastAsia="es-MX"/>
        </w:rPr>
        <w:t>ndientes de pag</w:t>
      </w:r>
      <w:r w:rsidR="00606708" w:rsidRPr="004D25FE">
        <w:rPr>
          <w:rFonts w:eastAsia="Times New Roman" w:cs="Arial"/>
          <w:lang w:eastAsia="es-MX"/>
        </w:rPr>
        <w:t>o</w:t>
      </w:r>
      <w:r w:rsidR="005564DB" w:rsidRPr="004D25FE">
        <w:rPr>
          <w:rFonts w:eastAsia="Times New Roman" w:cs="Arial"/>
          <w:lang w:eastAsia="es-MX"/>
        </w:rPr>
        <w:t xml:space="preserve"> principalmente retenciones de </w:t>
      </w:r>
      <w:r w:rsidR="00A75A88" w:rsidRPr="004D25FE">
        <w:rPr>
          <w:rFonts w:eastAsia="Times New Roman" w:cs="Arial"/>
          <w:lang w:eastAsia="es-MX"/>
        </w:rPr>
        <w:t>Impuesto Sobre la Renta (I.S.R.)</w:t>
      </w:r>
      <w:r w:rsidRPr="004D25FE">
        <w:rPr>
          <w:rFonts w:eastAsia="Times New Roman" w:cs="Arial"/>
          <w:lang w:eastAsia="es-MX"/>
        </w:rPr>
        <w:t>.</w:t>
      </w:r>
    </w:p>
    <w:p w:rsidR="00C87A6A" w:rsidRPr="007E2E82" w:rsidRDefault="00C87A6A" w:rsidP="00C87A6A">
      <w:pPr>
        <w:spacing w:after="0" w:line="240" w:lineRule="auto"/>
        <w:contextualSpacing/>
        <w:jc w:val="both"/>
        <w:rPr>
          <w:rFonts w:eastAsia="Times New Roman" w:cs="Arial"/>
          <w:sz w:val="24"/>
          <w:szCs w:val="24"/>
          <w:lang w:eastAsia="es-MX"/>
        </w:rPr>
      </w:pPr>
    </w:p>
    <w:p w:rsidR="00C87A6A" w:rsidRPr="004D25FE" w:rsidRDefault="00C87A6A" w:rsidP="00BA4362">
      <w:pPr>
        <w:numPr>
          <w:ilvl w:val="0"/>
          <w:numId w:val="1"/>
        </w:numPr>
        <w:spacing w:after="0" w:line="276" w:lineRule="auto"/>
        <w:ind w:right="-1"/>
        <w:jc w:val="both"/>
        <w:rPr>
          <w:rFonts w:cs="Arial"/>
        </w:rPr>
      </w:pPr>
      <w:r w:rsidRPr="004D25FE">
        <w:rPr>
          <w:rFonts w:cs="Arial"/>
          <w:b/>
        </w:rPr>
        <w:t>Otras Cuentas por Pagar a Corto Plazo. -</w:t>
      </w:r>
      <w:r w:rsidR="00AA4279" w:rsidRPr="004D25FE">
        <w:rPr>
          <w:rFonts w:cs="Arial"/>
        </w:rPr>
        <w:t xml:space="preserve"> El saldo de </w:t>
      </w:r>
      <w:r w:rsidR="00A75A88" w:rsidRPr="004D25FE">
        <w:rPr>
          <w:rFonts w:cs="Arial"/>
          <w:color w:val="000000" w:themeColor="text1"/>
        </w:rPr>
        <w:t>1,831,325.06</w:t>
      </w:r>
      <w:r w:rsidRPr="004D25FE">
        <w:rPr>
          <w:rFonts w:cs="Arial"/>
          <w:color w:val="002060"/>
        </w:rPr>
        <w:t xml:space="preserve">, </w:t>
      </w:r>
      <w:r w:rsidRPr="004D25FE">
        <w:rPr>
          <w:rFonts w:cs="Arial"/>
        </w:rPr>
        <w:t>en este mes representa princi</w:t>
      </w:r>
      <w:r w:rsidR="00A75A88" w:rsidRPr="004D25FE">
        <w:rPr>
          <w:rFonts w:cs="Arial"/>
        </w:rPr>
        <w:t>palmente</w:t>
      </w:r>
      <w:r w:rsidR="000968F8" w:rsidRPr="004D25FE">
        <w:rPr>
          <w:rFonts w:cs="Arial"/>
        </w:rPr>
        <w:t xml:space="preserve"> </w:t>
      </w:r>
      <w:proofErr w:type="spellStart"/>
      <w:r w:rsidR="000968F8" w:rsidRPr="004D25FE">
        <w:rPr>
          <w:rFonts w:cs="Arial"/>
        </w:rPr>
        <w:t>reconocimienots</w:t>
      </w:r>
      <w:proofErr w:type="spellEnd"/>
      <w:r w:rsidR="000968F8" w:rsidRPr="004D25FE">
        <w:rPr>
          <w:rFonts w:cs="Arial"/>
        </w:rPr>
        <w:t xml:space="preserve"> a servidores públicos,</w:t>
      </w:r>
      <w:r w:rsidR="00A75A88" w:rsidRPr="004D25FE">
        <w:rPr>
          <w:rFonts w:cs="Arial"/>
        </w:rPr>
        <w:t xml:space="preserve"> </w:t>
      </w:r>
      <w:r w:rsidR="000968F8" w:rsidRPr="004D25FE">
        <w:rPr>
          <w:rFonts w:cs="Arial"/>
        </w:rPr>
        <w:t xml:space="preserve">retenciones de pago y </w:t>
      </w:r>
      <w:r w:rsidR="00A75A88" w:rsidRPr="004D25FE">
        <w:rPr>
          <w:rFonts w:cs="Arial"/>
        </w:rPr>
        <w:t>devoluciones de ingresos indebidos</w:t>
      </w:r>
      <w:r w:rsidRPr="004D25FE">
        <w:rPr>
          <w:rFonts w:cs="Arial"/>
          <w:color w:val="000000" w:themeColor="text1"/>
        </w:rPr>
        <w:t>.</w:t>
      </w:r>
    </w:p>
    <w:p w:rsidR="0059721A" w:rsidRPr="004D25FE" w:rsidRDefault="0059721A" w:rsidP="0059721A">
      <w:pPr>
        <w:spacing w:after="0" w:line="276" w:lineRule="auto"/>
        <w:ind w:right="-1"/>
        <w:jc w:val="both"/>
        <w:rPr>
          <w:rFonts w:cs="Arial"/>
          <w:b/>
        </w:rPr>
      </w:pPr>
    </w:p>
    <w:p w:rsidR="00C87A6A" w:rsidRPr="004D25FE" w:rsidRDefault="00C87A6A" w:rsidP="00C87A6A">
      <w:pPr>
        <w:spacing w:line="276" w:lineRule="auto"/>
        <w:ind w:right="-1"/>
        <w:jc w:val="both"/>
        <w:outlineLvl w:val="0"/>
        <w:rPr>
          <w:rFonts w:cs="Arial"/>
          <w:b/>
        </w:rPr>
      </w:pPr>
      <w:r w:rsidRPr="004D25FE">
        <w:rPr>
          <w:rFonts w:cs="Arial"/>
          <w:b/>
        </w:rPr>
        <w:t>Pasivo No Circulante</w:t>
      </w:r>
    </w:p>
    <w:p w:rsidR="00C87A6A" w:rsidRPr="004D25FE" w:rsidRDefault="00C87A6A" w:rsidP="00C87A6A">
      <w:pPr>
        <w:spacing w:after="0" w:line="276" w:lineRule="auto"/>
        <w:ind w:right="-1"/>
        <w:contextualSpacing/>
        <w:jc w:val="both"/>
        <w:outlineLvl w:val="0"/>
        <w:rPr>
          <w:rFonts w:eastAsia="Times New Roman" w:cs="Arial"/>
          <w:lang w:eastAsia="es-MX"/>
        </w:rPr>
      </w:pPr>
      <w:r w:rsidRPr="004D25FE">
        <w:rPr>
          <w:rFonts w:eastAsia="Times New Roman" w:cs="Arial"/>
          <w:b/>
          <w:lang w:eastAsia="es-MX"/>
        </w:rPr>
        <w:t>Documentos por Pagar a Largo Plazo</w:t>
      </w:r>
      <w:r w:rsidRPr="004D25FE">
        <w:rPr>
          <w:rFonts w:eastAsia="Times New Roman" w:cs="Arial"/>
          <w:lang w:eastAsia="es-MX"/>
        </w:rPr>
        <w:t>. - Se integra por:</w:t>
      </w:r>
    </w:p>
    <w:p w:rsidR="00C87A6A" w:rsidRPr="004D25FE" w:rsidRDefault="00C87A6A" w:rsidP="00C87A6A">
      <w:pPr>
        <w:spacing w:after="0" w:line="276" w:lineRule="auto"/>
        <w:ind w:left="360" w:right="-1"/>
        <w:contextualSpacing/>
        <w:jc w:val="both"/>
        <w:outlineLvl w:val="0"/>
        <w:rPr>
          <w:rFonts w:eastAsia="Times New Roman" w:cs="Arial"/>
          <w:sz w:val="24"/>
          <w:szCs w:val="24"/>
          <w:lang w:eastAsia="es-MX"/>
        </w:rPr>
      </w:pPr>
    </w:p>
    <w:p w:rsidR="00674801" w:rsidRDefault="00C87A6A" w:rsidP="00BA4362">
      <w:pPr>
        <w:numPr>
          <w:ilvl w:val="0"/>
          <w:numId w:val="1"/>
        </w:numPr>
        <w:spacing w:after="0" w:line="276" w:lineRule="auto"/>
        <w:ind w:right="-1"/>
        <w:jc w:val="both"/>
        <w:rPr>
          <w:rFonts w:cs="Arial"/>
        </w:rPr>
      </w:pPr>
      <w:r w:rsidRPr="004D25FE">
        <w:rPr>
          <w:rFonts w:cs="Arial"/>
          <w:b/>
        </w:rPr>
        <w:t>Documentos Comerciales por Pagar a Largo Plazo.-</w:t>
      </w:r>
      <w:r w:rsidRPr="007E2E82">
        <w:rPr>
          <w:rFonts w:cs="Arial"/>
          <w:b/>
        </w:rPr>
        <w:t xml:space="preserve"> </w:t>
      </w:r>
      <w:r w:rsidRPr="007E2E82">
        <w:rPr>
          <w:rFonts w:cs="Arial"/>
        </w:rPr>
        <w:t xml:space="preserve">El saldo de </w:t>
      </w:r>
      <w:r w:rsidR="002F7CAF" w:rsidRPr="002F7CAF">
        <w:rPr>
          <w:rFonts w:cs="Arial"/>
          <w:color w:val="000000" w:themeColor="text1"/>
        </w:rPr>
        <w:t>5,236,366,151.49</w:t>
      </w:r>
      <w:r w:rsidR="002F7CAF">
        <w:rPr>
          <w:rFonts w:cs="Arial"/>
          <w:color w:val="000000" w:themeColor="text1"/>
        </w:rPr>
        <w:t xml:space="preserve"> </w:t>
      </w:r>
      <w:r w:rsidRPr="007E2E82">
        <w:rPr>
          <w:rFonts w:cs="Arial"/>
        </w:rPr>
        <w:t xml:space="preserve">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 del </w:t>
      </w:r>
      <w:r>
        <w:rPr>
          <w:rFonts w:cs="Arial"/>
        </w:rPr>
        <w:t>IFREM</w:t>
      </w:r>
      <w:r w:rsidRPr="007E2E82">
        <w:rPr>
          <w:rFonts w:cs="Arial"/>
        </w:rPr>
        <w:t>, de acuerdo al Decreto de Autorización No. 79 publicado en la Gaceta del Gobierno de fecha 12 de mayo del 2010.</w:t>
      </w:r>
      <w:r>
        <w:rPr>
          <w:rFonts w:cs="Arial"/>
        </w:rPr>
        <w:t xml:space="preserve"> La variación en este mes corresponde a la transferencia para el pago de la amortización correspondiente al segundo periodo del presente ejercicio de las emisiones de los CEBUR’S.</w:t>
      </w:r>
      <w:r w:rsidR="00563832" w:rsidRPr="007E2E82">
        <w:rPr>
          <w:rFonts w:cs="Arial"/>
        </w:rPr>
        <w:t xml:space="preserve"> </w:t>
      </w:r>
    </w:p>
    <w:p w:rsidR="00BA55A8" w:rsidRDefault="00BA55A8" w:rsidP="00BA55A8">
      <w:pPr>
        <w:spacing w:after="0" w:line="276" w:lineRule="auto"/>
        <w:ind w:left="502" w:right="-1"/>
        <w:jc w:val="both"/>
        <w:rPr>
          <w:rFonts w:cs="Arial"/>
        </w:rPr>
      </w:pPr>
    </w:p>
    <w:p w:rsidR="00BA55A8" w:rsidRPr="004D25FE" w:rsidRDefault="00BA55A8" w:rsidP="00BA55A8">
      <w:pPr>
        <w:numPr>
          <w:ilvl w:val="0"/>
          <w:numId w:val="6"/>
        </w:numPr>
        <w:spacing w:before="240" w:after="240" w:line="276" w:lineRule="auto"/>
        <w:ind w:right="-1"/>
        <w:contextualSpacing/>
        <w:outlineLvl w:val="0"/>
        <w:rPr>
          <w:rFonts w:eastAsia="Times New Roman" w:cs="Arial"/>
          <w:b/>
          <w:lang w:eastAsia="es-MX"/>
        </w:rPr>
      </w:pPr>
      <w:r w:rsidRPr="004D25FE">
        <w:rPr>
          <w:rFonts w:eastAsia="Times New Roman" w:cs="Arial"/>
          <w:b/>
          <w:lang w:eastAsia="es-MX"/>
        </w:rPr>
        <w:t>NOTAS AL ESTADO DE ACTIVIDADES</w:t>
      </w:r>
    </w:p>
    <w:p w:rsidR="006438DB" w:rsidRPr="004D25FE" w:rsidRDefault="006438DB" w:rsidP="006438DB">
      <w:pPr>
        <w:spacing w:before="240" w:after="240" w:line="276" w:lineRule="auto"/>
        <w:ind w:left="1068" w:right="-1"/>
        <w:contextualSpacing/>
        <w:outlineLvl w:val="0"/>
        <w:rPr>
          <w:rFonts w:eastAsia="Times New Roman" w:cs="Arial"/>
          <w:b/>
          <w:lang w:eastAsia="es-MX"/>
        </w:rPr>
      </w:pPr>
    </w:p>
    <w:p w:rsidR="00BA55A8" w:rsidRPr="004D25FE" w:rsidRDefault="00BA55A8" w:rsidP="00BA55A8">
      <w:pPr>
        <w:spacing w:before="240" w:after="240" w:line="276" w:lineRule="auto"/>
        <w:ind w:left="1068" w:right="-1"/>
        <w:contextualSpacing/>
        <w:outlineLvl w:val="0"/>
        <w:rPr>
          <w:rFonts w:eastAsia="Times New Roman" w:cs="Arial"/>
          <w:b/>
          <w:sz w:val="16"/>
          <w:lang w:eastAsia="es-MX"/>
        </w:rPr>
      </w:pPr>
    </w:p>
    <w:p w:rsidR="00BA55A8" w:rsidRPr="004D25FE" w:rsidRDefault="00BA55A8" w:rsidP="00BA55A8">
      <w:pPr>
        <w:spacing w:line="276" w:lineRule="auto"/>
        <w:ind w:right="-1"/>
        <w:jc w:val="both"/>
        <w:outlineLvl w:val="0"/>
        <w:rPr>
          <w:rFonts w:cs="Arial"/>
          <w:b/>
        </w:rPr>
      </w:pPr>
      <w:r w:rsidRPr="004D25FE">
        <w:rPr>
          <w:rFonts w:cs="Arial"/>
          <w:b/>
        </w:rPr>
        <w:t>Ingresos de la Gestión:</w:t>
      </w:r>
    </w:p>
    <w:p w:rsidR="00BA55A8" w:rsidRPr="004D25FE" w:rsidRDefault="00BA55A8" w:rsidP="00BA55A8">
      <w:pPr>
        <w:numPr>
          <w:ilvl w:val="0"/>
          <w:numId w:val="18"/>
        </w:numPr>
        <w:spacing w:after="0" w:line="276" w:lineRule="auto"/>
        <w:ind w:right="-1"/>
        <w:contextualSpacing/>
        <w:jc w:val="both"/>
        <w:rPr>
          <w:rFonts w:eastAsia="Times New Roman" w:cs="Arial"/>
          <w:b/>
          <w:lang w:eastAsia="es-MX"/>
        </w:rPr>
      </w:pPr>
      <w:r w:rsidRPr="004D25FE">
        <w:rPr>
          <w:rFonts w:eastAsia="Times New Roman" w:cs="Arial"/>
          <w:b/>
          <w:lang w:eastAsia="es-MX"/>
        </w:rPr>
        <w:t xml:space="preserve">Derechos. - </w:t>
      </w:r>
      <w:r w:rsidRPr="004D25FE">
        <w:rPr>
          <w:rFonts w:eastAsia="Times New Roman" w:cs="Arial"/>
          <w:lang w:eastAsia="es-MX"/>
        </w:rPr>
        <w:t>Los Ingresos de Gestión por los Derechos de los servicios prestados por el Instituto, en el mes fueron por la cantidad de 182, 538, 349.00 obteniendo una recaudación en los recursos del Registro Público de la Propiedad (RPP) por 180, 115, 242.00 y los recursos del Registro Público del Comercio (RPC) por 2, 423, 107. Al mes se lleva un total acumulado por 1,514,854, 580.00</w:t>
      </w:r>
    </w:p>
    <w:p w:rsidR="00BA55A8" w:rsidRPr="004D25FE" w:rsidRDefault="00BA55A8" w:rsidP="00BA55A8">
      <w:pPr>
        <w:spacing w:after="0" w:line="276" w:lineRule="auto"/>
        <w:ind w:right="-1"/>
        <w:jc w:val="both"/>
        <w:rPr>
          <w:rFonts w:cs="Arial"/>
          <w:sz w:val="16"/>
        </w:rPr>
      </w:pPr>
    </w:p>
    <w:p w:rsidR="00BA55A8" w:rsidRPr="00DA5FD6" w:rsidRDefault="00BA55A8" w:rsidP="00BA55A8">
      <w:pPr>
        <w:numPr>
          <w:ilvl w:val="0"/>
          <w:numId w:val="18"/>
        </w:numPr>
        <w:spacing w:after="0" w:line="276" w:lineRule="auto"/>
        <w:ind w:right="-1"/>
        <w:contextualSpacing/>
        <w:jc w:val="both"/>
        <w:rPr>
          <w:rFonts w:eastAsia="Times New Roman" w:cs="Arial"/>
          <w:sz w:val="24"/>
          <w:szCs w:val="24"/>
          <w:lang w:eastAsia="es-MX"/>
        </w:rPr>
      </w:pPr>
      <w:r w:rsidRPr="004D25FE">
        <w:rPr>
          <w:rFonts w:eastAsia="Times New Roman" w:cs="Arial"/>
          <w:b/>
          <w:lang w:eastAsia="es-MX"/>
        </w:rPr>
        <w:t>Participaciones, Aportaciones, Convenios, Incentivos Derivados de la Colaboración Fiscal, Fondos Distintos de Aportaciones, Transferencias, Asignaciones</w:t>
      </w:r>
      <w:r w:rsidRPr="004A1CA2">
        <w:rPr>
          <w:rFonts w:eastAsia="Times New Roman" w:cs="Arial"/>
          <w:b/>
          <w:lang w:eastAsia="es-MX"/>
        </w:rPr>
        <w:t>, Subsidios y Subvencione</w:t>
      </w:r>
      <w:r>
        <w:rPr>
          <w:rFonts w:eastAsia="Times New Roman" w:cs="Arial"/>
          <w:b/>
          <w:lang w:eastAsia="es-MX"/>
        </w:rPr>
        <w:t>s, y Pensiones y Jubilaciones</w:t>
      </w:r>
      <w:r w:rsidRPr="00DA5FD6">
        <w:rPr>
          <w:rFonts w:eastAsia="Times New Roman" w:cs="Arial"/>
          <w:lang w:eastAsia="es-MX"/>
        </w:rPr>
        <w:t>. - E</w:t>
      </w:r>
      <w:r>
        <w:rPr>
          <w:rFonts w:eastAsia="Times New Roman" w:cs="Arial"/>
          <w:lang w:eastAsia="es-MX"/>
        </w:rPr>
        <w:t>l saldo al mes es de 34,</w:t>
      </w:r>
      <w:r w:rsidRPr="00DA5FD6">
        <w:rPr>
          <w:rFonts w:eastAsia="Times New Roman" w:cs="Arial"/>
          <w:lang w:eastAsia="es-MX"/>
        </w:rPr>
        <w:t xml:space="preserve"> 568</w:t>
      </w:r>
      <w:r>
        <w:rPr>
          <w:rFonts w:eastAsia="Times New Roman" w:cs="Arial"/>
          <w:lang w:eastAsia="es-MX"/>
        </w:rPr>
        <w:t>, 177.69</w:t>
      </w:r>
      <w:r w:rsidRPr="00DA5FD6">
        <w:rPr>
          <w:rFonts w:eastAsia="Times New Roman" w:cs="Arial"/>
          <w:lang w:eastAsia="es-MX"/>
        </w:rPr>
        <w:t>, se encuentran en el comprometido y se van devengado junto con el recaudado mensualmente, corresponden al Programa Regularización de la Tenencia de la Tierra del PAD</w:t>
      </w:r>
      <w:r w:rsidRPr="00DA5FD6">
        <w:rPr>
          <w:rFonts w:eastAsia="Times New Roman" w:cs="Arial"/>
          <w:sz w:val="24"/>
          <w:szCs w:val="24"/>
          <w:lang w:eastAsia="es-MX"/>
        </w:rPr>
        <w:t>.</w:t>
      </w:r>
    </w:p>
    <w:p w:rsidR="00BA55A8" w:rsidRPr="004E50D3" w:rsidRDefault="00BA55A8" w:rsidP="00BA55A8">
      <w:pPr>
        <w:spacing w:after="0" w:line="276" w:lineRule="auto"/>
        <w:ind w:right="-1"/>
        <w:contextualSpacing/>
        <w:jc w:val="both"/>
        <w:rPr>
          <w:rFonts w:eastAsia="Times New Roman" w:cs="Arial"/>
          <w:sz w:val="14"/>
          <w:szCs w:val="24"/>
          <w:lang w:eastAsia="es-MX"/>
        </w:rPr>
      </w:pPr>
    </w:p>
    <w:p w:rsidR="00BA55A8" w:rsidRPr="004E50D3" w:rsidRDefault="00BA55A8" w:rsidP="00BA55A8">
      <w:pPr>
        <w:numPr>
          <w:ilvl w:val="0"/>
          <w:numId w:val="18"/>
        </w:numPr>
        <w:spacing w:after="0" w:line="276" w:lineRule="auto"/>
        <w:ind w:right="-1"/>
        <w:contextualSpacing/>
        <w:jc w:val="both"/>
        <w:rPr>
          <w:rFonts w:eastAsia="Times New Roman" w:cs="Arial"/>
          <w:b/>
          <w:lang w:eastAsia="es-MX"/>
        </w:rPr>
      </w:pPr>
      <w:r w:rsidRPr="004E50D3">
        <w:rPr>
          <w:rFonts w:eastAsia="Times New Roman" w:cs="Arial"/>
          <w:b/>
          <w:lang w:eastAsia="es-MX"/>
        </w:rPr>
        <w:t>Otros Ingresos y Beneficios:</w:t>
      </w:r>
      <w:r w:rsidRPr="004E50D3">
        <w:rPr>
          <w:rFonts w:eastAsia="Times New Roman" w:cs="Arial"/>
          <w:lang w:eastAsia="es-MX"/>
        </w:rPr>
        <w:t xml:space="preserve"> En el mes se observa un monto de 3</w:t>
      </w:r>
      <w:r w:rsidR="00634018" w:rsidRPr="004E50D3">
        <w:rPr>
          <w:rFonts w:eastAsia="Times New Roman" w:cs="Arial"/>
          <w:lang w:eastAsia="es-MX"/>
        </w:rPr>
        <w:t>,</w:t>
      </w:r>
      <w:r w:rsidRPr="004E50D3">
        <w:rPr>
          <w:rFonts w:eastAsia="Times New Roman" w:cs="Arial"/>
          <w:lang w:eastAsia="es-MX"/>
        </w:rPr>
        <w:t>883,342.98, al mes se tiene un acumulado por 499, 555, 650.45 que corresponden a:</w:t>
      </w:r>
    </w:p>
    <w:p w:rsidR="00BA55A8" w:rsidRPr="004E50D3" w:rsidRDefault="00BA55A8" w:rsidP="00BA55A8">
      <w:pPr>
        <w:spacing w:after="0" w:line="276" w:lineRule="auto"/>
        <w:ind w:right="-1"/>
        <w:jc w:val="both"/>
        <w:rPr>
          <w:rFonts w:cs="Arial"/>
          <w:sz w:val="16"/>
        </w:rPr>
      </w:pPr>
    </w:p>
    <w:p w:rsidR="00BA55A8" w:rsidRPr="004E50D3" w:rsidRDefault="00BA55A8" w:rsidP="00BA55A8">
      <w:pPr>
        <w:spacing w:line="276" w:lineRule="auto"/>
        <w:ind w:left="644" w:right="-1"/>
        <w:jc w:val="both"/>
        <w:outlineLvl w:val="0"/>
        <w:rPr>
          <w:rFonts w:cs="Arial"/>
        </w:rPr>
      </w:pPr>
      <w:r w:rsidRPr="004E50D3">
        <w:rPr>
          <w:rFonts w:cs="Arial"/>
          <w:b/>
        </w:rPr>
        <w:t>Ingresos Financieros</w:t>
      </w:r>
      <w:r w:rsidRPr="004E50D3">
        <w:rPr>
          <w:rFonts w:cs="Arial"/>
        </w:rPr>
        <w:t xml:space="preserve">. - Se observa en el mes un </w:t>
      </w:r>
      <w:r w:rsidR="004E50D3">
        <w:rPr>
          <w:rFonts w:cs="Arial"/>
        </w:rPr>
        <w:t>importe</w:t>
      </w:r>
      <w:r w:rsidRPr="004E50D3">
        <w:rPr>
          <w:rFonts w:cs="Arial"/>
        </w:rPr>
        <w:t xml:space="preserve"> de 1</w:t>
      </w:r>
      <w:r w:rsidR="00634018" w:rsidRPr="004E50D3">
        <w:rPr>
          <w:rFonts w:cs="Arial"/>
        </w:rPr>
        <w:t>,</w:t>
      </w:r>
      <w:r w:rsidRPr="004E50D3">
        <w:rPr>
          <w:rFonts w:cs="Arial"/>
        </w:rPr>
        <w:t>121,747.64, que corresponden</w:t>
      </w:r>
      <w:r w:rsidRPr="004E50D3">
        <w:t xml:space="preserve"> a </w:t>
      </w:r>
      <w:r w:rsidRPr="004E50D3">
        <w:rPr>
          <w:rFonts w:cs="Arial"/>
        </w:rPr>
        <w:t>los intereses de las cuentas bancarias productivas del Instituto. Al mes se tiene un acumulado por 499,555,650.45, principalmente para el pago a la fiduciaria de los (Bonos) intereses.</w:t>
      </w:r>
    </w:p>
    <w:p w:rsidR="00F574F9" w:rsidRPr="004E50D3" w:rsidRDefault="00BA55A8" w:rsidP="00BA55A8">
      <w:pPr>
        <w:spacing w:line="276" w:lineRule="auto"/>
        <w:ind w:left="644" w:right="-1"/>
        <w:jc w:val="both"/>
        <w:outlineLvl w:val="0"/>
      </w:pPr>
      <w:r w:rsidRPr="00F52237">
        <w:rPr>
          <w:rFonts w:cs="Arial"/>
          <w:b/>
        </w:rPr>
        <w:t>Otros Ingresos y Beneficios Varios</w:t>
      </w:r>
      <w:r w:rsidRPr="00F52237">
        <w:rPr>
          <w:rFonts w:cs="Arial"/>
        </w:rPr>
        <w:t xml:space="preserve">. - Se observa </w:t>
      </w:r>
      <w:proofErr w:type="gramStart"/>
      <w:r w:rsidRPr="00F52237">
        <w:rPr>
          <w:rFonts w:cs="Arial"/>
        </w:rPr>
        <w:t>en  el</w:t>
      </w:r>
      <w:proofErr w:type="gramEnd"/>
      <w:r w:rsidRPr="00F52237">
        <w:rPr>
          <w:rFonts w:cs="Arial"/>
        </w:rPr>
        <w:t xml:space="preserve"> mes un </w:t>
      </w:r>
      <w:r w:rsidR="00F52237" w:rsidRPr="00F52237">
        <w:rPr>
          <w:rFonts w:cs="Arial"/>
        </w:rPr>
        <w:t>importe</w:t>
      </w:r>
      <w:r w:rsidRPr="00F52237">
        <w:rPr>
          <w:rFonts w:cs="Arial"/>
        </w:rPr>
        <w:t xml:space="preserve"> por la cantidad de 2</w:t>
      </w:r>
      <w:r w:rsidR="00634018" w:rsidRPr="00F52237">
        <w:rPr>
          <w:rFonts w:cs="Arial"/>
        </w:rPr>
        <w:t>,</w:t>
      </w:r>
      <w:r w:rsidRPr="00F52237">
        <w:rPr>
          <w:rFonts w:cs="Arial"/>
        </w:rPr>
        <w:t>761,595.34. Presenta un saldo acumulado por 3</w:t>
      </w:r>
      <w:r w:rsidR="00634018" w:rsidRPr="00F52237">
        <w:rPr>
          <w:rFonts w:cs="Arial"/>
        </w:rPr>
        <w:t>,</w:t>
      </w:r>
      <w:r w:rsidRPr="00F52237">
        <w:rPr>
          <w:rFonts w:cs="Arial"/>
        </w:rPr>
        <w:t>866,551.07, principalmente por</w:t>
      </w:r>
      <w:r w:rsidR="00F574F9" w:rsidRPr="00F52237">
        <w:rPr>
          <w:rFonts w:cs="Arial"/>
        </w:rPr>
        <w:t xml:space="preserve"> la cancelación de cuentas por pagar, </w:t>
      </w:r>
      <w:r w:rsidRPr="00F52237">
        <w:rPr>
          <w:rFonts w:cs="Arial"/>
        </w:rPr>
        <w:t>depósitos no referenciados, llamadas telefónicas, así como rendimientos de la remesa de los ingresos por RPC, entre otros.</w:t>
      </w:r>
    </w:p>
    <w:p w:rsidR="00F574F9" w:rsidRDefault="00F574F9">
      <w:pPr>
        <w:spacing w:line="259" w:lineRule="auto"/>
      </w:pPr>
      <w:r>
        <w:br w:type="page"/>
      </w:r>
    </w:p>
    <w:p w:rsidR="00BA55A8" w:rsidRPr="004D25FE" w:rsidRDefault="00BA55A8" w:rsidP="00BA55A8">
      <w:pPr>
        <w:spacing w:line="276" w:lineRule="auto"/>
        <w:ind w:right="-1"/>
        <w:jc w:val="both"/>
        <w:outlineLvl w:val="0"/>
        <w:rPr>
          <w:rFonts w:cs="Arial"/>
          <w:b/>
        </w:rPr>
      </w:pPr>
      <w:r w:rsidRPr="004D25FE">
        <w:rPr>
          <w:rFonts w:cs="Arial"/>
          <w:b/>
        </w:rPr>
        <w:t xml:space="preserve">Gastos y Otras Pérdidas: </w:t>
      </w:r>
    </w:p>
    <w:p w:rsidR="00BA55A8" w:rsidRPr="007759F0" w:rsidRDefault="00BA55A8" w:rsidP="00BA55A8">
      <w:pPr>
        <w:pStyle w:val="Prrafodelista"/>
        <w:numPr>
          <w:ilvl w:val="0"/>
          <w:numId w:val="19"/>
        </w:numPr>
        <w:spacing w:line="276" w:lineRule="auto"/>
        <w:ind w:right="-1"/>
        <w:jc w:val="both"/>
        <w:outlineLvl w:val="0"/>
        <w:rPr>
          <w:rFonts w:ascii="HelveticaNeueLT Std" w:eastAsiaTheme="minorHAnsi" w:hAnsi="HelveticaNeueLT Std" w:cs="Arial"/>
          <w:sz w:val="20"/>
          <w:szCs w:val="20"/>
          <w:lang w:eastAsia="en-US"/>
        </w:rPr>
      </w:pPr>
      <w:r w:rsidRPr="004D25FE">
        <w:rPr>
          <w:rFonts w:ascii="HelveticaNeueLT Std" w:eastAsiaTheme="minorHAnsi" w:hAnsi="HelveticaNeueLT Std" w:cs="Arial"/>
          <w:b/>
          <w:sz w:val="20"/>
          <w:szCs w:val="20"/>
          <w:lang w:eastAsia="en-US"/>
        </w:rPr>
        <w:t>Gastos de Funcionamiento</w:t>
      </w:r>
      <w:r w:rsidRPr="004D25FE">
        <w:rPr>
          <w:rFonts w:cs="Arial"/>
        </w:rPr>
        <w:t>.</w:t>
      </w:r>
      <w:r w:rsidRPr="007759F0">
        <w:rPr>
          <w:rFonts w:cs="Arial"/>
        </w:rPr>
        <w:t xml:space="preserve"> - </w:t>
      </w:r>
      <w:r w:rsidRPr="007759F0">
        <w:rPr>
          <w:rFonts w:ascii="HelveticaNeueLT Std" w:eastAsiaTheme="minorHAnsi" w:hAnsi="HelveticaNeueLT Std" w:cs="Arial"/>
          <w:sz w:val="20"/>
          <w:szCs w:val="20"/>
          <w:lang w:eastAsia="en-US"/>
        </w:rPr>
        <w:t xml:space="preserve">Para la operación del Instituto, se han erogado en este mes la cantidad de </w:t>
      </w:r>
      <w:r>
        <w:rPr>
          <w:rFonts w:ascii="HelveticaNeueLT Std" w:eastAsiaTheme="minorHAnsi" w:hAnsi="HelveticaNeueLT Std" w:cs="Arial"/>
          <w:sz w:val="20"/>
          <w:szCs w:val="20"/>
          <w:lang w:eastAsia="en-US"/>
        </w:rPr>
        <w:t>38</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802</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515</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63</w:t>
      </w:r>
      <w:r w:rsidRPr="007759F0">
        <w:rPr>
          <w:rFonts w:ascii="HelveticaNeueLT Std" w:eastAsiaTheme="minorHAnsi" w:hAnsi="HelveticaNeueLT Std" w:cs="Arial"/>
          <w:sz w:val="20"/>
          <w:szCs w:val="20"/>
          <w:lang w:eastAsia="en-US"/>
        </w:rPr>
        <w:t xml:space="preserve">, integrados por: “Servicios Personales” (pagos de la nómina y sus colaterales) un importe de </w:t>
      </w:r>
      <w:r>
        <w:rPr>
          <w:rFonts w:ascii="HelveticaNeueLT Std" w:eastAsiaTheme="minorHAnsi" w:hAnsi="HelveticaNeueLT Std" w:cs="Arial"/>
          <w:sz w:val="20"/>
          <w:szCs w:val="20"/>
          <w:lang w:eastAsia="en-US"/>
        </w:rPr>
        <w:t>16</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980</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646</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55</w:t>
      </w:r>
      <w:r w:rsidRPr="007759F0">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43</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76</w:t>
      </w:r>
      <w:r w:rsidRPr="007759F0">
        <w:rPr>
          <w:rFonts w:ascii="HelveticaNeueLT Std" w:eastAsiaTheme="minorHAnsi" w:hAnsi="HelveticaNeueLT Std" w:cs="Arial"/>
          <w:sz w:val="20"/>
          <w:szCs w:val="20"/>
          <w:lang w:eastAsia="en-US"/>
        </w:rPr>
        <w:t xml:space="preserve"> por ciento, </w:t>
      </w:r>
      <w:r>
        <w:rPr>
          <w:rFonts w:ascii="HelveticaNeueLT Std" w:eastAsiaTheme="minorHAnsi" w:hAnsi="HelveticaNeueLT Std" w:cs="Arial"/>
          <w:sz w:val="20"/>
          <w:szCs w:val="20"/>
          <w:lang w:eastAsia="en-US"/>
        </w:rPr>
        <w:t>20</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158</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695</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04</w:t>
      </w:r>
      <w:r w:rsidRPr="007759F0">
        <w:rPr>
          <w:rFonts w:ascii="HelveticaNeueLT Std" w:eastAsiaTheme="minorHAnsi" w:hAnsi="HelveticaNeueLT Std" w:cs="Arial"/>
          <w:sz w:val="20"/>
          <w:szCs w:val="20"/>
          <w:lang w:eastAsia="en-US"/>
        </w:rPr>
        <w:t xml:space="preserve"> que representa el </w:t>
      </w:r>
      <w:r>
        <w:rPr>
          <w:rFonts w:ascii="HelveticaNeueLT Std" w:eastAsiaTheme="minorHAnsi" w:hAnsi="HelveticaNeueLT Std" w:cs="Arial"/>
          <w:sz w:val="20"/>
          <w:szCs w:val="20"/>
          <w:lang w:eastAsia="en-US"/>
        </w:rPr>
        <w:t>51</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95</w:t>
      </w:r>
      <w:r w:rsidRPr="007759F0">
        <w:rPr>
          <w:rFonts w:ascii="HelveticaNeueLT Std" w:eastAsiaTheme="minorHAnsi" w:hAnsi="HelveticaNeueLT Std" w:cs="Arial"/>
          <w:sz w:val="20"/>
          <w:szCs w:val="20"/>
          <w:lang w:eastAsia="en-US"/>
        </w:rPr>
        <w:t xml:space="preserve"> por ciento por concepto de los “Servicios Generales” y un importe de </w:t>
      </w:r>
      <w:r w:rsidR="006438DB">
        <w:rPr>
          <w:rFonts w:ascii="HelveticaNeueLT Std" w:eastAsiaTheme="minorHAnsi" w:hAnsi="HelveticaNeueLT Std" w:cs="Arial"/>
          <w:sz w:val="20"/>
          <w:szCs w:val="20"/>
          <w:lang w:eastAsia="en-US"/>
        </w:rPr>
        <w:t>1,</w:t>
      </w:r>
      <w:r>
        <w:rPr>
          <w:rFonts w:ascii="HelveticaNeueLT Std" w:eastAsiaTheme="minorHAnsi" w:hAnsi="HelveticaNeueLT Std" w:cs="Arial"/>
          <w:sz w:val="20"/>
          <w:szCs w:val="20"/>
          <w:lang w:eastAsia="en-US"/>
        </w:rPr>
        <w:t>663,174</w:t>
      </w:r>
      <w:r w:rsidRPr="007759F0">
        <w:rPr>
          <w:rFonts w:ascii="HelveticaNeueLT Std" w:eastAsiaTheme="minorHAnsi" w:hAnsi="HelveticaNeueLT Std" w:cs="Arial"/>
          <w:sz w:val="20"/>
          <w:szCs w:val="20"/>
          <w:lang w:eastAsia="en-US"/>
        </w:rPr>
        <w:t>.0</w:t>
      </w:r>
      <w:r>
        <w:rPr>
          <w:rFonts w:ascii="HelveticaNeueLT Std" w:eastAsiaTheme="minorHAnsi" w:hAnsi="HelveticaNeueLT Std" w:cs="Arial"/>
          <w:sz w:val="20"/>
          <w:szCs w:val="20"/>
          <w:lang w:eastAsia="en-US"/>
        </w:rPr>
        <w:t>4</w:t>
      </w:r>
      <w:r w:rsidRPr="007759F0">
        <w:rPr>
          <w:rFonts w:ascii="HelveticaNeueLT Std" w:eastAsiaTheme="minorHAnsi" w:hAnsi="HelveticaNeueLT Std" w:cs="Arial"/>
          <w:sz w:val="20"/>
          <w:szCs w:val="20"/>
          <w:lang w:eastAsia="en-US"/>
        </w:rPr>
        <w:t xml:space="preserve"> por concepto de “Materiales y Suministros” que representa </w:t>
      </w:r>
      <w:r>
        <w:rPr>
          <w:rFonts w:ascii="HelveticaNeueLT Std" w:eastAsiaTheme="minorHAnsi" w:hAnsi="HelveticaNeueLT Std" w:cs="Arial"/>
          <w:sz w:val="20"/>
          <w:szCs w:val="20"/>
          <w:lang w:eastAsia="en-US"/>
        </w:rPr>
        <w:t>4</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29</w:t>
      </w:r>
      <w:r w:rsidRPr="007759F0">
        <w:rPr>
          <w:rFonts w:ascii="HelveticaNeueLT Std" w:eastAsiaTheme="minorHAnsi" w:hAnsi="HelveticaNeueLT Std" w:cs="Arial"/>
          <w:sz w:val="20"/>
          <w:szCs w:val="20"/>
          <w:lang w:eastAsia="en-US"/>
        </w:rPr>
        <w:t xml:space="preserve"> por ciento. Se tiene un acumulado al mes por </w:t>
      </w:r>
      <w:r>
        <w:rPr>
          <w:rFonts w:ascii="HelveticaNeueLT Std" w:eastAsiaTheme="minorHAnsi" w:hAnsi="HelveticaNeueLT Std" w:cs="Arial"/>
          <w:sz w:val="20"/>
          <w:szCs w:val="20"/>
          <w:lang w:eastAsia="en-US"/>
        </w:rPr>
        <w:t>200</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436</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255</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81</w:t>
      </w:r>
      <w:r w:rsidRPr="007759F0">
        <w:rPr>
          <w:rFonts w:ascii="HelveticaNeueLT Std" w:eastAsiaTheme="minorHAnsi" w:hAnsi="HelveticaNeueLT Std" w:cs="Arial"/>
          <w:sz w:val="20"/>
          <w:szCs w:val="20"/>
          <w:lang w:eastAsia="en-US"/>
        </w:rPr>
        <w:t xml:space="preserve"> pesos.</w:t>
      </w:r>
    </w:p>
    <w:p w:rsidR="00BA55A8" w:rsidRPr="00B1318C" w:rsidRDefault="00BA55A8" w:rsidP="00BA55A8">
      <w:pPr>
        <w:spacing w:after="0" w:line="276" w:lineRule="auto"/>
        <w:ind w:left="644" w:right="-1"/>
        <w:jc w:val="both"/>
        <w:rPr>
          <w:rFonts w:cs="Arial"/>
          <w:color w:val="FF0000"/>
        </w:rPr>
      </w:pPr>
    </w:p>
    <w:p w:rsidR="00BA55A8" w:rsidRPr="00F52237" w:rsidRDefault="00BA55A8" w:rsidP="00BA55A8">
      <w:pPr>
        <w:numPr>
          <w:ilvl w:val="0"/>
          <w:numId w:val="19"/>
        </w:numPr>
        <w:spacing w:after="0" w:line="276" w:lineRule="auto"/>
        <w:ind w:right="-1"/>
        <w:jc w:val="both"/>
        <w:rPr>
          <w:rFonts w:cs="Arial"/>
        </w:rPr>
      </w:pPr>
      <w:r w:rsidRPr="00F52237">
        <w:rPr>
          <w:rFonts w:cs="Arial"/>
          <w:b/>
        </w:rPr>
        <w:t>Transferencias, Asignaciones, Subsidios y Otras Ayudas. -</w:t>
      </w:r>
      <w:r w:rsidRPr="00F52237">
        <w:rPr>
          <w:rFonts w:cs="Arial"/>
        </w:rPr>
        <w:t xml:space="preserve"> Se observa en este mes 143</w:t>
      </w:r>
      <w:r w:rsidR="006438DB" w:rsidRPr="00F52237">
        <w:rPr>
          <w:rFonts w:cs="Arial"/>
        </w:rPr>
        <w:t>,</w:t>
      </w:r>
      <w:r w:rsidRPr="00F52237">
        <w:rPr>
          <w:rFonts w:cs="Arial"/>
        </w:rPr>
        <w:t>082.28 por Devolución de Ingresos Indebidos. Por Transferencias Internas y Asignaciones al Sector Público un monto al mes de 438</w:t>
      </w:r>
      <w:r w:rsidR="006438DB" w:rsidRPr="00F52237">
        <w:rPr>
          <w:rFonts w:cs="Arial"/>
        </w:rPr>
        <w:t>,</w:t>
      </w:r>
      <w:r w:rsidRPr="00F52237">
        <w:rPr>
          <w:rFonts w:cs="Arial"/>
        </w:rPr>
        <w:t>490,503.57 al mes presenta un saldo 442</w:t>
      </w:r>
      <w:r w:rsidR="006438DB" w:rsidRPr="00F52237">
        <w:rPr>
          <w:rFonts w:cs="Arial"/>
        </w:rPr>
        <w:t>,</w:t>
      </w:r>
      <w:r w:rsidRPr="00F52237">
        <w:rPr>
          <w:rFonts w:cs="Arial"/>
        </w:rPr>
        <w:t>474,138.99.</w:t>
      </w:r>
    </w:p>
    <w:p w:rsidR="00BA55A8" w:rsidRDefault="00BA55A8" w:rsidP="00BA55A8">
      <w:pPr>
        <w:spacing w:after="0" w:line="276" w:lineRule="auto"/>
        <w:ind w:right="-1"/>
        <w:jc w:val="both"/>
        <w:rPr>
          <w:rFonts w:cs="Arial"/>
        </w:rPr>
      </w:pPr>
    </w:p>
    <w:p w:rsidR="00BA55A8" w:rsidRDefault="00BA55A8" w:rsidP="00BA55A8">
      <w:pPr>
        <w:numPr>
          <w:ilvl w:val="0"/>
          <w:numId w:val="19"/>
        </w:numPr>
        <w:spacing w:after="0" w:line="276" w:lineRule="auto"/>
        <w:ind w:right="-1"/>
        <w:jc w:val="both"/>
        <w:rPr>
          <w:rFonts w:cs="Arial"/>
        </w:rPr>
      </w:pPr>
      <w:r w:rsidRPr="00DA5FD6">
        <w:rPr>
          <w:rFonts w:cs="Arial"/>
          <w:b/>
        </w:rPr>
        <w:t>Intereses, Comisiones y Otros Gastos de la Deuda Pública. –</w:t>
      </w:r>
      <w:r w:rsidRPr="00DA5FD6">
        <w:rPr>
          <w:rFonts w:cs="Arial"/>
        </w:rPr>
        <w:t xml:space="preserve">  Al mes se tiene </w:t>
      </w:r>
      <w:r>
        <w:rPr>
          <w:rFonts w:cs="Arial"/>
        </w:rPr>
        <w:t>un acumulado de 479</w:t>
      </w:r>
      <w:r w:rsidR="006438DB">
        <w:rPr>
          <w:rFonts w:cs="Arial"/>
        </w:rPr>
        <w:t>,</w:t>
      </w:r>
      <w:r>
        <w:rPr>
          <w:rFonts w:cs="Arial"/>
        </w:rPr>
        <w:t>377</w:t>
      </w:r>
      <w:r w:rsidR="006438DB">
        <w:rPr>
          <w:rFonts w:cs="Arial"/>
        </w:rPr>
        <w:t>,</w:t>
      </w:r>
      <w:r>
        <w:rPr>
          <w:rFonts w:cs="Arial"/>
        </w:rPr>
        <w:t>095.95</w:t>
      </w:r>
      <w:r w:rsidRPr="00DA5FD6">
        <w:rPr>
          <w:rFonts w:cs="Arial"/>
        </w:rPr>
        <w:t>.</w:t>
      </w:r>
    </w:p>
    <w:p w:rsidR="00BA55A8" w:rsidRPr="00DA5FD6" w:rsidRDefault="00BA55A8" w:rsidP="00BA55A8">
      <w:pPr>
        <w:spacing w:after="0" w:line="276" w:lineRule="auto"/>
        <w:ind w:left="284" w:right="-1"/>
        <w:jc w:val="both"/>
        <w:rPr>
          <w:rFonts w:cs="Arial"/>
        </w:rPr>
      </w:pPr>
    </w:p>
    <w:p w:rsidR="00BA55A8" w:rsidRDefault="00BA55A8" w:rsidP="00AC701F">
      <w:pPr>
        <w:numPr>
          <w:ilvl w:val="0"/>
          <w:numId w:val="19"/>
        </w:numPr>
        <w:spacing w:after="0" w:line="276" w:lineRule="auto"/>
        <w:ind w:right="-1"/>
        <w:jc w:val="both"/>
        <w:rPr>
          <w:rFonts w:cs="Arial"/>
        </w:rPr>
      </w:pPr>
      <w:r w:rsidRPr="00F52237">
        <w:rPr>
          <w:rFonts w:cs="Arial"/>
          <w:b/>
        </w:rPr>
        <w:t>Otros Gastos y Pérdidas Extraordinarias</w:t>
      </w:r>
      <w:r w:rsidRPr="00F52237">
        <w:rPr>
          <w:rFonts w:cs="Arial"/>
        </w:rPr>
        <w:t xml:space="preserve">. - En esta partida se refleja la depreciación de bienes muebles e inmuebles, en el mes por un importe de 752,033.15. </w:t>
      </w:r>
      <w:r w:rsidR="00F52237" w:rsidRPr="00F52237">
        <w:rPr>
          <w:rFonts w:cs="Arial"/>
        </w:rPr>
        <w:t>Se tiene un importe acumulado por 14,</w:t>
      </w:r>
      <w:r w:rsidRPr="00F52237">
        <w:rPr>
          <w:rFonts w:cs="Arial"/>
        </w:rPr>
        <w:t>932,183.56 que corresponden</w:t>
      </w:r>
      <w:r w:rsidR="00F52237" w:rsidRPr="00F52237">
        <w:rPr>
          <w:rFonts w:cs="Arial"/>
        </w:rPr>
        <w:t xml:space="preserve"> a las depreciaciones de los bienes </w:t>
      </w:r>
      <w:r w:rsidRPr="00F52237">
        <w:rPr>
          <w:rFonts w:cs="Arial"/>
        </w:rPr>
        <w:t>y 1,744,595</w:t>
      </w:r>
      <w:r w:rsidR="00B1318C" w:rsidRPr="00F52237">
        <w:rPr>
          <w:rFonts w:cs="Arial"/>
        </w:rPr>
        <w:t>.00</w:t>
      </w:r>
      <w:r w:rsidRPr="00F52237">
        <w:rPr>
          <w:rFonts w:cs="Arial"/>
        </w:rPr>
        <w:t xml:space="preserve"> por la devolución de los remanentes del Programa de Acciones para el Desarrollo (PAD) del ejercicio 2018 al Gobierno del Estado de México.</w:t>
      </w:r>
    </w:p>
    <w:p w:rsidR="00F52237" w:rsidRPr="00F52237" w:rsidRDefault="00F52237" w:rsidP="00F52237">
      <w:pPr>
        <w:spacing w:after="0" w:line="276" w:lineRule="auto"/>
        <w:ind w:right="-1"/>
        <w:jc w:val="both"/>
        <w:rPr>
          <w:rFonts w:cs="Arial"/>
        </w:rPr>
      </w:pPr>
    </w:p>
    <w:p w:rsidR="00BA55A8" w:rsidRPr="0096540A" w:rsidRDefault="00BA55A8" w:rsidP="00BA55A8">
      <w:pPr>
        <w:spacing w:after="0" w:line="276" w:lineRule="auto"/>
        <w:ind w:left="644" w:right="-1"/>
        <w:jc w:val="both"/>
        <w:rPr>
          <w:rFonts w:cs="Arial"/>
          <w:sz w:val="2"/>
        </w:rPr>
      </w:pPr>
    </w:p>
    <w:p w:rsidR="00BA55A8" w:rsidRDefault="00BA55A8" w:rsidP="00BA55A8">
      <w:pPr>
        <w:numPr>
          <w:ilvl w:val="0"/>
          <w:numId w:val="19"/>
        </w:numPr>
        <w:spacing w:after="0" w:line="276" w:lineRule="auto"/>
        <w:ind w:right="-1"/>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 Programa de Acciones para el Desarrollo (PAD</w:t>
      </w:r>
      <w:r>
        <w:rPr>
          <w:rFonts w:cs="Arial"/>
        </w:rPr>
        <w:t>), por la cantidad de 3,779,511.67</w:t>
      </w:r>
      <w:r w:rsidRPr="00867EA8">
        <w:rPr>
          <w:rFonts w:cs="Arial"/>
        </w:rPr>
        <w:t>,</w:t>
      </w:r>
      <w:r>
        <w:rPr>
          <w:rFonts w:cs="Arial"/>
        </w:rPr>
        <w:t xml:space="preserve"> al mes</w:t>
      </w:r>
      <w:r w:rsidRPr="00867EA8">
        <w:rPr>
          <w:rFonts w:cs="Arial"/>
        </w:rPr>
        <w:t xml:space="preserve"> se tiene un saldo acumulado de </w:t>
      </w:r>
      <w:r>
        <w:rPr>
          <w:rFonts w:cs="Arial"/>
        </w:rPr>
        <w:t>32,103,692.88.</w:t>
      </w:r>
    </w:p>
    <w:p w:rsidR="00BA55A8" w:rsidRDefault="00BA55A8" w:rsidP="00BA55A8">
      <w:pPr>
        <w:spacing w:after="0" w:line="276" w:lineRule="auto"/>
        <w:ind w:right="-1"/>
        <w:jc w:val="both"/>
      </w:pPr>
      <w:bookmarkStart w:id="0" w:name="_GoBack"/>
      <w:bookmarkEnd w:id="0"/>
    </w:p>
    <w:p w:rsidR="00BA55A8" w:rsidRDefault="00BA55A8" w:rsidP="00BA55A8">
      <w:pPr>
        <w:spacing w:after="0" w:line="276" w:lineRule="auto"/>
        <w:ind w:right="-1"/>
        <w:jc w:val="both"/>
      </w:pPr>
    </w:p>
    <w:p w:rsidR="00BA55A8" w:rsidRPr="00C14D6B" w:rsidRDefault="00BA55A8" w:rsidP="00BA55A8">
      <w:pPr>
        <w:numPr>
          <w:ilvl w:val="0"/>
          <w:numId w:val="6"/>
        </w:numPr>
        <w:spacing w:before="240" w:after="240" w:line="276" w:lineRule="auto"/>
        <w:ind w:right="-1"/>
        <w:contextualSpacing/>
        <w:outlineLvl w:val="0"/>
        <w:rPr>
          <w:rFonts w:eastAsia="Times New Roman" w:cs="Arial"/>
          <w:b/>
          <w:lang w:eastAsia="es-MX"/>
        </w:rPr>
      </w:pPr>
      <w:r w:rsidRPr="00C14D6B">
        <w:rPr>
          <w:rFonts w:eastAsia="Times New Roman" w:cs="Arial"/>
          <w:b/>
          <w:lang w:eastAsia="es-MX"/>
        </w:rPr>
        <w:t>NOTAS AL ESTADO DE VARIACIONES EN LA HACIENDA PÚBLICA/PATRIMONIO</w:t>
      </w:r>
    </w:p>
    <w:p w:rsidR="00BA55A8" w:rsidRDefault="00BA55A8" w:rsidP="00BA55A8">
      <w:pPr>
        <w:spacing w:before="240" w:after="240" w:line="276" w:lineRule="auto"/>
        <w:ind w:left="1068" w:right="-1"/>
        <w:contextualSpacing/>
        <w:outlineLvl w:val="0"/>
        <w:rPr>
          <w:rFonts w:eastAsia="Times New Roman" w:cs="Arial"/>
          <w:b/>
          <w:lang w:eastAsia="es-MX"/>
        </w:rPr>
      </w:pPr>
    </w:p>
    <w:p w:rsidR="006438DB" w:rsidRPr="0020562B" w:rsidRDefault="006438DB" w:rsidP="00BA55A8">
      <w:pPr>
        <w:spacing w:before="240" w:after="240" w:line="276" w:lineRule="auto"/>
        <w:ind w:left="1068" w:right="-1"/>
        <w:contextualSpacing/>
        <w:outlineLvl w:val="0"/>
        <w:rPr>
          <w:rFonts w:eastAsia="Times New Roman" w:cs="Arial"/>
          <w:b/>
          <w:lang w:eastAsia="es-MX"/>
        </w:rPr>
      </w:pPr>
    </w:p>
    <w:p w:rsidR="00BA55A8" w:rsidRPr="00DA5FD6" w:rsidRDefault="00BA55A8" w:rsidP="00BA55A8">
      <w:pPr>
        <w:spacing w:line="276" w:lineRule="auto"/>
        <w:ind w:right="-1"/>
        <w:jc w:val="both"/>
        <w:outlineLvl w:val="0"/>
        <w:rPr>
          <w:rFonts w:cs="Arial"/>
        </w:rPr>
      </w:pPr>
      <w:r w:rsidRPr="00DA5FD6">
        <w:rPr>
          <w:rFonts w:cs="Arial"/>
          <w:b/>
        </w:rPr>
        <w:t>Hacienda Pública/Patrimonio Contribuido (Aportaciones). -</w:t>
      </w:r>
      <w:r w:rsidRPr="00DA5FD6">
        <w:rPr>
          <w:rFonts w:cs="Arial"/>
        </w:rPr>
        <w:t xml:space="preserve"> En el Estado de Variaciones en la Hacienda Pública, al mes que se comenta, el patrimonio contribuido del Instituto se integra por las aportaciones del Gobierno del Estado de México, consiste principalmente en Mobiliario y Equipo de Administración, cuyo saldo a</w:t>
      </w:r>
      <w:r>
        <w:rPr>
          <w:rFonts w:cs="Arial"/>
        </w:rPr>
        <w:t xml:space="preserve">l final del mes es </w:t>
      </w:r>
      <w:r w:rsidRPr="00134C47">
        <w:rPr>
          <w:rFonts w:cs="Arial"/>
        </w:rPr>
        <w:t xml:space="preserve">de </w:t>
      </w:r>
      <w:r w:rsidR="006438DB">
        <w:rPr>
          <w:rFonts w:cs="Arial"/>
        </w:rPr>
        <w:t>54,</w:t>
      </w:r>
      <w:r w:rsidRPr="00CF2CE6">
        <w:rPr>
          <w:rFonts w:cs="Arial"/>
        </w:rPr>
        <w:t>438.67</w:t>
      </w:r>
      <w:r w:rsidRPr="00134C47">
        <w:rPr>
          <w:rFonts w:cs="Arial"/>
        </w:rPr>
        <w:t>.</w:t>
      </w:r>
    </w:p>
    <w:p w:rsidR="00FD7316" w:rsidRDefault="00BA55A8" w:rsidP="00BA55A8">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Neto del Ejercicio, un </w:t>
      </w:r>
      <w:r>
        <w:rPr>
          <w:rFonts w:cs="Arial"/>
        </w:rPr>
        <w:t>ahorro por 142,944,549.25 y un acumulado al mes de 877,910, 445.95,</w:t>
      </w:r>
      <w:r w:rsidRPr="00DA5FD6">
        <w:rPr>
          <w:rFonts w:cs="Arial"/>
        </w:rPr>
        <w:t xml:space="preserve"> debido principalmente a </w:t>
      </w:r>
      <w:r>
        <w:rPr>
          <w:rFonts w:cs="Arial"/>
        </w:rPr>
        <w:t xml:space="preserve">que los ingresos generados son menores a los gastos de funcionamiento, </w:t>
      </w:r>
      <w:r w:rsidRPr="00DA5FD6">
        <w:rPr>
          <w:rFonts w:cs="Arial"/>
        </w:rPr>
        <w:t>acumulado</w:t>
      </w:r>
      <w:r>
        <w:rPr>
          <w:rFonts w:cs="Arial"/>
        </w:rPr>
        <w:t>s a esto los Remanentes de Intereses enviados</w:t>
      </w:r>
      <w:r w:rsidRPr="00DA5FD6">
        <w:rPr>
          <w:rFonts w:cs="Arial"/>
        </w:rPr>
        <w:t xml:space="preserve"> </w:t>
      </w:r>
      <w:r>
        <w:rPr>
          <w:rFonts w:cs="Arial"/>
        </w:rPr>
        <w:t xml:space="preserve">a Gobierno del Estado, </w:t>
      </w:r>
      <w:r w:rsidRPr="00DA5FD6">
        <w:rPr>
          <w:rFonts w:cs="Arial"/>
        </w:rPr>
        <w:t>en este periodo del ejercicio fiscal 2019.</w:t>
      </w:r>
    </w:p>
    <w:p w:rsidR="00FD7316" w:rsidRDefault="00FD7316">
      <w:pPr>
        <w:spacing w:line="259" w:lineRule="auto"/>
        <w:rPr>
          <w:rFonts w:cs="Arial"/>
        </w:rPr>
      </w:pPr>
      <w:r>
        <w:rPr>
          <w:rFonts w:cs="Arial"/>
        </w:rPr>
        <w:br w:type="page"/>
      </w:r>
    </w:p>
    <w:p w:rsidR="00BA55A8" w:rsidRPr="00857F85" w:rsidRDefault="00BA55A8" w:rsidP="00BA55A8">
      <w:pPr>
        <w:numPr>
          <w:ilvl w:val="0"/>
          <w:numId w:val="6"/>
        </w:numPr>
        <w:spacing w:before="240" w:after="240" w:line="276" w:lineRule="auto"/>
        <w:ind w:right="-1"/>
        <w:contextualSpacing/>
        <w:outlineLvl w:val="0"/>
        <w:rPr>
          <w:rFonts w:eastAsia="Times New Roman" w:cs="Arial"/>
          <w:b/>
          <w:lang w:eastAsia="es-MX"/>
        </w:rPr>
      </w:pPr>
      <w:r w:rsidRPr="00857F85">
        <w:rPr>
          <w:rFonts w:eastAsia="Times New Roman" w:cs="Arial"/>
          <w:b/>
          <w:lang w:eastAsia="es-MX"/>
        </w:rPr>
        <w:t>NOTAS AL ESTADO DE FLUJOS DE EFECTIVO</w:t>
      </w:r>
    </w:p>
    <w:p w:rsidR="00BA55A8" w:rsidRPr="00857F85" w:rsidRDefault="00BA55A8" w:rsidP="00BA55A8">
      <w:pPr>
        <w:spacing w:line="276" w:lineRule="auto"/>
        <w:ind w:right="-1"/>
        <w:jc w:val="both"/>
        <w:rPr>
          <w:rFonts w:cs="Arial"/>
        </w:rPr>
      </w:pPr>
    </w:p>
    <w:p w:rsidR="00BA55A8" w:rsidRPr="00857F85" w:rsidRDefault="00BA55A8" w:rsidP="00BA55A8">
      <w:pPr>
        <w:spacing w:line="276" w:lineRule="auto"/>
        <w:ind w:right="-1"/>
        <w:jc w:val="both"/>
      </w:pPr>
      <w:r w:rsidRPr="00857F85">
        <w:rPr>
          <w:rFonts w:cs="Arial"/>
        </w:rPr>
        <w:t>En este Estado se observa lo siguiente:</w:t>
      </w:r>
    </w:p>
    <w:p w:rsidR="00BA55A8" w:rsidRDefault="00BA55A8" w:rsidP="00BA55A8">
      <w:pPr>
        <w:spacing w:line="276" w:lineRule="auto"/>
        <w:ind w:right="-1"/>
        <w:jc w:val="center"/>
        <w:rPr>
          <w:noProof/>
          <w:color w:val="FF0000"/>
          <w:lang w:eastAsia="es-MX"/>
        </w:rPr>
      </w:pPr>
    </w:p>
    <w:p w:rsidR="00BA55A8" w:rsidRDefault="00BA55A8" w:rsidP="00BA55A8">
      <w:pPr>
        <w:spacing w:line="276" w:lineRule="auto"/>
        <w:ind w:right="-1"/>
        <w:jc w:val="center"/>
        <w:rPr>
          <w:noProof/>
          <w:color w:val="FF0000"/>
          <w:lang w:eastAsia="es-MX"/>
        </w:rPr>
      </w:pPr>
      <w:r w:rsidRPr="00F034F1">
        <w:rPr>
          <w:noProof/>
          <w:lang w:eastAsia="es-MX"/>
        </w:rPr>
        <w:drawing>
          <wp:inline distT="0" distB="0" distL="0" distR="0" wp14:anchorId="7EA4A2C4" wp14:editId="0D052EC5">
            <wp:extent cx="5044440" cy="13106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1310640"/>
                    </a:xfrm>
                    <a:prstGeom prst="rect">
                      <a:avLst/>
                    </a:prstGeom>
                    <a:noFill/>
                    <a:ln>
                      <a:noFill/>
                    </a:ln>
                  </pic:spPr>
                </pic:pic>
              </a:graphicData>
            </a:graphic>
          </wp:inline>
        </w:drawing>
      </w:r>
    </w:p>
    <w:p w:rsidR="00BA55A8" w:rsidRDefault="00BA55A8" w:rsidP="00BA55A8">
      <w:pPr>
        <w:spacing w:line="276" w:lineRule="auto"/>
        <w:ind w:right="-1"/>
        <w:jc w:val="center"/>
        <w:rPr>
          <w:noProof/>
          <w:color w:val="FF0000"/>
          <w:lang w:eastAsia="es-MX"/>
        </w:rPr>
      </w:pPr>
    </w:p>
    <w:p w:rsidR="00BA55A8" w:rsidRPr="00857F85" w:rsidRDefault="00BA55A8" w:rsidP="00BA55A8">
      <w:pPr>
        <w:spacing w:line="276" w:lineRule="auto"/>
        <w:ind w:right="-1"/>
        <w:jc w:val="both"/>
        <w:rPr>
          <w:rFonts w:cs="Arial"/>
        </w:rPr>
      </w:pPr>
      <w:r w:rsidRPr="00857F85">
        <w:t>La Conciliación de los Flujos de Efectivo Netos de las Actividades de Operación y la cuenta de Ahorro/Desahorro antes de Rubros Extraordinarios, queda como sigue:</w:t>
      </w:r>
    </w:p>
    <w:p w:rsidR="00BA55A8" w:rsidRDefault="00BA55A8" w:rsidP="00BA55A8">
      <w:pPr>
        <w:spacing w:line="276" w:lineRule="auto"/>
        <w:ind w:right="-1"/>
        <w:jc w:val="center"/>
        <w:rPr>
          <w:rFonts w:cs="Arial"/>
          <w:color w:val="FF0000"/>
        </w:rPr>
      </w:pPr>
      <w:r w:rsidRPr="00B00077">
        <w:rPr>
          <w:noProof/>
          <w:lang w:eastAsia="es-MX"/>
        </w:rPr>
        <w:drawing>
          <wp:inline distT="0" distB="0" distL="0" distR="0" wp14:anchorId="1ADFEEE5" wp14:editId="1BDC8AEE">
            <wp:extent cx="5045710" cy="3269615"/>
            <wp:effectExtent l="0" t="0" r="254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5710" cy="3269615"/>
                    </a:xfrm>
                    <a:prstGeom prst="rect">
                      <a:avLst/>
                    </a:prstGeom>
                    <a:noFill/>
                    <a:ln>
                      <a:noFill/>
                    </a:ln>
                  </pic:spPr>
                </pic:pic>
              </a:graphicData>
            </a:graphic>
          </wp:inline>
        </w:drawing>
      </w:r>
    </w:p>
    <w:p w:rsidR="00BA55A8" w:rsidRDefault="00BA55A8" w:rsidP="004039C8">
      <w:pPr>
        <w:spacing w:line="276" w:lineRule="auto"/>
        <w:ind w:right="-1"/>
        <w:jc w:val="both"/>
        <w:rPr>
          <w:rFonts w:cs="Arial"/>
        </w:rPr>
      </w:pPr>
      <w:r w:rsidRPr="00857F85">
        <w:rPr>
          <w:rFonts w:cs="Arial"/>
        </w:rPr>
        <w:t>El efectivo y equivalentes en este mes para que el Instituto de la Función Registral del Estado de México cubra sus obligaciones de pago, fue de 215,483,085.59</w:t>
      </w:r>
      <w:r>
        <w:rPr>
          <w:rFonts w:cs="Arial"/>
        </w:rPr>
        <w:t>.</w:t>
      </w:r>
    </w:p>
    <w:p w:rsidR="00BA55A8" w:rsidRDefault="00BA55A8" w:rsidP="00BA55A8">
      <w:pPr>
        <w:numPr>
          <w:ilvl w:val="0"/>
          <w:numId w:val="28"/>
        </w:numPr>
        <w:spacing w:before="240" w:after="240" w:line="276" w:lineRule="auto"/>
        <w:ind w:right="-1"/>
        <w:contextualSpacing/>
        <w:outlineLvl w:val="0"/>
        <w:rPr>
          <w:rFonts w:cs="Arial"/>
          <w:b/>
        </w:rPr>
      </w:pPr>
      <w:r w:rsidRPr="00E07F00">
        <w:rPr>
          <w:rFonts w:eastAsia="Times New Roman" w:cs="Arial"/>
          <w:b/>
          <w:lang w:eastAsia="es-MX"/>
        </w:rPr>
        <w:t>CONCILIACIÓN ENTRE LOS INGRESOS PRESUPUESTARIOS Y CONTABLES, ASÍ COMO ENTRE LOS EGRESOS PRESUPUESTARIOS Y LOS GASTOS CONTABLES:</w:t>
      </w:r>
    </w:p>
    <w:p w:rsidR="00BA55A8" w:rsidRPr="006F5A20" w:rsidRDefault="00BA55A8" w:rsidP="00BA55A8">
      <w:pPr>
        <w:spacing w:before="240" w:after="240" w:line="276" w:lineRule="auto"/>
        <w:ind w:right="-1"/>
        <w:contextualSpacing/>
        <w:outlineLvl w:val="0"/>
        <w:rPr>
          <w:rFonts w:cs="Arial"/>
          <w:b/>
        </w:rPr>
      </w:pPr>
      <w:r w:rsidRPr="006F5A20">
        <w:rPr>
          <w:noProof/>
          <w:lang w:eastAsia="es-MX"/>
        </w:rPr>
        <w:drawing>
          <wp:inline distT="0" distB="0" distL="0" distR="0" wp14:anchorId="2E5B2BEB" wp14:editId="7AB0923C">
            <wp:extent cx="6389370" cy="398298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9370" cy="3982984"/>
                    </a:xfrm>
                    <a:prstGeom prst="rect">
                      <a:avLst/>
                    </a:prstGeom>
                    <a:noFill/>
                    <a:ln>
                      <a:noFill/>
                    </a:ln>
                  </pic:spPr>
                </pic:pic>
              </a:graphicData>
            </a:graphic>
          </wp:inline>
        </w:drawing>
      </w:r>
    </w:p>
    <w:p w:rsidR="00BA55A8" w:rsidRPr="00DF10B8" w:rsidRDefault="00BA55A8" w:rsidP="00BA55A8">
      <w:pPr>
        <w:spacing w:before="240" w:after="240" w:line="276" w:lineRule="auto"/>
        <w:ind w:left="648" w:right="-1"/>
        <w:contextualSpacing/>
        <w:outlineLvl w:val="0"/>
        <w:rPr>
          <w:rFonts w:cs="Arial"/>
          <w:b/>
        </w:rPr>
      </w:pPr>
    </w:p>
    <w:p w:rsidR="00BA55A8" w:rsidRPr="00E07F00" w:rsidRDefault="00BA55A8" w:rsidP="00BA55A8">
      <w:pPr>
        <w:spacing w:before="240" w:after="240" w:line="276" w:lineRule="auto"/>
        <w:ind w:right="-1"/>
        <w:contextualSpacing/>
        <w:outlineLvl w:val="0"/>
        <w:rPr>
          <w:rFonts w:cs="Arial"/>
          <w:b/>
        </w:rPr>
      </w:pPr>
    </w:p>
    <w:p w:rsidR="00BA55A8" w:rsidRDefault="00BA55A8" w:rsidP="00BA55A8">
      <w:pPr>
        <w:jc w:val="both"/>
        <w:rPr>
          <w:rFonts w:cs="Arial"/>
        </w:rPr>
      </w:pPr>
      <w:r w:rsidRPr="00A5315D">
        <w:rPr>
          <w:rFonts w:cs="Arial"/>
          <w:b/>
        </w:rPr>
        <w:t>Conciliación entre los Ingresos Presupuestarios y Contables</w:t>
      </w:r>
      <w:r w:rsidRPr="00A5315D">
        <w:rPr>
          <w:rFonts w:cs="Arial"/>
        </w:rPr>
        <w:t xml:space="preserve">. </w:t>
      </w:r>
      <w:r w:rsidRPr="00E23123">
        <w:rPr>
          <w:rFonts w:cs="Arial"/>
        </w:rPr>
        <w:t>En el renglón de Otros Ingresos Presupuestarios no Contables; se integran de $320,028,291.93 para el pago de Amortización de Capital de los Certificados Bursátiles Series "A", "B" Y subordinada "C" correspondientes al presente ejercicio del 2019.</w:t>
      </w:r>
    </w:p>
    <w:p w:rsidR="00BA55A8" w:rsidRDefault="00BA55A8" w:rsidP="00BA55A8">
      <w:pPr>
        <w:jc w:val="both"/>
        <w:rPr>
          <w:rFonts w:cs="Arial"/>
        </w:rPr>
      </w:pPr>
    </w:p>
    <w:p w:rsidR="00BA55A8" w:rsidRDefault="00BA55A8" w:rsidP="00BA55A8">
      <w:pPr>
        <w:jc w:val="both"/>
        <w:rPr>
          <w:rFonts w:cs="Arial"/>
        </w:rPr>
      </w:pPr>
    </w:p>
    <w:p w:rsidR="00BA55A8" w:rsidRDefault="00BA55A8" w:rsidP="00BA55A8">
      <w:pPr>
        <w:jc w:val="both"/>
        <w:rPr>
          <w:rFonts w:cs="Arial"/>
        </w:rPr>
      </w:pPr>
    </w:p>
    <w:p w:rsidR="00BA55A8" w:rsidRDefault="00BA55A8" w:rsidP="00BA55A8">
      <w:pPr>
        <w:jc w:val="both"/>
        <w:rPr>
          <w:rFonts w:cs="Arial"/>
        </w:rPr>
      </w:pPr>
    </w:p>
    <w:p w:rsidR="00BA55A8" w:rsidRDefault="00BA55A8" w:rsidP="00BA55A8">
      <w:pPr>
        <w:jc w:val="both"/>
        <w:rPr>
          <w:noProof/>
          <w:lang w:eastAsia="es-MX"/>
        </w:rPr>
      </w:pPr>
      <w:r w:rsidRPr="004910B0">
        <w:rPr>
          <w:noProof/>
          <w:lang w:eastAsia="es-MX"/>
        </w:rPr>
        <w:drawing>
          <wp:inline distT="0" distB="0" distL="0" distR="0" wp14:anchorId="62E70D04" wp14:editId="54EB5102">
            <wp:extent cx="6388735" cy="59359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5001" cy="5941802"/>
                    </a:xfrm>
                    <a:prstGeom prst="rect">
                      <a:avLst/>
                    </a:prstGeom>
                    <a:noFill/>
                    <a:ln>
                      <a:noFill/>
                    </a:ln>
                  </pic:spPr>
                </pic:pic>
              </a:graphicData>
            </a:graphic>
          </wp:inline>
        </w:drawing>
      </w:r>
    </w:p>
    <w:p w:rsidR="00BA55A8" w:rsidRPr="00A24B08" w:rsidRDefault="00BA55A8" w:rsidP="00BA55A8">
      <w:pPr>
        <w:spacing w:before="240" w:line="276" w:lineRule="auto"/>
        <w:ind w:right="-1"/>
        <w:jc w:val="both"/>
        <w:rPr>
          <w:rFonts w:cs="Arial"/>
        </w:rPr>
      </w:pPr>
      <w:r w:rsidRPr="005926B7">
        <w:rPr>
          <w:rFonts w:cs="Arial"/>
          <w:b/>
        </w:rPr>
        <w:t xml:space="preserve">Conciliación entre los Egresos Presupuestarios y los Gastos Contables: </w:t>
      </w:r>
      <w:r w:rsidRPr="004910B0">
        <w:rPr>
          <w:rFonts w:cs="Arial"/>
        </w:rPr>
        <w:t xml:space="preserve">En el renglón de Otros Egresos Presupuestales No Contables los 1,148,858,173.24, se integra  de: 1,146'393,688.44 de Transferencias al Fideicomiso,  2,464,484.80 del </w:t>
      </w:r>
      <w:proofErr w:type="spellStart"/>
      <w:r w:rsidRPr="004910B0">
        <w:rPr>
          <w:rFonts w:cs="Arial"/>
        </w:rPr>
        <w:t>remanentede</w:t>
      </w:r>
      <w:proofErr w:type="spellEnd"/>
      <w:r w:rsidRPr="004910B0">
        <w:rPr>
          <w:rFonts w:cs="Arial"/>
        </w:rPr>
        <w:t xml:space="preserve"> los recursos pagados por el Programa de Acciones para el Desarrollo en el proyecto de Regularización de la Tenencia de Tierra y Otros Gastos Contables No Presupuestales por 1,744,595.00, los cuales corresponden a siete resoluciones determinantes del impuesto sobre la renta que fueron correspondidos por el Gobierno del Estado.</w:t>
      </w:r>
      <w:r w:rsidRPr="00A24B08">
        <w:rPr>
          <w:rFonts w:cs="Arial"/>
        </w:rPr>
        <w:br w:type="page"/>
      </w:r>
    </w:p>
    <w:p w:rsidR="00BA55A8" w:rsidRPr="00E07F00" w:rsidRDefault="00BA55A8" w:rsidP="00BA55A8">
      <w:pPr>
        <w:tabs>
          <w:tab w:val="left" w:pos="1650"/>
        </w:tabs>
        <w:spacing w:before="240" w:line="276" w:lineRule="auto"/>
        <w:ind w:right="-1"/>
        <w:jc w:val="both"/>
        <w:rPr>
          <w:rFonts w:cs="Arial"/>
          <w:sz w:val="2"/>
        </w:rPr>
      </w:pPr>
      <w:r>
        <w:rPr>
          <w:rFonts w:cs="Arial"/>
          <w:sz w:val="2"/>
        </w:rPr>
        <w:tab/>
      </w:r>
    </w:p>
    <w:p w:rsidR="00BA55A8" w:rsidRDefault="00BA55A8" w:rsidP="00BA55A8">
      <w:pPr>
        <w:numPr>
          <w:ilvl w:val="0"/>
          <w:numId w:val="5"/>
        </w:numPr>
        <w:tabs>
          <w:tab w:val="left" w:pos="3836"/>
        </w:tabs>
        <w:spacing w:after="0" w:line="276" w:lineRule="auto"/>
        <w:ind w:left="714" w:right="-1" w:hanging="357"/>
        <w:contextualSpacing/>
        <w:outlineLvl w:val="0"/>
        <w:rPr>
          <w:rFonts w:eastAsia="Times New Roman" w:cs="Arial"/>
          <w:b/>
          <w:lang w:eastAsia="es-MX"/>
        </w:rPr>
      </w:pPr>
      <w:r w:rsidRPr="00E07F00">
        <w:rPr>
          <w:rFonts w:eastAsia="Times New Roman" w:cs="Arial"/>
          <w:b/>
          <w:lang w:eastAsia="es-MX"/>
        </w:rPr>
        <w:t>NOTAS DE MEMORIA (CUENTAS DE ORDEN)</w:t>
      </w:r>
    </w:p>
    <w:p w:rsidR="004039C8" w:rsidRPr="00E07F00" w:rsidRDefault="004039C8" w:rsidP="004039C8">
      <w:pPr>
        <w:tabs>
          <w:tab w:val="left" w:pos="3836"/>
        </w:tabs>
        <w:spacing w:after="0" w:line="276" w:lineRule="auto"/>
        <w:ind w:left="714" w:right="-1"/>
        <w:contextualSpacing/>
        <w:outlineLvl w:val="0"/>
        <w:rPr>
          <w:rFonts w:eastAsia="Times New Roman" w:cs="Arial"/>
          <w:b/>
          <w:lang w:eastAsia="es-MX"/>
        </w:rPr>
      </w:pPr>
    </w:p>
    <w:p w:rsidR="00BA55A8" w:rsidRDefault="00BA55A8" w:rsidP="00BA55A8">
      <w:pPr>
        <w:tabs>
          <w:tab w:val="left" w:pos="8064"/>
        </w:tabs>
        <w:spacing w:line="276" w:lineRule="auto"/>
        <w:ind w:right="-1"/>
        <w:jc w:val="both"/>
        <w:outlineLvl w:val="0"/>
        <w:rPr>
          <w:rFonts w:cs="Arial"/>
        </w:rPr>
      </w:pPr>
      <w:r w:rsidRPr="00E07F00">
        <w:rPr>
          <w:rFonts w:cs="Arial"/>
        </w:rPr>
        <w:t>Las Cuentas de Orden Contables y Presupuestarias se integran de la siguiente forma:</w:t>
      </w:r>
      <w:r>
        <w:rPr>
          <w:rFonts w:cs="Arial"/>
        </w:rPr>
        <w:tab/>
      </w:r>
    </w:p>
    <w:p w:rsidR="00BA55A8" w:rsidRDefault="00BA55A8" w:rsidP="00BA55A8">
      <w:pPr>
        <w:tabs>
          <w:tab w:val="left" w:pos="8064"/>
        </w:tabs>
        <w:spacing w:line="276" w:lineRule="auto"/>
        <w:ind w:right="-1"/>
        <w:jc w:val="both"/>
        <w:outlineLvl w:val="0"/>
        <w:rPr>
          <w:rFonts w:cs="Arial"/>
        </w:rPr>
      </w:pPr>
      <w:r w:rsidRPr="00B825AB">
        <w:rPr>
          <w:noProof/>
          <w:lang w:eastAsia="es-MX"/>
        </w:rPr>
        <w:drawing>
          <wp:inline distT="0" distB="0" distL="0" distR="0" wp14:anchorId="628F8B8C" wp14:editId="37E96130">
            <wp:extent cx="6387389" cy="1333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4964" cy="1335081"/>
                    </a:xfrm>
                    <a:prstGeom prst="rect">
                      <a:avLst/>
                    </a:prstGeom>
                    <a:noFill/>
                    <a:ln>
                      <a:noFill/>
                    </a:ln>
                  </pic:spPr>
                </pic:pic>
              </a:graphicData>
            </a:graphic>
          </wp:inline>
        </w:drawing>
      </w:r>
    </w:p>
    <w:p w:rsidR="00BA55A8" w:rsidRDefault="00BA55A8" w:rsidP="00BA55A8">
      <w:pPr>
        <w:tabs>
          <w:tab w:val="left" w:pos="8064"/>
        </w:tabs>
        <w:spacing w:line="276" w:lineRule="auto"/>
        <w:ind w:right="-1"/>
        <w:jc w:val="both"/>
        <w:outlineLvl w:val="0"/>
        <w:rPr>
          <w:rFonts w:cs="Arial"/>
        </w:rPr>
      </w:pPr>
      <w:r w:rsidRPr="009D04DC">
        <w:rPr>
          <w:noProof/>
          <w:lang w:eastAsia="es-MX"/>
        </w:rPr>
        <w:drawing>
          <wp:inline distT="0" distB="0" distL="0" distR="0" wp14:anchorId="0F42346C" wp14:editId="79E1DFBC">
            <wp:extent cx="6388590" cy="47091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2310" cy="4711902"/>
                    </a:xfrm>
                    <a:prstGeom prst="rect">
                      <a:avLst/>
                    </a:prstGeom>
                    <a:noFill/>
                    <a:ln>
                      <a:noFill/>
                    </a:ln>
                  </pic:spPr>
                </pic:pic>
              </a:graphicData>
            </a:graphic>
          </wp:inline>
        </w:drawing>
      </w:r>
    </w:p>
    <w:p w:rsidR="00BA55A8" w:rsidRDefault="00BA55A8" w:rsidP="00BA55A8">
      <w:pPr>
        <w:tabs>
          <w:tab w:val="left" w:pos="8064"/>
        </w:tabs>
        <w:spacing w:line="276" w:lineRule="auto"/>
        <w:ind w:right="-1"/>
        <w:jc w:val="both"/>
        <w:outlineLvl w:val="0"/>
        <w:rPr>
          <w:rFonts w:cs="Arial"/>
        </w:rPr>
      </w:pPr>
    </w:p>
    <w:p w:rsidR="00BA55A8" w:rsidRPr="00E07F00" w:rsidRDefault="00BA55A8" w:rsidP="00BA55A8">
      <w:pPr>
        <w:tabs>
          <w:tab w:val="left" w:pos="8652"/>
        </w:tabs>
        <w:spacing w:line="276" w:lineRule="auto"/>
        <w:ind w:right="-1"/>
        <w:jc w:val="both"/>
        <w:outlineLvl w:val="0"/>
        <w:rPr>
          <w:rFonts w:cs="Arial"/>
        </w:rPr>
      </w:pPr>
      <w:r w:rsidRPr="00E07F00">
        <w:rPr>
          <w:rFonts w:cs="Arial"/>
        </w:rPr>
        <w:t xml:space="preserve">La comunicación de la asignación del </w:t>
      </w:r>
      <w:r w:rsidRPr="00E07F00">
        <w:rPr>
          <w:rFonts w:cs="Arial"/>
          <w:b/>
        </w:rPr>
        <w:t>Presupuesto Autorizado para el Ejercicio Fiscal 2019</w:t>
      </w:r>
      <w:r w:rsidRPr="00E07F00">
        <w:rPr>
          <w:rFonts w:cs="Arial"/>
        </w:rPr>
        <w:t>, se realizó mediante oficio No. 20704000L-0031/2019, de fecha 17 de enero de 2019, emitido por la Secretaría de Finanzas, con el cual se aprueba la asignación presupuestal autorizada por la LX Legislatura local al Instituto de la Función Registral del Estado de México, que asciende a la cantidad de 1,919, 229,732</w:t>
      </w:r>
      <w:r w:rsidRPr="00E07F00">
        <w:rPr>
          <w:rFonts w:cs="Arial"/>
          <w:b/>
        </w:rPr>
        <w:t xml:space="preserve">, </w:t>
      </w:r>
      <w:r w:rsidRPr="00E07F00">
        <w:rPr>
          <w:rFonts w:cs="Arial"/>
        </w:rPr>
        <w:t>distribuida de la siguiente manera:</w:t>
      </w:r>
    </w:p>
    <w:p w:rsidR="00BA55A8" w:rsidRPr="00E07F00" w:rsidRDefault="00BA55A8" w:rsidP="00BA55A8">
      <w:pPr>
        <w:spacing w:line="276" w:lineRule="auto"/>
        <w:ind w:right="-1"/>
        <w:jc w:val="center"/>
        <w:outlineLvl w:val="0"/>
        <w:rPr>
          <w:rFonts w:cs="Arial"/>
        </w:rPr>
      </w:pPr>
      <w:r w:rsidRPr="00E07F00">
        <w:rPr>
          <w:noProof/>
          <w:lang w:eastAsia="es-MX"/>
        </w:rPr>
        <w:drawing>
          <wp:inline distT="0" distB="0" distL="0" distR="0" wp14:anchorId="69511A98" wp14:editId="67761740">
            <wp:extent cx="4998325" cy="27241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6232" cy="2750260"/>
                    </a:xfrm>
                    <a:prstGeom prst="rect">
                      <a:avLst/>
                    </a:prstGeom>
                    <a:noFill/>
                    <a:ln>
                      <a:noFill/>
                    </a:ln>
                  </pic:spPr>
                </pic:pic>
              </a:graphicData>
            </a:graphic>
          </wp:inline>
        </w:drawing>
      </w:r>
    </w:p>
    <w:p w:rsidR="00BA55A8" w:rsidRPr="00E07F00" w:rsidRDefault="00BA55A8" w:rsidP="00BA55A8">
      <w:pPr>
        <w:spacing w:line="276" w:lineRule="auto"/>
        <w:ind w:right="-1"/>
        <w:jc w:val="both"/>
        <w:outlineLvl w:val="0"/>
        <w:rPr>
          <w:rFonts w:cs="Arial"/>
        </w:rPr>
      </w:pPr>
      <w:r w:rsidRPr="00E07F00">
        <w:rPr>
          <w:rFonts w:cs="Arial"/>
        </w:rPr>
        <w:t xml:space="preserve">Se tuvo una asignación presupuestal de 34,568,177.69, autorizada con el oficio No. 203200-APAD-0002/19, del 9 de enero de 2019, signado por el Subsecretario de Planeación y Presupuesto, para el Programa de Acciones para el Desarrollo (PAD), requeridos para continuar con el programa de Regularización de Tenencia de la Tierra en el Estado de México. </w:t>
      </w:r>
    </w:p>
    <w:p w:rsidR="00BA55A8" w:rsidRPr="00E07F00" w:rsidRDefault="00BA55A8" w:rsidP="00BA55A8">
      <w:pPr>
        <w:spacing w:line="276" w:lineRule="auto"/>
        <w:ind w:right="-1"/>
        <w:jc w:val="center"/>
        <w:outlineLvl w:val="0"/>
        <w:rPr>
          <w:rFonts w:cs="Arial"/>
        </w:rPr>
      </w:pPr>
      <w:r w:rsidRPr="00E07F00">
        <w:rPr>
          <w:noProof/>
          <w:lang w:eastAsia="es-MX"/>
        </w:rPr>
        <w:drawing>
          <wp:inline distT="0" distB="0" distL="0" distR="0" wp14:anchorId="3866F0E1" wp14:editId="6033C087">
            <wp:extent cx="4996481" cy="2381194"/>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6481" cy="2381194"/>
                    </a:xfrm>
                    <a:prstGeom prst="rect">
                      <a:avLst/>
                    </a:prstGeom>
                    <a:noFill/>
                    <a:ln>
                      <a:noFill/>
                    </a:ln>
                  </pic:spPr>
                </pic:pic>
              </a:graphicData>
            </a:graphic>
          </wp:inline>
        </w:drawing>
      </w:r>
      <w:r w:rsidRPr="00E07F00">
        <w:rPr>
          <w:rFonts w:cs="Arial"/>
        </w:rPr>
        <w:br w:type="page"/>
      </w:r>
    </w:p>
    <w:p w:rsidR="00BA55A8" w:rsidRDefault="00BA55A8" w:rsidP="00994B1C">
      <w:pPr>
        <w:tabs>
          <w:tab w:val="left" w:pos="488"/>
          <w:tab w:val="right" w:pos="10063"/>
        </w:tabs>
        <w:spacing w:line="276" w:lineRule="auto"/>
        <w:ind w:right="-1"/>
        <w:jc w:val="center"/>
        <w:outlineLvl w:val="0"/>
      </w:pPr>
      <w:r w:rsidRPr="00E71AB5">
        <w:t>El presupuesto se ha modificado para el Ejercicio 2019, de acuerdo con las siguientes adecuaciones:</w:t>
      </w:r>
      <w:r w:rsidR="00FD7316" w:rsidRPr="00FD7316">
        <w:t xml:space="preserve"> </w:t>
      </w:r>
      <w:r w:rsidR="00FD7316" w:rsidRPr="00FD7316">
        <w:rPr>
          <w:noProof/>
          <w:lang w:eastAsia="es-MX"/>
        </w:rPr>
        <w:drawing>
          <wp:inline distT="0" distB="0" distL="0" distR="0">
            <wp:extent cx="6028507" cy="68675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0248" cy="6869508"/>
                    </a:xfrm>
                    <a:prstGeom prst="rect">
                      <a:avLst/>
                    </a:prstGeom>
                    <a:noFill/>
                    <a:ln>
                      <a:noFill/>
                    </a:ln>
                  </pic:spPr>
                </pic:pic>
              </a:graphicData>
            </a:graphic>
          </wp:inline>
        </w:drawing>
      </w:r>
    </w:p>
    <w:p w:rsidR="00BA55A8" w:rsidRDefault="00BA55A8" w:rsidP="00994B1C">
      <w:pPr>
        <w:tabs>
          <w:tab w:val="left" w:pos="488"/>
        </w:tabs>
        <w:spacing w:line="276" w:lineRule="auto"/>
        <w:ind w:right="-1"/>
        <w:outlineLvl w:val="0"/>
        <w:rPr>
          <w:b/>
        </w:rPr>
      </w:pPr>
      <w:r w:rsidRPr="00E71AB5">
        <w:rPr>
          <w:b/>
        </w:rPr>
        <w:t>Estado Comparativo del Ejercicio del Presupuesto de Egresos:</w:t>
      </w:r>
      <w:r w:rsidRPr="009D04DC">
        <w:rPr>
          <w:noProof/>
          <w:lang w:eastAsia="es-MX"/>
        </w:rPr>
        <w:drawing>
          <wp:inline distT="0" distB="0" distL="0" distR="0" wp14:anchorId="753B40A6" wp14:editId="7D2C1D5B">
            <wp:extent cx="6315075" cy="16573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2243" cy="1659231"/>
                    </a:xfrm>
                    <a:prstGeom prst="rect">
                      <a:avLst/>
                    </a:prstGeom>
                    <a:noFill/>
                    <a:ln>
                      <a:noFill/>
                    </a:ln>
                  </pic:spPr>
                </pic:pic>
              </a:graphicData>
            </a:graphic>
          </wp:inline>
        </w:drawing>
      </w:r>
    </w:p>
    <w:p w:rsidR="00BA55A8" w:rsidRPr="00E71AB5" w:rsidRDefault="00BA55A8" w:rsidP="00BA55A8">
      <w:pPr>
        <w:tabs>
          <w:tab w:val="left" w:pos="488"/>
        </w:tabs>
        <w:spacing w:line="276" w:lineRule="auto"/>
        <w:ind w:right="-1"/>
        <w:jc w:val="both"/>
        <w:outlineLvl w:val="0"/>
        <w:rPr>
          <w:rFonts w:cs="Arial"/>
        </w:rPr>
      </w:pPr>
      <w:r w:rsidRPr="00E71AB5">
        <w:rPr>
          <w:rFonts w:cs="Arial"/>
        </w:rPr>
        <w:t>El presupuesto de egresos aprobado modificado anual fue de 1,919,229,732.00, el presupues</w:t>
      </w:r>
      <w:r>
        <w:rPr>
          <w:rFonts w:cs="Arial"/>
        </w:rPr>
        <w:t>to modificado al mes es de 2,831,146,418.05</w:t>
      </w:r>
      <w:r w:rsidRPr="00E71AB5">
        <w:rPr>
          <w:rFonts w:cs="Arial"/>
        </w:rPr>
        <w:t xml:space="preserve"> y se ha ejercido al mes</w:t>
      </w:r>
      <w:r>
        <w:rPr>
          <w:rFonts w:cs="Arial"/>
        </w:rPr>
        <w:t xml:space="preserve"> que se analiza la cantidad de 2</w:t>
      </w:r>
      <w:r w:rsidRPr="00E71AB5">
        <w:rPr>
          <w:rFonts w:cs="Arial"/>
        </w:rPr>
        <w:t>,</w:t>
      </w:r>
      <w:r>
        <w:rPr>
          <w:rFonts w:cs="Arial"/>
        </w:rPr>
        <w:t>651</w:t>
      </w:r>
      <w:r w:rsidRPr="00E71AB5">
        <w:rPr>
          <w:rFonts w:cs="Arial"/>
        </w:rPr>
        <w:t>,</w:t>
      </w:r>
      <w:r>
        <w:rPr>
          <w:rFonts w:cs="Arial"/>
        </w:rPr>
        <w:t>197</w:t>
      </w:r>
      <w:r w:rsidRPr="00E71AB5">
        <w:rPr>
          <w:rFonts w:cs="Arial"/>
        </w:rPr>
        <w:t>,</w:t>
      </w:r>
      <w:r>
        <w:rPr>
          <w:rFonts w:cs="Arial"/>
        </w:rPr>
        <w:t>678.06</w:t>
      </w:r>
      <w:r w:rsidRPr="00E71AB5">
        <w:rPr>
          <w:rFonts w:cs="Arial"/>
        </w:rPr>
        <w:t xml:space="preserve">, por lo tanto, se observa una variación contra el presupuesto modificado autorizado de </w:t>
      </w:r>
      <w:r>
        <w:rPr>
          <w:rFonts w:cs="Arial"/>
        </w:rPr>
        <w:t>179,948,739.36</w:t>
      </w:r>
      <w:r w:rsidRPr="00E71AB5">
        <w:rPr>
          <w:rFonts w:cs="Arial"/>
        </w:rPr>
        <w:t>, principalmente por lo siguiente:</w:t>
      </w:r>
    </w:p>
    <w:p w:rsidR="00BA55A8" w:rsidRPr="00E71AB5" w:rsidRDefault="00BA55A8" w:rsidP="00BA55A8">
      <w:pPr>
        <w:spacing w:line="276" w:lineRule="auto"/>
        <w:ind w:right="-1"/>
        <w:jc w:val="both"/>
        <w:rPr>
          <w:rFonts w:cs="Arial"/>
        </w:rPr>
      </w:pPr>
      <w:r w:rsidRPr="00E71AB5">
        <w:rPr>
          <w:rFonts w:cs="Arial"/>
          <w:b/>
        </w:rPr>
        <w:t>En el Capítulo 1000 “Servicios Personales</w:t>
      </w:r>
      <w:r w:rsidRPr="00E71AB5">
        <w:rPr>
          <w:rFonts w:cs="Arial"/>
        </w:rPr>
        <w:t>”.</w:t>
      </w:r>
      <w:r w:rsidRPr="00E71AB5">
        <w:rPr>
          <w:rFonts w:cs="Arial"/>
          <w:b/>
        </w:rPr>
        <w:t xml:space="preserve"> -</w:t>
      </w:r>
      <w:r w:rsidRPr="00E71AB5">
        <w:rPr>
          <w:rFonts w:cs="Arial"/>
        </w:rPr>
        <w:t xml:space="preserve"> </w:t>
      </w:r>
      <w:r w:rsidRPr="00DB4B29">
        <w:rPr>
          <w:rFonts w:cs="Arial"/>
        </w:rPr>
        <w:t>El subejercicio mensual obedece a los movimientos de personal por bajas de servidores públicos, cuyas plazas se encontraban presupuestadas con el rango más alto, y por consiguiente impacta en el subejercicio acumulado.</w:t>
      </w:r>
    </w:p>
    <w:p w:rsidR="00BA55A8" w:rsidRPr="00E71AB5" w:rsidRDefault="00BA55A8" w:rsidP="00BA55A8">
      <w:pPr>
        <w:spacing w:line="276" w:lineRule="auto"/>
        <w:ind w:right="-1"/>
        <w:jc w:val="both"/>
        <w:rPr>
          <w:rFonts w:cs="Arial"/>
        </w:rPr>
      </w:pPr>
      <w:r w:rsidRPr="00E71AB5">
        <w:rPr>
          <w:rFonts w:cs="Arial"/>
          <w:b/>
        </w:rPr>
        <w:t xml:space="preserve">En el Capítulo 2000 “Materiales y Suministros”. - </w:t>
      </w:r>
      <w:r w:rsidRPr="00DB4B29">
        <w:rPr>
          <w:rFonts w:cs="Arial"/>
        </w:rPr>
        <w:t>El subejercicio mensual obedece a que las adquisiciones correspondientes al tercer cuatrimestre fueron substanciadas y contratadas a un menor precio de lo presupuestado, y por consiguiente impacta en el subejercicio acumulado, lo cual es considerada como un ahorro.</w:t>
      </w:r>
    </w:p>
    <w:p w:rsidR="00BA55A8" w:rsidRDefault="00BA55A8" w:rsidP="00BA55A8">
      <w:pPr>
        <w:spacing w:line="276" w:lineRule="auto"/>
        <w:ind w:right="-1"/>
        <w:jc w:val="both"/>
        <w:rPr>
          <w:rFonts w:cs="Arial"/>
        </w:rPr>
      </w:pPr>
      <w:r w:rsidRPr="00E71AB5">
        <w:rPr>
          <w:rFonts w:cs="Arial"/>
          <w:b/>
        </w:rPr>
        <w:t>En el Capítulo 3000 “Servicios Generales”. -</w:t>
      </w:r>
      <w:r w:rsidRPr="00E71AB5">
        <w:rPr>
          <w:rFonts w:cs="Arial"/>
        </w:rPr>
        <w:t xml:space="preserve"> </w:t>
      </w:r>
      <w:r w:rsidRPr="00DB4B29">
        <w:rPr>
          <w:rFonts w:cs="Arial"/>
        </w:rPr>
        <w:t xml:space="preserve">El subejercicio mensual obedece a que los servicios </w:t>
      </w:r>
      <w:proofErr w:type="spellStart"/>
      <w:r w:rsidRPr="00DB4B29">
        <w:rPr>
          <w:rFonts w:cs="Arial"/>
        </w:rPr>
        <w:t>contratoados</w:t>
      </w:r>
      <w:proofErr w:type="spellEnd"/>
      <w:r w:rsidRPr="00DB4B29">
        <w:rPr>
          <w:rFonts w:cs="Arial"/>
        </w:rPr>
        <w:t xml:space="preserve"> al tercer cuatrimestre fueron substanciados y contratados a un menor precio de lo presupuestado, y por consiguiente impacta en el subejercicio acumulado, lo cual es considerada como un ahorro.</w:t>
      </w:r>
    </w:p>
    <w:p w:rsidR="00BA55A8" w:rsidRDefault="00BA55A8" w:rsidP="00BA55A8">
      <w:pPr>
        <w:spacing w:line="276" w:lineRule="auto"/>
        <w:ind w:right="-1"/>
        <w:jc w:val="both"/>
        <w:rPr>
          <w:rFonts w:cs="Arial"/>
        </w:rPr>
      </w:pPr>
      <w:r w:rsidRPr="00E71AB5">
        <w:rPr>
          <w:rFonts w:cs="Arial"/>
          <w:b/>
        </w:rPr>
        <w:t xml:space="preserve">En el Capítulo 4000 “Transferencias, Asignaciones, Subsidios y Otras Ayudas”.- </w:t>
      </w:r>
      <w:r w:rsidRPr="006F5A20">
        <w:rPr>
          <w:rFonts w:cs="Arial"/>
        </w:rPr>
        <w:t>El subejercicio mensual en el capítulo “Transferencias, asignaciones,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BA55A8" w:rsidRPr="00E71AB5" w:rsidRDefault="00BA55A8" w:rsidP="00BA55A8">
      <w:pPr>
        <w:spacing w:line="276" w:lineRule="auto"/>
        <w:ind w:right="-1"/>
        <w:jc w:val="both"/>
        <w:rPr>
          <w:rFonts w:cs="Arial"/>
        </w:rPr>
      </w:pPr>
      <w:r w:rsidRPr="00E71AB5">
        <w:rPr>
          <w:rFonts w:cs="Arial"/>
          <w:b/>
        </w:rPr>
        <w:t xml:space="preserve">En el Capítulo 5000 “Bienes Muebles, Inmuebles e Intangibles”. - </w:t>
      </w:r>
      <w:r w:rsidRPr="00DB4B29">
        <w:rPr>
          <w:rFonts w:cs="Arial"/>
        </w:rPr>
        <w:t>El subejercicio mensual obedece a que las adquisiciones correspondientes al tercer cuatrimestre fueron substanciadas y contratadas a un menor precio de lo presupuestado, y por consiguiente impacta en el subejercicio acumulado, lo cual es considerada como un ahorro.</w:t>
      </w:r>
    </w:p>
    <w:p w:rsidR="00BA55A8" w:rsidRDefault="00BA55A8" w:rsidP="00BA55A8">
      <w:pPr>
        <w:spacing w:line="276" w:lineRule="auto"/>
        <w:ind w:right="-1"/>
        <w:jc w:val="both"/>
      </w:pPr>
      <w:r w:rsidRPr="00E71AB5">
        <w:rPr>
          <w:rFonts w:cs="Arial"/>
          <w:b/>
        </w:rPr>
        <w:t>En el Capítulo 9000 “Deuda Pública”. -</w:t>
      </w:r>
      <w:r w:rsidRPr="00E71AB5">
        <w:t xml:space="preserve"> </w:t>
      </w:r>
      <w:r w:rsidRPr="00DB4B29">
        <w:t>El subejercicio obtenido en el capítulo de “Deuda Pública”, deriva del remanente del pago del cupón de los Certificados Bursátiles Fiduciarios Series “A”, “B” y "C" correspondientes al segundo semestre.</w:t>
      </w:r>
    </w:p>
    <w:p w:rsidR="00BA55A8" w:rsidRDefault="00BA55A8" w:rsidP="00BA55A8">
      <w:pPr>
        <w:numPr>
          <w:ilvl w:val="0"/>
          <w:numId w:val="5"/>
        </w:numPr>
        <w:tabs>
          <w:tab w:val="left" w:pos="3836"/>
        </w:tabs>
        <w:spacing w:after="240" w:line="276" w:lineRule="auto"/>
        <w:ind w:left="714" w:right="-1" w:hanging="357"/>
        <w:contextualSpacing/>
        <w:outlineLvl w:val="0"/>
        <w:rPr>
          <w:rFonts w:eastAsia="Times New Roman" w:cs="Arial"/>
          <w:b/>
          <w:lang w:eastAsia="es-MX"/>
        </w:rPr>
      </w:pPr>
      <w:r w:rsidRPr="00E07F00">
        <w:rPr>
          <w:rFonts w:eastAsia="Times New Roman" w:cs="Arial"/>
          <w:b/>
          <w:lang w:eastAsia="es-MX"/>
        </w:rPr>
        <w:t>NOTAS DE GESTIÓN ADMINISTRATIVA</w:t>
      </w:r>
    </w:p>
    <w:p w:rsidR="00BA55A8" w:rsidRPr="00E07F00" w:rsidRDefault="00BA55A8" w:rsidP="00BA55A8">
      <w:pPr>
        <w:tabs>
          <w:tab w:val="left" w:pos="3836"/>
        </w:tabs>
        <w:spacing w:after="240" w:line="276" w:lineRule="auto"/>
        <w:ind w:left="714" w:right="-1"/>
        <w:contextualSpacing/>
        <w:outlineLvl w:val="0"/>
        <w:rPr>
          <w:rFonts w:eastAsia="Times New Roman" w:cs="Arial"/>
          <w:b/>
          <w:lang w:eastAsia="es-MX"/>
        </w:rPr>
      </w:pPr>
    </w:p>
    <w:p w:rsidR="00BA55A8" w:rsidRPr="007B52E3" w:rsidRDefault="00BA55A8" w:rsidP="00BA55A8">
      <w:pPr>
        <w:spacing w:line="276" w:lineRule="auto"/>
        <w:ind w:right="-1"/>
        <w:jc w:val="both"/>
      </w:pPr>
      <w:r w:rsidRPr="007B52E3">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rsidR="00BA55A8" w:rsidRPr="007B52E3" w:rsidRDefault="00BA55A8" w:rsidP="00BA55A8">
      <w:pPr>
        <w:spacing w:line="276" w:lineRule="auto"/>
        <w:ind w:right="-1"/>
        <w:jc w:val="both"/>
        <w:rPr>
          <w:sz w:val="2"/>
        </w:rPr>
      </w:pPr>
    </w:p>
    <w:p w:rsidR="00BA55A8" w:rsidRDefault="00BA55A8" w:rsidP="00BA55A8">
      <w:pPr>
        <w:spacing w:line="276" w:lineRule="auto"/>
        <w:ind w:right="-1"/>
        <w:jc w:val="both"/>
      </w:pPr>
      <w:r w:rsidRPr="007B52E3">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A55A8" w:rsidRPr="007B52E3" w:rsidRDefault="00BA55A8" w:rsidP="00BA55A8">
      <w:pPr>
        <w:numPr>
          <w:ilvl w:val="0"/>
          <w:numId w:val="9"/>
        </w:numPr>
        <w:spacing w:after="0" w:line="276" w:lineRule="auto"/>
        <w:ind w:left="851" w:right="-1"/>
        <w:contextualSpacing/>
        <w:rPr>
          <w:rFonts w:eastAsia="Times New Roman" w:cs="Arial"/>
          <w:b/>
          <w:lang w:eastAsia="es-MX"/>
        </w:rPr>
      </w:pPr>
      <w:r w:rsidRPr="007B52E3">
        <w:rPr>
          <w:rFonts w:eastAsia="Times New Roman" w:cs="Times New Roman"/>
          <w:b/>
          <w:lang w:eastAsia="es-MX"/>
        </w:rPr>
        <w:t>Introducción</w:t>
      </w:r>
    </w:p>
    <w:p w:rsidR="00BA55A8" w:rsidRPr="00E07F00" w:rsidRDefault="00BA55A8" w:rsidP="00BA55A8">
      <w:pPr>
        <w:spacing w:before="240" w:line="276" w:lineRule="auto"/>
        <w:ind w:right="-1"/>
        <w:jc w:val="both"/>
      </w:pPr>
      <w:r w:rsidRPr="00E07F00">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BA55A8" w:rsidRPr="00E07F00" w:rsidRDefault="00BA55A8" w:rsidP="00BA55A8">
      <w:pPr>
        <w:spacing w:line="276" w:lineRule="auto"/>
        <w:ind w:right="-1"/>
        <w:jc w:val="both"/>
      </w:pPr>
      <w:r w:rsidRPr="00E07F00">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rsidR="00BA55A8" w:rsidRPr="00E07F00" w:rsidRDefault="00BA55A8" w:rsidP="00BA55A8">
      <w:pPr>
        <w:spacing w:line="276" w:lineRule="auto"/>
        <w:ind w:right="-1"/>
        <w:jc w:val="both"/>
      </w:pPr>
      <w:r w:rsidRPr="00E07F00">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rsidR="00BA55A8" w:rsidRDefault="00BA55A8" w:rsidP="00BA55A8">
      <w:pPr>
        <w:spacing w:line="276" w:lineRule="auto"/>
        <w:ind w:right="-1"/>
        <w:jc w:val="both"/>
      </w:pPr>
      <w:r w:rsidRPr="00E07F00">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rsidR="00BA55A8" w:rsidRDefault="00BA55A8" w:rsidP="00BA55A8">
      <w:pPr>
        <w:spacing w:line="276" w:lineRule="auto"/>
        <w:ind w:right="-1"/>
        <w:jc w:val="both"/>
      </w:pPr>
    </w:p>
    <w:p w:rsidR="00BA55A8" w:rsidRPr="00E07F00" w:rsidRDefault="00BA55A8" w:rsidP="00BA55A8">
      <w:pPr>
        <w:numPr>
          <w:ilvl w:val="0"/>
          <w:numId w:val="9"/>
        </w:numPr>
        <w:spacing w:after="0" w:line="276" w:lineRule="auto"/>
        <w:ind w:left="851" w:right="-1"/>
        <w:contextualSpacing/>
        <w:rPr>
          <w:rFonts w:eastAsia="Times New Roman" w:cs="Times New Roman"/>
          <w:b/>
          <w:lang w:eastAsia="es-MX"/>
        </w:rPr>
      </w:pPr>
      <w:r w:rsidRPr="00E07F00">
        <w:rPr>
          <w:rFonts w:eastAsia="Times New Roman" w:cs="Times New Roman"/>
          <w:b/>
          <w:lang w:eastAsia="es-MX"/>
        </w:rPr>
        <w:t>Panorama Económico y Financiero</w:t>
      </w:r>
    </w:p>
    <w:p w:rsidR="00B73BEA" w:rsidRDefault="00BA55A8" w:rsidP="00BA55A8">
      <w:pPr>
        <w:spacing w:after="101" w:line="276" w:lineRule="auto"/>
        <w:ind w:right="-1"/>
        <w:jc w:val="both"/>
        <w:rPr>
          <w:rFonts w:eastAsia="Times New Roman" w:cs="Arial"/>
          <w:lang w:val="es-ES" w:eastAsia="es-ES"/>
        </w:rPr>
      </w:pPr>
      <w:r w:rsidRPr="00E07F00">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rsidR="00B73BEA" w:rsidRDefault="00B73BEA">
      <w:pPr>
        <w:spacing w:line="259" w:lineRule="auto"/>
        <w:rPr>
          <w:rFonts w:eastAsia="Times New Roman" w:cs="Arial"/>
          <w:lang w:val="es-ES" w:eastAsia="es-ES"/>
        </w:rPr>
      </w:pPr>
      <w:r>
        <w:rPr>
          <w:rFonts w:eastAsia="Times New Roman" w:cs="Arial"/>
          <w:lang w:val="es-ES" w:eastAsia="es-ES"/>
        </w:rPr>
        <w:br w:type="page"/>
      </w:r>
    </w:p>
    <w:p w:rsidR="00BA55A8" w:rsidRDefault="00BA55A8" w:rsidP="00BA55A8">
      <w:pPr>
        <w:numPr>
          <w:ilvl w:val="0"/>
          <w:numId w:val="9"/>
        </w:numPr>
        <w:spacing w:after="0" w:line="276" w:lineRule="auto"/>
        <w:ind w:left="851" w:right="-1"/>
        <w:contextualSpacing/>
        <w:rPr>
          <w:rFonts w:eastAsia="Times New Roman" w:cs="Times New Roman"/>
          <w:b/>
          <w:lang w:eastAsia="es-MX"/>
        </w:rPr>
      </w:pPr>
      <w:r w:rsidRPr="00E07F00">
        <w:rPr>
          <w:rFonts w:eastAsia="Times New Roman" w:cs="Times New Roman"/>
          <w:b/>
          <w:lang w:eastAsia="es-MX"/>
        </w:rPr>
        <w:t>Autorización e Historia</w:t>
      </w:r>
    </w:p>
    <w:p w:rsidR="00B73BEA" w:rsidRDefault="00B73BEA" w:rsidP="00B73BEA">
      <w:pPr>
        <w:spacing w:after="0" w:line="276" w:lineRule="auto"/>
        <w:ind w:left="851" w:right="-1"/>
        <w:contextualSpacing/>
        <w:rPr>
          <w:rFonts w:eastAsia="Times New Roman" w:cs="Times New Roman"/>
          <w:b/>
          <w:lang w:eastAsia="es-MX"/>
        </w:rPr>
      </w:pPr>
    </w:p>
    <w:p w:rsidR="00BA55A8" w:rsidRPr="00E07F00" w:rsidRDefault="00BA55A8" w:rsidP="00BA55A8">
      <w:pPr>
        <w:spacing w:line="276" w:lineRule="auto"/>
        <w:ind w:right="-1"/>
        <w:jc w:val="both"/>
      </w:pPr>
      <w:r w:rsidRPr="00E07F00">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BA55A8" w:rsidRPr="00E07F00" w:rsidRDefault="00BA55A8" w:rsidP="00BA55A8">
      <w:pPr>
        <w:spacing w:line="276" w:lineRule="auto"/>
        <w:ind w:right="-1"/>
        <w:jc w:val="both"/>
      </w:pPr>
      <w:r w:rsidRPr="00E07F00">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rsidR="00BA55A8" w:rsidRPr="00E07F00" w:rsidRDefault="00BA55A8" w:rsidP="00BA55A8">
      <w:pPr>
        <w:spacing w:line="276" w:lineRule="auto"/>
        <w:ind w:right="-1"/>
        <w:jc w:val="both"/>
      </w:pPr>
      <w:r w:rsidRPr="00E07F00">
        <w:t>Asimismo, se subrogaron al Instituto de la Función Registral del Estado de México, los derechos y obligaciones de la Dirección General del Registro Público de la Propiedad de la Secretaría General de Gobierno.</w:t>
      </w:r>
    </w:p>
    <w:p w:rsidR="00BA55A8" w:rsidRPr="00E07F00" w:rsidRDefault="00BA55A8" w:rsidP="00BA55A8">
      <w:pPr>
        <w:spacing w:line="276" w:lineRule="auto"/>
        <w:ind w:right="-1"/>
        <w:jc w:val="both"/>
      </w:pPr>
      <w:r w:rsidRPr="00E07F00">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rsidR="00BA55A8" w:rsidRPr="00E07F00" w:rsidRDefault="00BA55A8" w:rsidP="00BA55A8">
      <w:pPr>
        <w:spacing w:line="276" w:lineRule="auto"/>
        <w:ind w:right="-1"/>
        <w:jc w:val="both"/>
      </w:pPr>
      <w:r w:rsidRPr="00E07F00">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BA55A8" w:rsidRPr="00E07F00" w:rsidRDefault="00BA55A8" w:rsidP="00BA55A8">
      <w:pPr>
        <w:spacing w:line="276" w:lineRule="auto"/>
        <w:ind w:right="-1"/>
        <w:jc w:val="both"/>
      </w:pPr>
      <w:r w:rsidRPr="00E07F00">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rsidR="00BA55A8" w:rsidRPr="00E07F00" w:rsidRDefault="00BA55A8" w:rsidP="00BA55A8">
      <w:pPr>
        <w:spacing w:line="276" w:lineRule="auto"/>
        <w:ind w:right="-1"/>
        <w:jc w:val="both"/>
      </w:pPr>
      <w:r w:rsidRPr="00E07F00">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rsidR="00BA55A8" w:rsidRPr="00E07F00" w:rsidRDefault="00BA55A8" w:rsidP="00BA55A8">
      <w:pPr>
        <w:spacing w:line="276" w:lineRule="auto"/>
        <w:ind w:right="-1"/>
        <w:jc w:val="both"/>
      </w:pPr>
      <w:r w:rsidRPr="00E07F00">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BA55A8" w:rsidRPr="00E07F00" w:rsidRDefault="00BA55A8" w:rsidP="00BA55A8">
      <w:pPr>
        <w:spacing w:line="276" w:lineRule="auto"/>
        <w:ind w:right="-1"/>
        <w:jc w:val="both"/>
      </w:pPr>
      <w:r w:rsidRPr="00E07F00">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rsidR="00BA55A8" w:rsidRPr="00E07F00" w:rsidRDefault="00BA55A8" w:rsidP="00BA55A8">
      <w:pPr>
        <w:spacing w:line="276" w:lineRule="auto"/>
        <w:ind w:left="360" w:right="-1"/>
        <w:jc w:val="both"/>
        <w:rPr>
          <w:b/>
        </w:rPr>
      </w:pPr>
      <w:r w:rsidRPr="00E07F00">
        <w:rPr>
          <w:b/>
        </w:rPr>
        <w:t>4.</w:t>
      </w:r>
      <w:r w:rsidRPr="00E07F00">
        <w:rPr>
          <w:b/>
        </w:rPr>
        <w:tab/>
        <w:t>Organización y Objeto Social</w:t>
      </w:r>
    </w:p>
    <w:p w:rsidR="00BA55A8" w:rsidRPr="00E07F00" w:rsidRDefault="00BA55A8" w:rsidP="00BA55A8">
      <w:pPr>
        <w:spacing w:after="0" w:line="276" w:lineRule="auto"/>
        <w:ind w:right="-1"/>
        <w:jc w:val="both"/>
        <w:rPr>
          <w:rFonts w:eastAsia="Times New Roman" w:cs="Arial"/>
          <w:lang w:val="es-ES" w:eastAsia="es-ES"/>
        </w:rPr>
      </w:pPr>
      <w:r w:rsidRPr="00E07F00">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BA55A8" w:rsidRDefault="00BA55A8" w:rsidP="00BA55A8">
      <w:pPr>
        <w:spacing w:line="276" w:lineRule="auto"/>
        <w:ind w:right="-1"/>
        <w:jc w:val="both"/>
      </w:pPr>
      <w:r w:rsidRPr="00E07F00">
        <w:t xml:space="preserve">Actualmente, el Instituto de la Función Registral del Estado de México cuenta con una estructura orgánica autorizada por la Secretaría de Finanzas en mayo de 2013 integrada por 50 unidades administrativas (una </w:t>
      </w:r>
    </w:p>
    <w:p w:rsidR="00BA55A8" w:rsidRPr="00975D4B" w:rsidRDefault="00BA55A8" w:rsidP="00BA55A8">
      <w:pPr>
        <w:spacing w:line="276" w:lineRule="auto"/>
        <w:ind w:right="-1"/>
        <w:jc w:val="both"/>
        <w:rPr>
          <w:rFonts w:eastAsia="Times New Roman" w:cs="Arial"/>
          <w:lang w:val="es-ES" w:eastAsia="es-ES"/>
        </w:rPr>
      </w:pPr>
      <w:r w:rsidRPr="00E07F00">
        <w:t xml:space="preserve">Dirección General, cinco Direcciones de Área, nueve Subdirecciones y 35 Departamentos). El organigrama se puede consultar en la siguiente liga: </w:t>
      </w:r>
      <w:hyperlink r:id="rId23" w:history="1">
        <w:r w:rsidRPr="00E07F00">
          <w:rPr>
            <w:color w:val="0000FF"/>
            <w:u w:val="single"/>
          </w:rPr>
          <w:t>http://ifrem.edomex.gob.mx/organigrama</w:t>
        </w:r>
      </w:hyperlink>
      <w:r w:rsidRPr="00E07F00">
        <w:t xml:space="preserve">. </w:t>
      </w:r>
      <w:r w:rsidRPr="00E07F00">
        <w:rPr>
          <w:rFonts w:eastAsia="Times New Roman" w:cs="Arial"/>
          <w:lang w:val="es-ES" w:eastAsia="es-ES"/>
        </w:rPr>
        <w:t>El Instituto,</w:t>
      </w:r>
      <w:r w:rsidRPr="00E07F00">
        <w:rPr>
          <w:rFonts w:eastAsia="Times New Roman" w:cs="CenturyGothic"/>
          <w:lang w:val="es-ES" w:eastAsia="es-ES"/>
        </w:rPr>
        <w:t xml:space="preserve"> p</w:t>
      </w:r>
      <w:r w:rsidRPr="00E07F00">
        <w:rPr>
          <w:rFonts w:eastAsia="Times New Roman" w:cs="Arial"/>
          <w:lang w:val="es-ES" w:eastAsia="es-ES"/>
        </w:rPr>
        <w:t>ara el cumplimiento de su objeto, tendrá las atribuciones que se mencionan en su Decreto de creación publicado en el periódico oficial Gaceta del Gobierno.</w:t>
      </w:r>
    </w:p>
    <w:p w:rsidR="00BA55A8" w:rsidRPr="00E07F00" w:rsidRDefault="00BA55A8" w:rsidP="00BA55A8">
      <w:pPr>
        <w:numPr>
          <w:ilvl w:val="0"/>
          <w:numId w:val="10"/>
        </w:numPr>
        <w:spacing w:after="240" w:line="276" w:lineRule="auto"/>
        <w:ind w:right="-1"/>
        <w:contextualSpacing/>
        <w:jc w:val="both"/>
        <w:rPr>
          <w:rFonts w:eastAsia="Times New Roman" w:cs="Times New Roman"/>
          <w:lang w:eastAsia="es-MX"/>
        </w:rPr>
      </w:pPr>
      <w:r w:rsidRPr="00E07F00">
        <w:rPr>
          <w:rFonts w:eastAsia="Times New Roman" w:cs="Times New Roman"/>
          <w:b/>
          <w:lang w:eastAsia="es-MX"/>
        </w:rPr>
        <w:t>Bases de preparación de los Estados Financieros</w:t>
      </w:r>
    </w:p>
    <w:p w:rsidR="00BA55A8" w:rsidRPr="00E07F00" w:rsidRDefault="00BA55A8" w:rsidP="00BA55A8">
      <w:pPr>
        <w:spacing w:after="240" w:line="276" w:lineRule="auto"/>
        <w:ind w:left="284" w:right="-1"/>
        <w:contextualSpacing/>
        <w:jc w:val="both"/>
        <w:rPr>
          <w:rFonts w:eastAsia="Times New Roman" w:cs="Times New Roman"/>
          <w:sz w:val="6"/>
          <w:lang w:eastAsia="es-MX"/>
        </w:rPr>
      </w:pPr>
    </w:p>
    <w:p w:rsidR="00BA55A8" w:rsidRPr="00E07F00" w:rsidRDefault="00BA55A8" w:rsidP="00BA55A8">
      <w:pPr>
        <w:spacing w:after="101" w:line="276" w:lineRule="auto"/>
        <w:ind w:right="-1"/>
        <w:jc w:val="both"/>
        <w:rPr>
          <w:rFonts w:eastAsia="Times New Roman" w:cs="Arial"/>
          <w:lang w:val="es-ES" w:eastAsia="es-ES"/>
        </w:rPr>
      </w:pPr>
      <w:r w:rsidRPr="00E07F00">
        <w:rPr>
          <w:rFonts w:eastAsia="Times New Roman" w:cs="Arial"/>
          <w:lang w:val="es-ES" w:eastAsia="es-ES"/>
        </w:rPr>
        <w:t xml:space="preserve">Los Estados Financieros que se acompañan, fueron preparados observando la normatividad emitida por el CONAC y las disposiciones legales aplicables, con base en el Manual Único de Contabilidad Gubernamental para las Dependencias y Entidades del Gobierno y Municipios del </w:t>
      </w:r>
      <w:r>
        <w:rPr>
          <w:rFonts w:eastAsia="Times New Roman" w:cs="Arial"/>
          <w:lang w:val="es-ES" w:eastAsia="es-ES"/>
        </w:rPr>
        <w:t>Estado de México, (Decimoctava</w:t>
      </w:r>
      <w:r w:rsidRPr="00E07F00">
        <w:rPr>
          <w:rFonts w:eastAsia="Times New Roman" w:cs="Arial"/>
          <w:lang w:val="es-ES" w:eastAsia="es-ES"/>
        </w:rPr>
        <w:t xml:space="preserve"> Edición)</w:t>
      </w:r>
      <w:r>
        <w:rPr>
          <w:rFonts w:eastAsia="Times New Roman" w:cs="Arial"/>
          <w:lang w:val="es-ES" w:eastAsia="es-ES"/>
        </w:rPr>
        <w:t xml:space="preserve"> 2019</w:t>
      </w:r>
      <w:r w:rsidRPr="00E07F00">
        <w:rPr>
          <w:rFonts w:eastAsia="Times New Roman" w:cs="Arial"/>
          <w:lang w:val="es-ES" w:eastAsia="es-ES"/>
        </w:rPr>
        <w:t>, para el presente ejercicio fiscal, publicado en la “</w:t>
      </w:r>
      <w:r>
        <w:rPr>
          <w:rFonts w:eastAsia="Times New Roman" w:cs="Arial"/>
          <w:lang w:val="es-ES" w:eastAsia="es-ES"/>
        </w:rPr>
        <w:t>Gaceta del Gobierno” el lunes 31 de mayo de 2019</w:t>
      </w:r>
      <w:r w:rsidRPr="00E07F00">
        <w:rPr>
          <w:rFonts w:eastAsia="Times New Roman" w:cs="Arial"/>
          <w:lang w:val="es-ES" w:eastAsia="es-ES"/>
        </w:rPr>
        <w:t>, aplicable a los Organismos Auxiliares del Gobierno del Estado de México, para efectos de la Ley para la Coordinación y Control de Organismos Auxiliares.</w:t>
      </w:r>
    </w:p>
    <w:p w:rsidR="00BA55A8" w:rsidRPr="00E07F00" w:rsidRDefault="00BA55A8" w:rsidP="00BA55A8">
      <w:pPr>
        <w:spacing w:line="276" w:lineRule="auto"/>
        <w:ind w:right="-1"/>
        <w:jc w:val="both"/>
      </w:pPr>
      <w:r w:rsidRPr="00E07F00">
        <w:t xml:space="preserve">Con base en dicho manual en este ejercicio se han realizado las </w:t>
      </w:r>
      <w:r w:rsidRPr="00975D4B">
        <w:rPr>
          <w:rFonts w:eastAsia="Times New Roman" w:cs="Arial"/>
          <w:lang w:val="es-ES" w:eastAsia="es-ES"/>
        </w:rPr>
        <w:t>adecuaciones</w:t>
      </w:r>
      <w:r w:rsidRPr="00E07F00">
        <w:t xml:space="preserve"> de presentación necesarias para estas notas. Así mismo </w:t>
      </w:r>
      <w:r w:rsidRPr="00E07F00">
        <w:rPr>
          <w:rFonts w:cs="Arial"/>
          <w:lang w:eastAsia="es-MX"/>
        </w:rPr>
        <w:t>la información se elaboró conforme a las normas, criterios y principios técnicos y las disposiciones legales aplicables, obedeciendo a las mejores prácticas contables,</w:t>
      </w:r>
      <w:r w:rsidRPr="00E07F00">
        <w:t xml:space="preserve"> se incluye lo correspondiente a las normas y lineamientos </w:t>
      </w:r>
      <w:r w:rsidRPr="00E07F00">
        <w:rPr>
          <w:rFonts w:cs="Arial"/>
          <w:lang w:eastAsia="es-MX"/>
        </w:rPr>
        <w:t xml:space="preserve">emitidos por </w:t>
      </w:r>
      <w:r w:rsidRPr="00E07F00">
        <w:t>el Consejo Nacional de Armonización Contable (CONAC)</w:t>
      </w:r>
      <w:r w:rsidRPr="00E07F00">
        <w:rPr>
          <w:rFonts w:cs="Arial"/>
          <w:lang w:eastAsia="es-MX"/>
        </w:rPr>
        <w:t>;</w:t>
      </w:r>
      <w:r w:rsidRPr="00E07F00">
        <w:t xml:space="preserve"> publicados el 13 de octubre de 2014, en el periódico oficial del Gobierno del Estado de México, denominado “Gaceta del Gobierno”.</w:t>
      </w:r>
    </w:p>
    <w:p w:rsidR="00BA55A8" w:rsidRPr="00E07F00" w:rsidRDefault="00BA55A8" w:rsidP="00BA55A8">
      <w:pPr>
        <w:autoSpaceDE w:val="0"/>
        <w:autoSpaceDN w:val="0"/>
        <w:adjustRightInd w:val="0"/>
        <w:spacing w:line="276" w:lineRule="auto"/>
        <w:ind w:right="-1"/>
        <w:jc w:val="both"/>
      </w:pPr>
      <w:r w:rsidRPr="00E07F00">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BA55A8" w:rsidRPr="00E07F00" w:rsidRDefault="00BA55A8" w:rsidP="00BA55A8">
      <w:pPr>
        <w:autoSpaceDE w:val="0"/>
        <w:autoSpaceDN w:val="0"/>
        <w:adjustRightInd w:val="0"/>
        <w:spacing w:line="276" w:lineRule="auto"/>
        <w:ind w:right="-1"/>
        <w:jc w:val="both"/>
        <w:rPr>
          <w:b/>
          <w:bCs/>
        </w:rPr>
      </w:pPr>
      <w:r w:rsidRPr="00E07F00">
        <w:t>El 26 de octubre de 2018, el Consejo Nacional de Armonización Contable con fundamento en los artículos 6, 7, 9 y 14 de la Ley General de Contabilidad Gubernamental, aprobó los siguientes: “</w:t>
      </w:r>
      <w:r w:rsidRPr="00E07F00">
        <w:rPr>
          <w:b/>
          <w:bCs/>
        </w:rPr>
        <w:t xml:space="preserve">Acuerdo por el que se reforman y adicionan las Normas y Metodología para la Determinación de los Momentos Contables de los Ingresos”, </w:t>
      </w:r>
      <w:r w:rsidRPr="00E07F00">
        <w:rPr>
          <w:bCs/>
        </w:rPr>
        <w:t>así como</w:t>
      </w:r>
      <w:r w:rsidRPr="00E07F00">
        <w:rPr>
          <w:b/>
          <w:bCs/>
        </w:rPr>
        <w:t xml:space="preserve">; el Acuerdo por el que se reforma y adiciona el Manual de Contabilidad Gubernamental. </w:t>
      </w:r>
      <w:r w:rsidRPr="00E07F00">
        <w:rPr>
          <w:b/>
          <w:bCs/>
          <w:i/>
          <w:sz w:val="22"/>
        </w:rPr>
        <w:t>“</w:t>
      </w:r>
      <w:r w:rsidRPr="00E07F00">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Pr="00E07F00">
        <w:rPr>
          <w:b/>
          <w:bCs/>
        </w:rPr>
        <w:t>“</w:t>
      </w:r>
    </w:p>
    <w:p w:rsidR="00BA55A8" w:rsidRPr="00E07F00" w:rsidRDefault="00BA55A8" w:rsidP="00BA55A8">
      <w:pPr>
        <w:autoSpaceDE w:val="0"/>
        <w:autoSpaceDN w:val="0"/>
        <w:adjustRightInd w:val="0"/>
        <w:spacing w:line="276" w:lineRule="auto"/>
        <w:ind w:right="-1"/>
        <w:jc w:val="both"/>
        <w:rPr>
          <w:i/>
          <w:sz w:val="18"/>
          <w:szCs w:val="16"/>
        </w:rPr>
      </w:pPr>
      <w:r w:rsidRPr="00E07F00">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07F00">
        <w:rPr>
          <w:rFonts w:eastAsia="Times New Roman" w:cs="Times New Roman"/>
          <w:b/>
          <w:lang w:eastAsia="es-MX"/>
        </w:rPr>
        <w:t>Políticas de Contabilidad Significativas”.</w:t>
      </w:r>
      <w:r w:rsidRPr="00E07F00">
        <w:rPr>
          <w:rFonts w:cs="Arial"/>
          <w:color w:val="000000"/>
          <w:sz w:val="16"/>
          <w:szCs w:val="16"/>
        </w:rPr>
        <w:t xml:space="preserve"> </w:t>
      </w:r>
      <w:r w:rsidRPr="00E07F00">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rsidR="00BA55A8" w:rsidRPr="00E07F00" w:rsidRDefault="00BA55A8" w:rsidP="00BA55A8">
      <w:pPr>
        <w:autoSpaceDE w:val="0"/>
        <w:autoSpaceDN w:val="0"/>
        <w:adjustRightInd w:val="0"/>
        <w:spacing w:after="240" w:line="276" w:lineRule="auto"/>
        <w:ind w:left="284" w:right="-1"/>
        <w:contextualSpacing/>
        <w:jc w:val="both"/>
        <w:rPr>
          <w:rFonts w:cs="Arial"/>
        </w:rPr>
      </w:pPr>
    </w:p>
    <w:p w:rsidR="00BA55A8" w:rsidRPr="00E07F00" w:rsidRDefault="00BA55A8" w:rsidP="00BA55A8">
      <w:pPr>
        <w:autoSpaceDE w:val="0"/>
        <w:autoSpaceDN w:val="0"/>
        <w:adjustRightInd w:val="0"/>
        <w:spacing w:after="240" w:line="276" w:lineRule="auto"/>
        <w:ind w:left="284" w:right="-1"/>
        <w:contextualSpacing/>
        <w:jc w:val="both"/>
        <w:rPr>
          <w:i/>
          <w:sz w:val="18"/>
          <w:szCs w:val="16"/>
        </w:rPr>
      </w:pPr>
      <w:r w:rsidRPr="00E07F00">
        <w:rPr>
          <w:rFonts w:cs="Arial"/>
          <w:b/>
          <w:bCs/>
        </w:rPr>
        <w:t xml:space="preserve">“Acuerdo por el que se reforma y adiciona el Formato de Conciliación entre los Ingresos Presupuestarios y Contables, así como entre los Egresos Presupuestarios y los Gastos Contables”. </w:t>
      </w:r>
      <w:r w:rsidRPr="00E07F00">
        <w:rPr>
          <w:i/>
          <w:sz w:val="18"/>
          <w:szCs w:val="16"/>
        </w:rPr>
        <w:t xml:space="preserve">“Se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w:t>
      </w:r>
      <w:proofErr w:type="gramStart"/>
      <w:r w:rsidRPr="00E07F00">
        <w:rPr>
          <w:i/>
          <w:sz w:val="18"/>
          <w:szCs w:val="16"/>
        </w:rPr>
        <w:t>Total</w:t>
      </w:r>
      <w:proofErr w:type="gramEnd"/>
      <w:r w:rsidRPr="00E07F00">
        <w:rPr>
          <w:i/>
          <w:sz w:val="18"/>
          <w:szCs w:val="16"/>
        </w:rPr>
        <w:t xml:space="preserve">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rsidR="00BA55A8" w:rsidRPr="00E07F00" w:rsidRDefault="00BA55A8" w:rsidP="00BA55A8">
      <w:pPr>
        <w:autoSpaceDE w:val="0"/>
        <w:autoSpaceDN w:val="0"/>
        <w:adjustRightInd w:val="0"/>
        <w:spacing w:after="240" w:line="276" w:lineRule="auto"/>
        <w:ind w:left="284" w:right="-1"/>
        <w:contextualSpacing/>
        <w:jc w:val="both"/>
        <w:rPr>
          <w:rFonts w:cs="Arial"/>
          <w:b/>
          <w:bCs/>
        </w:rPr>
      </w:pPr>
    </w:p>
    <w:p w:rsidR="00BA55A8" w:rsidRPr="00E07F00" w:rsidRDefault="00BA55A8" w:rsidP="00BA55A8">
      <w:pPr>
        <w:autoSpaceDE w:val="0"/>
        <w:autoSpaceDN w:val="0"/>
        <w:adjustRightInd w:val="0"/>
        <w:spacing w:after="240" w:line="276" w:lineRule="auto"/>
        <w:ind w:left="284" w:right="-1"/>
        <w:contextualSpacing/>
        <w:jc w:val="both"/>
        <w:rPr>
          <w:i/>
          <w:sz w:val="18"/>
          <w:szCs w:val="16"/>
        </w:rPr>
      </w:pPr>
      <w:r w:rsidRPr="00E07F00">
        <w:rPr>
          <w:rFonts w:cs="Arial"/>
          <w:b/>
          <w:bCs/>
        </w:rPr>
        <w:t>“Acuerdo por el que se reforma el Clasificador por Rubros de Ingresos”. “</w:t>
      </w:r>
      <w:r w:rsidRPr="00E07F00">
        <w:rPr>
          <w:i/>
          <w:sz w:val="18"/>
          <w:szCs w:val="16"/>
        </w:rPr>
        <w:t>Se reforman el párrafo sexto de antecedentes y el párrafo catorce del punto A. ASPECTOS GENERALES”.</w:t>
      </w:r>
    </w:p>
    <w:p w:rsidR="00BA55A8" w:rsidRPr="00E07F00" w:rsidRDefault="00BA55A8" w:rsidP="00BA55A8">
      <w:pPr>
        <w:autoSpaceDE w:val="0"/>
        <w:autoSpaceDN w:val="0"/>
        <w:adjustRightInd w:val="0"/>
        <w:spacing w:after="240" w:line="276" w:lineRule="auto"/>
        <w:ind w:left="284" w:right="-1"/>
        <w:contextualSpacing/>
        <w:jc w:val="both"/>
        <w:rPr>
          <w:rFonts w:cs="Arial"/>
          <w:b/>
          <w:bCs/>
        </w:rPr>
      </w:pPr>
    </w:p>
    <w:p w:rsidR="00BA55A8" w:rsidRPr="00E07F00" w:rsidRDefault="00BA55A8" w:rsidP="00BA55A8">
      <w:pPr>
        <w:spacing w:after="0" w:line="276" w:lineRule="auto"/>
        <w:ind w:right="-1"/>
        <w:jc w:val="both"/>
        <w:rPr>
          <w:rFonts w:cs="Arial"/>
        </w:rPr>
      </w:pPr>
      <w:r w:rsidRPr="00E07F00">
        <w:rPr>
          <w:rFonts w:cs="Arial"/>
        </w:rPr>
        <w:t>Adicionalmente se está realizando a partir de este ejercicio fiscal la actualización de la Plataforma del Sistema de Contabilidad Integral Gubernamental que se encuentra en proceso de instalación.</w:t>
      </w:r>
    </w:p>
    <w:p w:rsidR="00BA55A8" w:rsidRPr="00E07F00" w:rsidRDefault="00BA55A8" w:rsidP="00BA55A8">
      <w:pPr>
        <w:spacing w:after="0" w:line="276" w:lineRule="auto"/>
        <w:ind w:right="-1"/>
        <w:jc w:val="both"/>
        <w:rPr>
          <w:rFonts w:cs="Arial"/>
        </w:rPr>
      </w:pPr>
    </w:p>
    <w:p w:rsidR="00BA55A8" w:rsidRDefault="00BA55A8" w:rsidP="00BA55A8">
      <w:pPr>
        <w:spacing w:after="0" w:line="276" w:lineRule="auto"/>
        <w:ind w:right="-1"/>
        <w:jc w:val="both"/>
        <w:rPr>
          <w:rFonts w:cs="Arial"/>
        </w:rPr>
      </w:pPr>
      <w:r w:rsidRPr="00E07F00">
        <w:rPr>
          <w:rFonts w:cs="Arial"/>
        </w:rPr>
        <w:t>Cabe mencionar que, en cumplimiento a los acuerdos referidos anteriormente, a partir de marzo de 2019, se envía la información en pesos,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rsidR="00BA55A8" w:rsidRDefault="00BA55A8" w:rsidP="00BA55A8">
      <w:pPr>
        <w:spacing w:after="0" w:line="276" w:lineRule="auto"/>
        <w:ind w:right="-1"/>
        <w:jc w:val="both"/>
        <w:rPr>
          <w:rFonts w:cs="Arial"/>
        </w:rPr>
      </w:pPr>
    </w:p>
    <w:p w:rsidR="00BA55A8" w:rsidRPr="00E07F00" w:rsidRDefault="00BA55A8" w:rsidP="00BA55A8">
      <w:pPr>
        <w:numPr>
          <w:ilvl w:val="0"/>
          <w:numId w:val="10"/>
        </w:numPr>
        <w:autoSpaceDE w:val="0"/>
        <w:autoSpaceDN w:val="0"/>
        <w:adjustRightInd w:val="0"/>
        <w:spacing w:after="240" w:line="276" w:lineRule="auto"/>
        <w:ind w:left="284" w:right="-1" w:firstLine="0"/>
        <w:contextualSpacing/>
        <w:jc w:val="both"/>
        <w:rPr>
          <w:rFonts w:eastAsia="Times New Roman" w:cs="Times New Roman"/>
          <w:lang w:eastAsia="es-MX"/>
        </w:rPr>
      </w:pPr>
      <w:r w:rsidRPr="00E07F00">
        <w:rPr>
          <w:rFonts w:eastAsia="Times New Roman" w:cs="Times New Roman"/>
          <w:b/>
          <w:lang w:eastAsia="es-MX"/>
        </w:rPr>
        <w:t>Políticas de Contabilidad Significativas.</w:t>
      </w:r>
    </w:p>
    <w:p w:rsidR="00BA55A8" w:rsidRPr="00E07F00" w:rsidRDefault="00BA55A8" w:rsidP="00BA55A8">
      <w:pPr>
        <w:autoSpaceDE w:val="0"/>
        <w:autoSpaceDN w:val="0"/>
        <w:adjustRightInd w:val="0"/>
        <w:spacing w:after="240" w:line="276" w:lineRule="auto"/>
        <w:ind w:left="284" w:right="-1"/>
        <w:contextualSpacing/>
        <w:jc w:val="both"/>
        <w:rPr>
          <w:rFonts w:eastAsia="Times New Roman" w:cs="Times New Roman"/>
          <w:lang w:eastAsia="es-MX"/>
        </w:rPr>
      </w:pPr>
    </w:p>
    <w:p w:rsidR="00BA55A8" w:rsidRPr="00E07F00" w:rsidRDefault="00BA55A8" w:rsidP="00BA55A8">
      <w:pPr>
        <w:numPr>
          <w:ilvl w:val="0"/>
          <w:numId w:val="24"/>
        </w:numPr>
        <w:spacing w:before="240" w:line="276" w:lineRule="auto"/>
        <w:jc w:val="both"/>
        <w:rPr>
          <w:rFonts w:cs="Arial"/>
        </w:rPr>
      </w:pPr>
      <w:r w:rsidRPr="00E07F00">
        <w:rPr>
          <w:rFonts w:cs="Arial"/>
        </w:rPr>
        <w:t>Los Estados Financieros se preparan tomando como base los Postulados Básicos de Contabilidad Gubernamental.</w:t>
      </w:r>
    </w:p>
    <w:p w:rsidR="00BA55A8" w:rsidRPr="00E07F00" w:rsidRDefault="00BA55A8" w:rsidP="00BA55A8">
      <w:pPr>
        <w:numPr>
          <w:ilvl w:val="0"/>
          <w:numId w:val="24"/>
        </w:numPr>
        <w:spacing w:line="259" w:lineRule="auto"/>
        <w:ind w:right="-1"/>
        <w:jc w:val="both"/>
        <w:rPr>
          <w:rFonts w:cs="Arial"/>
        </w:rPr>
      </w:pPr>
      <w:r w:rsidRPr="00E07F00">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BA55A8" w:rsidRPr="00E07F00" w:rsidRDefault="00BA55A8" w:rsidP="00BA55A8">
      <w:pPr>
        <w:numPr>
          <w:ilvl w:val="0"/>
          <w:numId w:val="24"/>
        </w:numPr>
        <w:spacing w:line="276" w:lineRule="auto"/>
        <w:ind w:right="-1"/>
        <w:jc w:val="both"/>
        <w:rPr>
          <w:rFonts w:cs="Arial"/>
        </w:rPr>
      </w:pPr>
      <w:r w:rsidRPr="00E07F00">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BA55A8" w:rsidRPr="00E07F00" w:rsidRDefault="00BA55A8" w:rsidP="00BA55A8">
      <w:pPr>
        <w:numPr>
          <w:ilvl w:val="0"/>
          <w:numId w:val="24"/>
        </w:numPr>
        <w:spacing w:line="276" w:lineRule="auto"/>
        <w:ind w:right="-1"/>
        <w:jc w:val="both"/>
        <w:rPr>
          <w:rFonts w:cs="Arial"/>
        </w:rPr>
      </w:pPr>
      <w:r w:rsidRPr="00E07F00">
        <w:rPr>
          <w:rFonts w:cs="Arial"/>
        </w:rPr>
        <w:t>La información de obra pública se clasifica en Obras en Proceso y Gasto Ejercido; y Obras Concluidas y su Costo. Así como la información de la nómina: Plantilla de personal.</w:t>
      </w:r>
    </w:p>
    <w:p w:rsidR="00BA55A8" w:rsidRPr="00E07F00" w:rsidRDefault="00BA55A8" w:rsidP="00BA55A8">
      <w:pPr>
        <w:numPr>
          <w:ilvl w:val="0"/>
          <w:numId w:val="24"/>
        </w:numPr>
        <w:spacing w:line="276" w:lineRule="auto"/>
        <w:ind w:right="-1"/>
        <w:jc w:val="both"/>
        <w:rPr>
          <w:rFonts w:cs="Arial"/>
        </w:rPr>
      </w:pPr>
      <w:r w:rsidRPr="00E07F00">
        <w:rPr>
          <w:rFonts w:cs="Arial"/>
        </w:rPr>
        <w:t>Respecto a la clasificación del pasivo, se considerará a corto plazo el que vence dentro del ejercicio fiscal correspondiente y, a largo plazo el que venza en ejercicios fiscales posteriores al que corresponda la información.</w:t>
      </w:r>
    </w:p>
    <w:p w:rsidR="00BA55A8" w:rsidRPr="00E07F00" w:rsidRDefault="00BA55A8" w:rsidP="00BA55A8">
      <w:pPr>
        <w:numPr>
          <w:ilvl w:val="0"/>
          <w:numId w:val="24"/>
        </w:numPr>
        <w:spacing w:line="276" w:lineRule="auto"/>
        <w:ind w:right="-1"/>
        <w:jc w:val="both"/>
        <w:rPr>
          <w:rFonts w:cs="Arial"/>
        </w:rPr>
      </w:pPr>
      <w:r w:rsidRPr="00E07F00">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BA55A8" w:rsidRPr="00E07F00" w:rsidRDefault="00BA55A8" w:rsidP="00BA55A8">
      <w:pPr>
        <w:numPr>
          <w:ilvl w:val="0"/>
          <w:numId w:val="24"/>
        </w:numPr>
        <w:spacing w:line="276" w:lineRule="auto"/>
        <w:ind w:right="-1"/>
        <w:jc w:val="both"/>
        <w:rPr>
          <w:rFonts w:cs="Arial"/>
        </w:rPr>
      </w:pPr>
      <w:r w:rsidRPr="00E07F00">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rsidR="00BA55A8" w:rsidRPr="00E07F00" w:rsidRDefault="00BA55A8" w:rsidP="00BA55A8">
      <w:pPr>
        <w:numPr>
          <w:ilvl w:val="0"/>
          <w:numId w:val="24"/>
        </w:numPr>
        <w:spacing w:line="276" w:lineRule="auto"/>
        <w:ind w:right="-1"/>
        <w:jc w:val="both"/>
        <w:rPr>
          <w:rFonts w:cs="Arial"/>
        </w:rPr>
      </w:pPr>
      <w:r w:rsidRPr="00E07F00">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BA55A8" w:rsidRDefault="00BA55A8" w:rsidP="00BA55A8">
      <w:pPr>
        <w:numPr>
          <w:ilvl w:val="0"/>
          <w:numId w:val="24"/>
        </w:numPr>
        <w:spacing w:line="276" w:lineRule="auto"/>
        <w:ind w:right="-1"/>
        <w:jc w:val="both"/>
        <w:rPr>
          <w:rFonts w:cs="Arial"/>
        </w:rPr>
      </w:pPr>
      <w:r w:rsidRPr="00E07F00">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BA55A8" w:rsidRPr="00E07F00" w:rsidRDefault="00BA55A8" w:rsidP="00BA55A8">
      <w:pPr>
        <w:numPr>
          <w:ilvl w:val="0"/>
          <w:numId w:val="24"/>
        </w:numPr>
        <w:spacing w:line="276" w:lineRule="auto"/>
        <w:ind w:right="-1"/>
        <w:jc w:val="both"/>
        <w:rPr>
          <w:rFonts w:cs="Arial"/>
        </w:rPr>
      </w:pPr>
      <w:r w:rsidRPr="00E07F00">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BA55A8" w:rsidRPr="00B05C27" w:rsidRDefault="00BA55A8" w:rsidP="00BA55A8">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Posición en Moneda Extranjera y Protección por Riesgo Cambiario</w:t>
      </w:r>
    </w:p>
    <w:p w:rsidR="00BA55A8" w:rsidRPr="00B05C27" w:rsidRDefault="00BA55A8" w:rsidP="00BA55A8">
      <w:pPr>
        <w:pStyle w:val="Texto"/>
        <w:spacing w:line="276" w:lineRule="auto"/>
        <w:ind w:right="-1" w:firstLine="0"/>
        <w:rPr>
          <w:rFonts w:ascii="HelveticaNeueLT Std" w:hAnsi="HelveticaNeueLT Std"/>
          <w:sz w:val="20"/>
        </w:rPr>
      </w:pPr>
      <w:r w:rsidRPr="00B05C27">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r>
        <w:rPr>
          <w:rFonts w:ascii="HelveticaNeueLT Std" w:hAnsi="HelveticaNeueLT Std"/>
          <w:sz w:val="20"/>
        </w:rPr>
        <w:t>.</w:t>
      </w:r>
    </w:p>
    <w:p w:rsidR="00BA55A8" w:rsidRPr="00B05C27" w:rsidRDefault="00BA55A8" w:rsidP="00BA55A8">
      <w:pPr>
        <w:pStyle w:val="Prrafodelista"/>
        <w:numPr>
          <w:ilvl w:val="0"/>
          <w:numId w:val="12"/>
        </w:numPr>
        <w:spacing w:after="101" w:line="276" w:lineRule="auto"/>
        <w:ind w:right="-1"/>
        <w:jc w:val="both"/>
        <w:rPr>
          <w:rFonts w:ascii="HelveticaNeueLT Std" w:hAnsi="HelveticaNeueLT Std"/>
          <w:b/>
          <w:sz w:val="20"/>
          <w:szCs w:val="20"/>
        </w:rPr>
      </w:pPr>
      <w:r w:rsidRPr="00B05C27">
        <w:rPr>
          <w:rFonts w:ascii="HelveticaNeueLT Std" w:hAnsi="HelveticaNeueLT Std"/>
          <w:b/>
          <w:sz w:val="20"/>
          <w:szCs w:val="20"/>
        </w:rPr>
        <w:t>Reporte Analítico del Activo</w:t>
      </w:r>
    </w:p>
    <w:p w:rsidR="00BA55A8" w:rsidRPr="006C38BA" w:rsidRDefault="00BA55A8" w:rsidP="006144D0">
      <w:pPr>
        <w:pStyle w:val="Texto"/>
        <w:spacing w:after="0" w:line="240" w:lineRule="exact"/>
        <w:ind w:firstLine="0"/>
        <w:rPr>
          <w:rFonts w:ascii="HelveticaNeueLT Std" w:hAnsi="HelveticaNeueLT Std"/>
          <w:sz w:val="20"/>
          <w:lang w:val="es-MX"/>
        </w:rPr>
      </w:pPr>
      <w:r w:rsidRPr="00B05C27">
        <w:rPr>
          <w:rFonts w:ascii="HelveticaNeueLT Std" w:hAnsi="HelveticaNeueLT Std"/>
          <w:noProof/>
          <w:sz w:val="20"/>
          <w:lang w:val="es-MX" w:eastAsia="es-MX"/>
        </w:rPr>
        <mc:AlternateContent>
          <mc:Choice Requires="wpc">
            <w:drawing>
              <wp:anchor distT="0" distB="0" distL="114300" distR="114300" simplePos="0" relativeHeight="251659264" behindDoc="0" locked="0" layoutInCell="1" allowOverlap="1" wp14:anchorId="555B3E11" wp14:editId="2868E5B9">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F033543"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OvxQAAANwAAAAPAAAAZHJzL2Rvd25yZXYueG1sRI/NasMw&#10;EITvhbyD2EIvpZFbG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AAf9OvxQAAANwAAAAP&#10;AAAAAAAAAAAAAAAAAAcCAABkcnMvZG93bnJldi54bWxQSwUGAAAAAAMAAwC3AAAA+QIAAAAA&#10;" fillcolor="#d4d4d4" stroked="f"/>
                <v:line id="Line 440" o:spid="_x0000_s1029" style="position:absolute;visibility:visible;mso-wrap-style:square" from="63627,3403" to="6363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41" o:spid="_x0000_s1030" style="position:absolute;left:63627;top:340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42" o:spid="_x0000_s1031" style="position:absolute;visibility:visible;mso-wrap-style:square" from="63627,4972" to="6363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43" o:spid="_x0000_s1032" style="position:absolute;left:63627;top:4972;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44" o:spid="_x0000_s1033" style="position:absolute;visibility:visible;mso-wrap-style:square" from="63627,6216" to="6363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45" o:spid="_x0000_s1034" style="position:absolute;left:63627;top:6216;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46" o:spid="_x0000_s1035" style="position:absolute;visibility:visible;mso-wrap-style:square" from="63627,7334" to="63633,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47" o:spid="_x0000_s1036" style="position:absolute;left:63627;top:733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48" o:spid="_x0000_s1037" style="position:absolute;visibility:visible;mso-wrap-style:square" from="63627,8445" to="63633,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49" o:spid="_x0000_s1038" style="position:absolute;left:63627;top:8445;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50" o:spid="_x0000_s1039" style="position:absolute;visibility:visible;mso-wrap-style:square" from="63627,9556" to="63633,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51" o:spid="_x0000_s1040" style="position:absolute;left:63627;top:9556;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52" o:spid="_x0000_s1041" style="position:absolute;visibility:visible;mso-wrap-style:square" from="63627,10674" to="63633,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53" o:spid="_x0000_s1042" style="position:absolute;left:63627;top:1067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54" o:spid="_x0000_s1043" style="position:absolute;visibility:visible;mso-wrap-style:square" from="63627,12376" to="6363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55" o:spid="_x0000_s1044" style="position:absolute;left:63627;top:1237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56" o:spid="_x0000_s1045" style="position:absolute;visibility:visible;mso-wrap-style:square" from="63627,13487" to="63633,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57" o:spid="_x0000_s1046" style="position:absolute;left:63627;top:13487;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58" o:spid="_x0000_s1047" style="position:absolute;visibility:visible;mso-wrap-style:square" from="63627,14598" to="63633,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59" o:spid="_x0000_s1048" style="position:absolute;left:63627;top:14598;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60" o:spid="_x0000_s1049" style="position:absolute;visibility:visible;mso-wrap-style:square" from="63627,15716" to="63633,1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61" o:spid="_x0000_s1050" style="position:absolute;left:63627;top:1571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62" o:spid="_x0000_s1051" style="position:absolute;visibility:visible;mso-wrap-style:square" from="63627,16827" to="63633,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63" o:spid="_x0000_s1052" style="position:absolute;left:63627;top:1682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64" o:spid="_x0000_s1053" style="position:absolute;visibility:visible;mso-wrap-style:square" from="63627,17938" to="63633,1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65" o:spid="_x0000_s1054" style="position:absolute;left:63627;top:1793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66" o:spid="_x0000_s1055" style="position:absolute;visibility:visible;mso-wrap-style:square" from="63627,19119" to="63633,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67" o:spid="_x0000_s1056" style="position:absolute;left:63627;top:1911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group>
            </w:pict>
          </mc:Fallback>
        </mc:AlternateContent>
      </w:r>
      <w:r w:rsidRPr="00B05C27">
        <w:rPr>
          <w:rFonts w:ascii="HelveticaNeueLT Std" w:hAnsi="HelveticaNeueLT Std"/>
          <w:sz w:val="20"/>
          <w:lang w:val="es-MX"/>
        </w:rPr>
        <w:t>En el “</w:t>
      </w:r>
      <w:r w:rsidRPr="00B05C27">
        <w:rPr>
          <w:rFonts w:ascii="HelveticaNeueLT Std" w:hAnsi="HelveticaNeueLT Std"/>
          <w:b/>
          <w:sz w:val="20"/>
          <w:lang w:val="es-MX"/>
        </w:rPr>
        <w:t xml:space="preserve">Estado Analítico del Activo”, </w:t>
      </w:r>
      <w:r w:rsidRPr="00B05C27">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B05C27">
        <w:rPr>
          <w:rFonts w:ascii="HelveticaNeueLT Std" w:hAnsi="HelveticaNeueLT Std"/>
          <w:b/>
          <w:sz w:val="20"/>
          <w:lang w:val="es-MX"/>
        </w:rPr>
        <w:t xml:space="preserve"> bienes muebles e inmuebles, </w:t>
      </w:r>
      <w:r w:rsidRPr="00B05C27">
        <w:rPr>
          <w:rFonts w:ascii="HelveticaNeueLT Std" w:hAnsi="HelveticaNeueLT Std"/>
          <w:sz w:val="20"/>
          <w:lang w:val="es-MX"/>
        </w:rPr>
        <w:t>como</w:t>
      </w:r>
      <w:r w:rsidRPr="00B05C27">
        <w:rPr>
          <w:rFonts w:ascii="HelveticaNeueLT Std" w:hAnsi="HelveticaNeueLT Std"/>
          <w:b/>
          <w:sz w:val="20"/>
          <w:lang w:val="es-MX"/>
        </w:rPr>
        <w:t xml:space="preserve"> </w:t>
      </w:r>
      <w:r w:rsidRPr="00B05C27">
        <w:rPr>
          <w:rFonts w:ascii="HelveticaNeueLT Std" w:hAnsi="HelveticaNeueLT Std"/>
          <w:sz w:val="20"/>
          <w:lang w:val="es-MX"/>
        </w:rPr>
        <w:t>se detallan a continuación:</w:t>
      </w:r>
    </w:p>
    <w:p w:rsidR="00BA55A8" w:rsidRPr="00B05C27" w:rsidRDefault="00BA55A8" w:rsidP="00BA55A8">
      <w:pPr>
        <w:pStyle w:val="Prrafodelista"/>
        <w:tabs>
          <w:tab w:val="left" w:pos="7080"/>
        </w:tabs>
        <w:spacing w:after="101" w:line="276" w:lineRule="auto"/>
        <w:ind w:left="644" w:right="-1"/>
        <w:rPr>
          <w:rFonts w:ascii="HelveticaNeueLT Std" w:hAnsi="HelveticaNeueLT Std"/>
          <w:b/>
          <w:sz w:val="20"/>
          <w:szCs w:val="20"/>
        </w:rPr>
      </w:pPr>
    </w:p>
    <w:p w:rsidR="00BA55A8" w:rsidRPr="00B05C27" w:rsidRDefault="00BA55A8" w:rsidP="00BA55A8">
      <w:pPr>
        <w:pStyle w:val="Prrafodelista"/>
        <w:spacing w:after="101" w:line="276" w:lineRule="auto"/>
        <w:ind w:left="644" w:right="-1"/>
        <w:jc w:val="center"/>
        <w:rPr>
          <w:rFonts w:ascii="HelveticaNeueLT Std" w:hAnsi="HelveticaNeueLT Std"/>
          <w:b/>
          <w:sz w:val="20"/>
          <w:szCs w:val="20"/>
        </w:rPr>
      </w:pPr>
      <w:r w:rsidRPr="00F83075">
        <w:rPr>
          <w:noProof/>
        </w:rPr>
        <w:drawing>
          <wp:inline distT="0" distB="0" distL="0" distR="0" wp14:anchorId="5B41B1FD" wp14:editId="02561134">
            <wp:extent cx="5398908" cy="183369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3373" cy="1835213"/>
                    </a:xfrm>
                    <a:prstGeom prst="rect">
                      <a:avLst/>
                    </a:prstGeom>
                    <a:noFill/>
                    <a:ln>
                      <a:noFill/>
                    </a:ln>
                  </pic:spPr>
                </pic:pic>
              </a:graphicData>
            </a:graphic>
          </wp:inline>
        </w:drawing>
      </w:r>
    </w:p>
    <w:p w:rsidR="00BA55A8" w:rsidRPr="00B05C27" w:rsidRDefault="00BA55A8" w:rsidP="00BA55A8">
      <w:pPr>
        <w:pStyle w:val="Prrafodelista"/>
        <w:spacing w:after="101" w:line="276" w:lineRule="auto"/>
        <w:ind w:left="644" w:right="-1"/>
        <w:rPr>
          <w:rFonts w:ascii="HelveticaNeueLT Std" w:hAnsi="HelveticaNeueLT Std"/>
          <w:b/>
          <w:sz w:val="20"/>
          <w:szCs w:val="20"/>
        </w:rPr>
      </w:pPr>
    </w:p>
    <w:p w:rsidR="00BA55A8" w:rsidRPr="00B05C27" w:rsidRDefault="00BA55A8" w:rsidP="00BA55A8">
      <w:pPr>
        <w:pStyle w:val="Texto"/>
        <w:spacing w:line="276" w:lineRule="auto"/>
        <w:ind w:right="-1" w:firstLine="0"/>
        <w:rPr>
          <w:rFonts w:ascii="HelveticaNeueLT Std" w:hAnsi="HelveticaNeueLT Std"/>
          <w:sz w:val="20"/>
          <w:lang w:val="es-MX"/>
        </w:rPr>
      </w:pPr>
      <w:r w:rsidRPr="00B05C27">
        <w:rPr>
          <w:rFonts w:ascii="HelveticaNeueLT Std" w:hAnsi="HelveticaNeueLT Std"/>
          <w:b/>
          <w:sz w:val="20"/>
          <w:lang w:val="es-MX"/>
        </w:rPr>
        <w:t xml:space="preserve">Depreciación. - </w:t>
      </w:r>
      <w:r w:rsidRPr="00B05C27">
        <w:rPr>
          <w:rFonts w:ascii="HelveticaNeueLT Std" w:hAnsi="HelveticaNeueLT Std"/>
          <w:sz w:val="20"/>
          <w:lang w:val="es-MX"/>
        </w:rPr>
        <w:t xml:space="preserve">Se calcula por el método de línea recta </w:t>
      </w:r>
      <w:r w:rsidRPr="00AE0997">
        <w:rPr>
          <w:rFonts w:ascii="HelveticaNeueLT Std" w:hAnsi="HelveticaNeueLT Std"/>
          <w:sz w:val="20"/>
          <w:lang w:val="es-MX"/>
        </w:rPr>
        <w:t>a partir del mes siguiente al de su adquisición, aplicando los porcentajes siguientes: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2854"/>
      </w:tblGrid>
      <w:tr w:rsidR="00BA55A8" w:rsidRPr="00B05C27" w:rsidTr="00B73BEA">
        <w:trPr>
          <w:trHeight w:val="1642"/>
        </w:trPr>
        <w:tc>
          <w:tcPr>
            <w:tcW w:w="4795" w:type="dxa"/>
          </w:tcPr>
          <w:p w:rsidR="00BA55A8" w:rsidRPr="00B05C27" w:rsidRDefault="00BA55A8" w:rsidP="00081D0D">
            <w:pPr>
              <w:spacing w:line="276" w:lineRule="auto"/>
              <w:ind w:right="-1"/>
              <w:jc w:val="both"/>
              <w:rPr>
                <w:rFonts w:ascii="HelveticaNeueLT Std" w:eastAsia="Times New Roman" w:hAnsi="HelveticaNeueLT Std"/>
                <w:b/>
                <w:color w:val="000000"/>
                <w:u w:val="single"/>
              </w:rPr>
            </w:pPr>
            <w:r w:rsidRPr="00B05C27">
              <w:rPr>
                <w:rFonts w:ascii="HelveticaNeueLT Std" w:eastAsia="Times New Roman" w:hAnsi="HelveticaNeueLT Std"/>
                <w:b/>
                <w:color w:val="000000"/>
                <w:u w:val="single"/>
              </w:rPr>
              <w:t>Concepto</w:t>
            </w:r>
          </w:p>
          <w:p w:rsidR="00BA55A8" w:rsidRPr="00B05C27" w:rsidRDefault="00BA55A8" w:rsidP="00081D0D">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Edificio</w:t>
            </w:r>
            <w:r>
              <w:rPr>
                <w:rFonts w:ascii="HelveticaNeueLT Std" w:eastAsia="Times New Roman" w:hAnsi="HelveticaNeueLT Std"/>
                <w:color w:val="000000"/>
              </w:rPr>
              <w:t xml:space="preserve">s </w:t>
            </w:r>
          </w:p>
          <w:p w:rsidR="00BA55A8" w:rsidRPr="00B05C27" w:rsidRDefault="00BA55A8" w:rsidP="00081D0D">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Equipo de cómputo</w:t>
            </w:r>
            <w:r w:rsidRPr="00B05C27">
              <w:rPr>
                <w:rFonts w:ascii="HelveticaNeueLT Std" w:eastAsia="Times New Roman" w:hAnsi="HelveticaNeueLT Std"/>
                <w:color w:val="000000"/>
              </w:rPr>
              <w:tab/>
            </w:r>
          </w:p>
          <w:p w:rsidR="00BA55A8" w:rsidRPr="00B05C27" w:rsidRDefault="00BA55A8" w:rsidP="00081D0D">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Mobiliario y equipo de oficina</w:t>
            </w:r>
          </w:p>
          <w:p w:rsidR="00BA55A8" w:rsidRPr="00B05C27" w:rsidRDefault="00BA55A8" w:rsidP="00081D0D">
            <w:pPr>
              <w:spacing w:line="276" w:lineRule="auto"/>
              <w:ind w:right="-1"/>
              <w:rPr>
                <w:rFonts w:ascii="HelveticaNeueLT Std" w:eastAsia="Times New Roman" w:hAnsi="HelveticaNeueLT Std"/>
                <w:color w:val="000000"/>
              </w:rPr>
            </w:pPr>
            <w:r w:rsidRPr="00B05C27">
              <w:rPr>
                <w:rFonts w:ascii="HelveticaNeueLT Std" w:eastAsia="Times New Roman" w:hAnsi="HelveticaNeueLT Std"/>
                <w:color w:val="000000"/>
              </w:rPr>
              <w:t>Maquinaria</w:t>
            </w:r>
            <w:r w:rsidRPr="00B05C27">
              <w:rPr>
                <w:rFonts w:ascii="HelveticaNeueLT Std" w:eastAsia="Times New Roman" w:hAnsi="HelveticaNeueLT Std"/>
                <w:color w:val="000000"/>
              </w:rPr>
              <w:tab/>
            </w:r>
          </w:p>
          <w:p w:rsidR="00BA55A8" w:rsidRPr="00B05C27" w:rsidRDefault="00BA55A8" w:rsidP="00081D0D">
            <w:pPr>
              <w:spacing w:line="276" w:lineRule="auto"/>
              <w:ind w:right="-1"/>
              <w:rPr>
                <w:rFonts w:ascii="HelveticaNeueLT Std" w:eastAsia="Times New Roman" w:hAnsi="HelveticaNeueLT Std"/>
              </w:rPr>
            </w:pPr>
            <w:r w:rsidRPr="00AE0997">
              <w:rPr>
                <w:rFonts w:ascii="HelveticaNeueLT Std" w:eastAsia="Times New Roman" w:hAnsi="HelveticaNeueLT Std"/>
                <w:color w:val="000000"/>
              </w:rPr>
              <w:t>Vehículos</w:t>
            </w:r>
          </w:p>
        </w:tc>
        <w:tc>
          <w:tcPr>
            <w:tcW w:w="2854" w:type="dxa"/>
          </w:tcPr>
          <w:p w:rsidR="00BA55A8" w:rsidRPr="00B05C27" w:rsidRDefault="00BA55A8" w:rsidP="00081D0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Tasa</w:t>
            </w:r>
          </w:p>
          <w:p w:rsidR="00BA55A8" w:rsidRPr="00B05C27" w:rsidRDefault="00BA55A8" w:rsidP="00081D0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w:t>
            </w:r>
          </w:p>
          <w:p w:rsidR="00BA55A8" w:rsidRPr="00B05C27" w:rsidRDefault="00BA55A8" w:rsidP="00081D0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20%</w:t>
            </w:r>
          </w:p>
          <w:p w:rsidR="00BA55A8" w:rsidRPr="00B05C27" w:rsidRDefault="00BA55A8" w:rsidP="00081D0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3%</w:t>
            </w:r>
          </w:p>
          <w:p w:rsidR="00BA55A8" w:rsidRPr="00B05C27" w:rsidRDefault="00BA55A8" w:rsidP="00081D0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BA55A8" w:rsidRPr="00B05C27" w:rsidRDefault="00BA55A8" w:rsidP="00081D0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BA55A8" w:rsidRPr="00B05C27" w:rsidRDefault="00BA55A8" w:rsidP="00081D0D">
            <w:pPr>
              <w:spacing w:line="276" w:lineRule="auto"/>
              <w:ind w:right="-1"/>
              <w:jc w:val="both"/>
              <w:rPr>
                <w:rFonts w:ascii="HelveticaNeueLT Std" w:eastAsia="Times New Roman" w:hAnsi="HelveticaNeueLT Std"/>
              </w:rPr>
            </w:pPr>
          </w:p>
        </w:tc>
      </w:tr>
    </w:tbl>
    <w:p w:rsidR="00BA55A8" w:rsidRDefault="00BA55A8" w:rsidP="00BA55A8">
      <w:pPr>
        <w:tabs>
          <w:tab w:val="left" w:pos="1803"/>
        </w:tabs>
        <w:spacing w:after="101" w:line="276" w:lineRule="auto"/>
        <w:ind w:right="-1"/>
        <w:jc w:val="both"/>
        <w:rPr>
          <w:rFonts w:eastAsia="Times New Roman" w:cs="Arial"/>
          <w:color w:val="000000"/>
          <w:lang w:eastAsia="es-ES"/>
        </w:rPr>
      </w:pPr>
      <w:r w:rsidRPr="00B05C27">
        <w:rPr>
          <w:rFonts w:eastAsia="Times New Roman" w:cs="Arial"/>
          <w:b/>
          <w:lang w:eastAsia="es-ES"/>
        </w:rPr>
        <w:t>Depreciación, Deterioro y Amortización Acumulada de Bienes</w:t>
      </w:r>
      <w:r w:rsidRPr="00B05C27">
        <w:rPr>
          <w:rFonts w:eastAsia="Times New Roman" w:cs="Arial"/>
          <w:lang w:eastAsia="es-ES"/>
        </w:rPr>
        <w:t xml:space="preserve">. - El saldo de </w:t>
      </w:r>
      <w:r>
        <w:rPr>
          <w:rFonts w:eastAsia="Times New Roman" w:cs="Arial"/>
          <w:lang w:eastAsia="es-ES"/>
        </w:rPr>
        <w:t>140, 117, 891.96</w:t>
      </w:r>
      <w:r w:rsidRPr="003800B7">
        <w:rPr>
          <w:rFonts w:eastAsia="Times New Roman" w:cs="Arial"/>
          <w:lang w:eastAsia="es-ES"/>
        </w:rPr>
        <w:t xml:space="preserve"> </w:t>
      </w:r>
      <w:r w:rsidRPr="008769F8">
        <w:rPr>
          <w:rFonts w:eastAsia="Times New Roman" w:cs="Arial"/>
          <w:lang w:eastAsia="es-ES"/>
        </w:rPr>
        <w:t xml:space="preserve">se integra con las siguientes cuentas, dando un total neto en el rubro de activo fijo </w:t>
      </w:r>
      <w:r w:rsidRPr="008769F8">
        <w:rPr>
          <w:rFonts w:eastAsia="Times New Roman" w:cs="Arial"/>
          <w:color w:val="000000"/>
          <w:lang w:eastAsia="es-ES"/>
        </w:rPr>
        <w:t xml:space="preserve">de </w:t>
      </w:r>
      <w:r>
        <w:rPr>
          <w:rFonts w:eastAsia="Times New Roman" w:cs="Arial"/>
          <w:color w:val="000000"/>
          <w:lang w:eastAsia="es-ES"/>
        </w:rPr>
        <w:t>174, 491, 063.65</w:t>
      </w:r>
    </w:p>
    <w:p w:rsidR="00BA55A8" w:rsidRPr="00D20C3D" w:rsidRDefault="00BA55A8" w:rsidP="00BA55A8">
      <w:pPr>
        <w:spacing w:after="101" w:line="276" w:lineRule="auto"/>
        <w:ind w:right="-1"/>
        <w:jc w:val="both"/>
        <w:rPr>
          <w:rFonts w:eastAsia="Times New Roman" w:cs="Arial"/>
          <w:lang w:eastAsia="es-ES"/>
        </w:rPr>
      </w:pPr>
      <w:r w:rsidRPr="00B05C27">
        <w:rPr>
          <w:rFonts w:eastAsia="Times New Roman" w:cs="Arial"/>
          <w:b/>
          <w:lang w:eastAsia="es-ES"/>
        </w:rPr>
        <w:t>Depreciación Acumulada de Bienes Inmuebles. -</w:t>
      </w:r>
      <w:r>
        <w:rPr>
          <w:rFonts w:eastAsia="Times New Roman" w:cs="Arial"/>
          <w:lang w:eastAsia="es-ES"/>
        </w:rPr>
        <w:t xml:space="preserve"> </w:t>
      </w:r>
      <w:r w:rsidRPr="00D20C3D">
        <w:rPr>
          <w:rFonts w:eastAsia="Times New Roman" w:cs="Arial"/>
          <w:lang w:eastAsia="es-ES"/>
        </w:rPr>
        <w:t xml:space="preserve">El saldo de </w:t>
      </w:r>
      <w:r>
        <w:rPr>
          <w:rFonts w:eastAsia="Times New Roman" w:cs="Arial"/>
          <w:lang w:eastAsia="es-ES"/>
        </w:rPr>
        <w:t xml:space="preserve">7, 146, 872.40 </w:t>
      </w:r>
      <w:r w:rsidRPr="00D20C3D">
        <w:rPr>
          <w:rFonts w:eastAsia="Times New Roman" w:cs="Arial"/>
          <w:lang w:eastAsia="es-ES"/>
        </w:rPr>
        <w:t xml:space="preserve">es el importe de la disminución a valores históricos de los bienes inmuebles del Instituto, el total neto en la cuenta de Edificios No Habitacionales es por </w:t>
      </w:r>
      <w:r w:rsidRPr="000C5DE6">
        <w:rPr>
          <w:rFonts w:eastAsia="Times New Roman" w:cs="Arial"/>
          <w:lang w:eastAsia="es-ES"/>
        </w:rPr>
        <w:t>79</w:t>
      </w:r>
      <w:r>
        <w:rPr>
          <w:rFonts w:eastAsia="Times New Roman" w:cs="Arial"/>
          <w:lang w:eastAsia="es-ES"/>
        </w:rPr>
        <w:t>, 178, 862.79.</w:t>
      </w:r>
    </w:p>
    <w:p w:rsidR="00BA55A8" w:rsidRDefault="00BA55A8" w:rsidP="00BA55A8">
      <w:pPr>
        <w:spacing w:after="101" w:line="276" w:lineRule="auto"/>
        <w:ind w:right="-1"/>
        <w:jc w:val="both"/>
        <w:rPr>
          <w:rFonts w:eastAsia="Times New Roman" w:cs="Arial"/>
          <w:lang w:eastAsia="es-ES"/>
        </w:rPr>
      </w:pPr>
      <w:r w:rsidRPr="00EA3E01">
        <w:rPr>
          <w:rFonts w:eastAsia="Times New Roman" w:cs="Arial"/>
          <w:b/>
          <w:lang w:eastAsia="es-ES"/>
        </w:rPr>
        <w:t>Depreciación Acumulada de Bienes Muebles. -</w:t>
      </w:r>
      <w:r w:rsidRPr="00EA3E01">
        <w:rPr>
          <w:rFonts w:eastAsia="Times New Roman" w:cs="Arial"/>
          <w:lang w:eastAsia="es-ES"/>
        </w:rPr>
        <w:t xml:space="preserve"> El saldo </w:t>
      </w:r>
      <w:r>
        <w:rPr>
          <w:rFonts w:eastAsia="Times New Roman" w:cs="Arial"/>
          <w:lang w:eastAsia="es-ES"/>
        </w:rPr>
        <w:t>de 132, 971,019.56</w:t>
      </w:r>
      <w:r w:rsidRPr="00EA3E01">
        <w:rPr>
          <w:rFonts w:eastAsia="Times New Roman" w:cs="Arial"/>
          <w:lang w:eastAsia="es-ES"/>
        </w:rPr>
        <w:t xml:space="preserve"> </w:t>
      </w:r>
      <w:r>
        <w:rPr>
          <w:rFonts w:eastAsia="Times New Roman" w:cs="Arial"/>
          <w:lang w:eastAsia="es-ES"/>
        </w:rPr>
        <w:t>e</w:t>
      </w:r>
      <w:r w:rsidRPr="00EA3E01">
        <w:rPr>
          <w:rFonts w:eastAsia="Times New Roman" w:cs="Arial"/>
          <w:lang w:eastAsia="es-ES"/>
        </w:rPr>
        <w:t xml:space="preserve">s el importe de la disminución a valores históricos de los bienes muebles del Instituto, dando un total neto en este rubro por </w:t>
      </w:r>
      <w:r>
        <w:rPr>
          <w:rFonts w:eastAsia="Times New Roman" w:cs="Arial"/>
          <w:lang w:eastAsia="es-ES"/>
        </w:rPr>
        <w:t>95, 312, 200.86</w:t>
      </w:r>
    </w:p>
    <w:p w:rsidR="00BA55A8" w:rsidRDefault="00BA55A8" w:rsidP="00BA55A8">
      <w:pPr>
        <w:spacing w:after="101" w:line="276" w:lineRule="auto"/>
        <w:ind w:right="-1"/>
        <w:jc w:val="both"/>
        <w:rPr>
          <w:rFonts w:eastAsia="Times New Roman" w:cs="Arial"/>
          <w:lang w:eastAsia="es-ES"/>
        </w:rPr>
      </w:pPr>
    </w:p>
    <w:p w:rsidR="00BA55A8" w:rsidRPr="00B05C27" w:rsidRDefault="00BA55A8" w:rsidP="00BA55A8">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Fideicomisos, Mandatos y Análogos</w:t>
      </w:r>
    </w:p>
    <w:p w:rsidR="00BA55A8" w:rsidRPr="00B05C27" w:rsidRDefault="00BA55A8" w:rsidP="00BA55A8">
      <w:pPr>
        <w:numPr>
          <w:ilvl w:val="0"/>
          <w:numId w:val="13"/>
        </w:numPr>
        <w:spacing w:after="240" w:line="276" w:lineRule="auto"/>
        <w:ind w:right="-1"/>
        <w:jc w:val="both"/>
        <w:rPr>
          <w:rFonts w:cs="Arial"/>
        </w:rPr>
      </w:pPr>
      <w:r w:rsidRPr="00B05C27">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BA55A8" w:rsidRPr="00B05C27" w:rsidRDefault="00BA55A8" w:rsidP="00BA55A8">
      <w:pPr>
        <w:numPr>
          <w:ilvl w:val="0"/>
          <w:numId w:val="13"/>
        </w:numPr>
        <w:spacing w:after="240" w:line="276" w:lineRule="auto"/>
        <w:ind w:right="-1"/>
        <w:jc w:val="both"/>
        <w:rPr>
          <w:rFonts w:cs="Arial"/>
        </w:rPr>
      </w:pPr>
      <w:r w:rsidRPr="00B05C27">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BA55A8" w:rsidRPr="00B05C27" w:rsidRDefault="00BA55A8" w:rsidP="00BA55A8">
      <w:pPr>
        <w:numPr>
          <w:ilvl w:val="0"/>
          <w:numId w:val="13"/>
        </w:numPr>
        <w:spacing w:after="240" w:line="276" w:lineRule="auto"/>
        <w:ind w:right="-1"/>
        <w:jc w:val="both"/>
        <w:rPr>
          <w:rFonts w:cs="Arial"/>
        </w:rPr>
      </w:pPr>
      <w:r w:rsidRPr="00B05C27">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BA55A8" w:rsidRPr="00B05C27" w:rsidRDefault="00BA55A8" w:rsidP="00BA55A8">
      <w:pPr>
        <w:numPr>
          <w:ilvl w:val="0"/>
          <w:numId w:val="13"/>
        </w:numPr>
        <w:spacing w:after="240" w:line="276" w:lineRule="auto"/>
        <w:ind w:right="-1"/>
        <w:jc w:val="both"/>
        <w:rPr>
          <w:rFonts w:cs="Arial"/>
        </w:rPr>
      </w:pPr>
      <w:r w:rsidRPr="00B05C27">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B05C27">
        <w:rPr>
          <w:rFonts w:cs="Arial"/>
        </w:rPr>
        <w:t>Invex</w:t>
      </w:r>
      <w:proofErr w:type="spellEnd"/>
      <w:r w:rsidRPr="00B05C27">
        <w:rPr>
          <w:rFonts w:cs="Arial"/>
        </w:rPr>
        <w:t xml:space="preserve">, S.A., Institución de Banca Múltiple </w:t>
      </w:r>
      <w:proofErr w:type="spellStart"/>
      <w:r w:rsidRPr="00B05C27">
        <w:rPr>
          <w:rFonts w:cs="Arial"/>
        </w:rPr>
        <w:t>Invex</w:t>
      </w:r>
      <w:proofErr w:type="spellEnd"/>
      <w:r w:rsidRPr="00B05C27">
        <w:rPr>
          <w:rFonts w:cs="Arial"/>
        </w:rPr>
        <w:t xml:space="preserve"> Grupo Financiero y </w:t>
      </w:r>
      <w:proofErr w:type="spellStart"/>
      <w:r w:rsidRPr="00B05C27">
        <w:rPr>
          <w:rFonts w:cs="Arial"/>
        </w:rPr>
        <w:t>Monex</w:t>
      </w:r>
      <w:proofErr w:type="spellEnd"/>
      <w:r w:rsidRPr="00B05C27">
        <w:rPr>
          <w:rFonts w:cs="Arial"/>
        </w:rPr>
        <w:t xml:space="preserve"> Casa de Bolsa, S.A. de C.V., como “Fiduciarios” representantes comunes de los tenedores de los Certificados Bursátiles Fiduciarios Series “A” y “B”.</w:t>
      </w:r>
    </w:p>
    <w:p w:rsidR="00BA55A8" w:rsidRPr="00440F0A" w:rsidRDefault="00BA55A8" w:rsidP="00BA55A8">
      <w:pPr>
        <w:numPr>
          <w:ilvl w:val="0"/>
          <w:numId w:val="13"/>
        </w:numPr>
        <w:spacing w:line="276" w:lineRule="auto"/>
        <w:ind w:right="-1"/>
        <w:jc w:val="both"/>
        <w:rPr>
          <w:rFonts w:cs="Arial"/>
        </w:rPr>
      </w:pPr>
      <w:r w:rsidRPr="00B05C27">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w:t>
      </w:r>
      <w:proofErr w:type="spellStart"/>
      <w:r w:rsidRPr="00B05C27">
        <w:rPr>
          <w:rFonts w:cs="Arial"/>
        </w:rPr>
        <w:t>Monex</w:t>
      </w:r>
      <w:proofErr w:type="spellEnd"/>
      <w:r w:rsidRPr="00B05C27">
        <w:rPr>
          <w:rFonts w:cs="Arial"/>
        </w:rPr>
        <w:t xml:space="preserve"> Casa de Bolsa, S.A. de C.V., </w:t>
      </w:r>
      <w:proofErr w:type="spellStart"/>
      <w:r w:rsidRPr="00B05C27">
        <w:rPr>
          <w:rFonts w:cs="Arial"/>
        </w:rPr>
        <w:t>Monex</w:t>
      </w:r>
      <w:proofErr w:type="spellEnd"/>
      <w:r w:rsidRPr="00B05C27">
        <w:rPr>
          <w:rFonts w:cs="Arial"/>
        </w:rPr>
        <w:t xml:space="preserve"> Grupo Financiero, como representante común de los tenedores de los Certificados Bursátiles y </w:t>
      </w:r>
    </w:p>
    <w:p w:rsidR="00BA55A8" w:rsidRPr="006351E0" w:rsidRDefault="00BA55A8" w:rsidP="00BA55A8">
      <w:pPr>
        <w:spacing w:line="276" w:lineRule="auto"/>
        <w:ind w:left="786" w:right="-1"/>
        <w:jc w:val="both"/>
        <w:rPr>
          <w:rFonts w:cs="Arial"/>
        </w:rPr>
      </w:pPr>
      <w:proofErr w:type="spellStart"/>
      <w:r w:rsidRPr="006351E0">
        <w:rPr>
          <w:rFonts w:cs="Arial"/>
        </w:rPr>
        <w:t>The</w:t>
      </w:r>
      <w:proofErr w:type="spellEnd"/>
      <w:r w:rsidRPr="006351E0">
        <w:rPr>
          <w:rFonts w:cs="Arial"/>
        </w:rPr>
        <w:t xml:space="preserve"> Bank of New York </w:t>
      </w:r>
      <w:proofErr w:type="spellStart"/>
      <w:r w:rsidRPr="006351E0">
        <w:rPr>
          <w:rFonts w:cs="Arial"/>
        </w:rPr>
        <w:t>Mellon</w:t>
      </w:r>
      <w:proofErr w:type="spellEnd"/>
      <w:r w:rsidRPr="006351E0">
        <w:rPr>
          <w:rFonts w:cs="Arial"/>
        </w:rPr>
        <w:t>, S.A., Institución de Banca Múltiple como mandatario del Garante “A” y del Garante “B”.</w:t>
      </w:r>
    </w:p>
    <w:p w:rsidR="00BA55A8" w:rsidRPr="00B05C27" w:rsidRDefault="00BA55A8" w:rsidP="00BA55A8">
      <w:pPr>
        <w:numPr>
          <w:ilvl w:val="0"/>
          <w:numId w:val="13"/>
        </w:numPr>
        <w:spacing w:line="276" w:lineRule="auto"/>
        <w:ind w:right="-1"/>
        <w:jc w:val="both"/>
        <w:rPr>
          <w:rFonts w:cs="Arial"/>
        </w:rPr>
      </w:pPr>
      <w:r w:rsidRPr="00B05C27">
        <w:rPr>
          <w:rFonts w:cs="Arial"/>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BA55A8" w:rsidRPr="00B05C27" w:rsidRDefault="00BA55A8" w:rsidP="00BA55A8">
      <w:pPr>
        <w:numPr>
          <w:ilvl w:val="0"/>
          <w:numId w:val="13"/>
        </w:numPr>
        <w:spacing w:line="276" w:lineRule="auto"/>
        <w:ind w:right="-1"/>
        <w:jc w:val="both"/>
        <w:rPr>
          <w:rFonts w:cs="Arial"/>
        </w:rPr>
      </w:pPr>
      <w:r w:rsidRPr="00B05C27">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B05C27">
        <w:rPr>
          <w:rFonts w:cs="Arial"/>
        </w:rPr>
        <w:t>Treasury</w:t>
      </w:r>
      <w:proofErr w:type="spellEnd"/>
      <w:r w:rsidRPr="00B05C27">
        <w:rPr>
          <w:rFonts w:cs="Arial"/>
        </w:rPr>
        <w:t xml:space="preserve"> </w:t>
      </w:r>
      <w:proofErr w:type="spellStart"/>
      <w:r w:rsidRPr="00B05C27">
        <w:rPr>
          <w:rFonts w:cs="Arial"/>
        </w:rPr>
        <w:t>Cost</w:t>
      </w:r>
      <w:proofErr w:type="spellEnd"/>
      <w:r w:rsidRPr="00B05C27">
        <w:rPr>
          <w:rFonts w:cs="Arial"/>
        </w:rPr>
        <w:t xml:space="preserve">, más 3.5 por ciento, y (ii) “B” por un monto de 1 mil 300 millones de pesos, con una tasa de interés anual igual al resultado de multiplicar 1.10 por la tasa moratoria que se establece en el </w:t>
      </w:r>
      <w:proofErr w:type="spellStart"/>
      <w:r w:rsidRPr="00B05C27">
        <w:rPr>
          <w:rFonts w:cs="Arial"/>
        </w:rPr>
        <w:t>Macrotítulo</w:t>
      </w:r>
      <w:proofErr w:type="spellEnd"/>
      <w:r w:rsidRPr="00B05C27">
        <w:rPr>
          <w:rFonts w:cs="Arial"/>
        </w:rPr>
        <w:t xml:space="preserve"> de los Certificados Bursátiles Fiduciarios Serie “B”, y se encuentran respaldados por los remanentes del Fideicomiso de Cobranza.</w:t>
      </w:r>
    </w:p>
    <w:p w:rsidR="00BA55A8" w:rsidRPr="00B05C27" w:rsidRDefault="00BA55A8" w:rsidP="00BA55A8">
      <w:pPr>
        <w:numPr>
          <w:ilvl w:val="0"/>
          <w:numId w:val="13"/>
        </w:numPr>
        <w:spacing w:line="276" w:lineRule="auto"/>
        <w:ind w:right="-1"/>
        <w:jc w:val="both"/>
        <w:rPr>
          <w:rFonts w:cs="Arial"/>
        </w:rPr>
      </w:pPr>
      <w:r w:rsidRPr="00B05C27">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BA55A8" w:rsidRPr="00B05C27" w:rsidRDefault="00BA55A8" w:rsidP="00BA55A8">
      <w:pPr>
        <w:numPr>
          <w:ilvl w:val="0"/>
          <w:numId w:val="13"/>
        </w:numPr>
        <w:spacing w:after="240" w:line="276" w:lineRule="auto"/>
        <w:ind w:right="-1"/>
        <w:jc w:val="both"/>
        <w:rPr>
          <w:rFonts w:cs="Arial"/>
        </w:rPr>
      </w:pPr>
      <w:r w:rsidRPr="00B05C27">
        <w:rPr>
          <w:rFonts w:cs="Arial"/>
        </w:rPr>
        <w:t xml:space="preserve">Adicionalmente los CBFS Serie A contarán con una garantía financiera de </w:t>
      </w:r>
      <w:proofErr w:type="spellStart"/>
      <w:r w:rsidRPr="00B05C27">
        <w:rPr>
          <w:rFonts w:cs="Arial"/>
        </w:rPr>
        <w:t>Overseas</w:t>
      </w:r>
      <w:proofErr w:type="spellEnd"/>
      <w:r w:rsidRPr="00B05C27">
        <w:rPr>
          <w:rFonts w:cs="Arial"/>
        </w:rPr>
        <w:t xml:space="preserve"> </w:t>
      </w:r>
      <w:proofErr w:type="spellStart"/>
      <w:r w:rsidRPr="00B05C27">
        <w:rPr>
          <w:rFonts w:cs="Arial"/>
        </w:rPr>
        <w:t>Private</w:t>
      </w:r>
      <w:proofErr w:type="spellEnd"/>
      <w:r w:rsidRPr="00B05C27">
        <w:rPr>
          <w:rFonts w:cs="Arial"/>
        </w:rPr>
        <w:t xml:space="preserve"> </w:t>
      </w:r>
      <w:proofErr w:type="spellStart"/>
      <w:r w:rsidRPr="00B05C27">
        <w:rPr>
          <w:rFonts w:cs="Arial"/>
        </w:rPr>
        <w:t>Investment</w:t>
      </w:r>
      <w:proofErr w:type="spellEnd"/>
      <w:r w:rsidRPr="00B05C27">
        <w:rPr>
          <w:rFonts w:cs="Arial"/>
        </w:rPr>
        <w:t xml:space="preserve"> </w:t>
      </w:r>
      <w:proofErr w:type="spellStart"/>
      <w:r w:rsidRPr="00B05C27">
        <w:rPr>
          <w:rFonts w:cs="Arial"/>
        </w:rPr>
        <w:t>Corporation</w:t>
      </w:r>
      <w:proofErr w:type="spellEnd"/>
      <w:r w:rsidRPr="00B05C27">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rsidR="00BA55A8" w:rsidRDefault="00BA55A8" w:rsidP="00BA55A8">
      <w:pPr>
        <w:numPr>
          <w:ilvl w:val="0"/>
          <w:numId w:val="13"/>
        </w:numPr>
        <w:spacing w:line="276" w:lineRule="auto"/>
        <w:ind w:right="-1"/>
        <w:jc w:val="both"/>
        <w:rPr>
          <w:rFonts w:cs="Arial"/>
        </w:rPr>
      </w:pPr>
      <w:r w:rsidRPr="00B05C27">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BA55A8" w:rsidRPr="00B05C27" w:rsidRDefault="00BA55A8" w:rsidP="00BA55A8">
      <w:pPr>
        <w:numPr>
          <w:ilvl w:val="0"/>
          <w:numId w:val="13"/>
        </w:numPr>
        <w:spacing w:line="276" w:lineRule="auto"/>
        <w:ind w:right="-1"/>
        <w:jc w:val="both"/>
        <w:rPr>
          <w:rFonts w:cs="Arial"/>
        </w:rPr>
      </w:pPr>
      <w:r w:rsidRPr="00B05C27">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BA55A8" w:rsidRPr="00B05C27" w:rsidRDefault="00BA55A8" w:rsidP="00BA55A8">
      <w:pPr>
        <w:numPr>
          <w:ilvl w:val="0"/>
          <w:numId w:val="13"/>
        </w:numPr>
        <w:spacing w:line="276" w:lineRule="auto"/>
        <w:ind w:right="-1"/>
        <w:jc w:val="both"/>
        <w:rPr>
          <w:rFonts w:cs="Arial"/>
        </w:rPr>
      </w:pPr>
      <w:r w:rsidRPr="00B05C27">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rsidR="0033665F" w:rsidRPr="0033665F" w:rsidRDefault="00BA55A8" w:rsidP="0033665F">
      <w:pPr>
        <w:numPr>
          <w:ilvl w:val="0"/>
          <w:numId w:val="13"/>
        </w:numPr>
        <w:spacing w:line="276" w:lineRule="auto"/>
        <w:ind w:right="-1"/>
        <w:jc w:val="both"/>
        <w:rPr>
          <w:rFonts w:cs="Arial"/>
        </w:rPr>
      </w:pPr>
      <w:r w:rsidRPr="00B05C27">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BA55A8" w:rsidRPr="006144D0" w:rsidRDefault="00BA55A8" w:rsidP="006144D0">
      <w:pPr>
        <w:pStyle w:val="Prrafodelista"/>
        <w:numPr>
          <w:ilvl w:val="0"/>
          <w:numId w:val="12"/>
        </w:numPr>
        <w:spacing w:after="240" w:line="276" w:lineRule="auto"/>
        <w:ind w:right="-1"/>
        <w:jc w:val="both"/>
        <w:rPr>
          <w:rFonts w:ascii="HelveticaNeueLT Std" w:hAnsi="HelveticaNeueLT Std"/>
          <w:b/>
          <w:sz w:val="20"/>
          <w:szCs w:val="20"/>
        </w:rPr>
      </w:pPr>
      <w:r w:rsidRPr="006144D0">
        <w:rPr>
          <w:rFonts w:ascii="HelveticaNeueLT Std" w:hAnsi="HelveticaNeueLT Std"/>
          <w:b/>
          <w:sz w:val="20"/>
          <w:szCs w:val="20"/>
        </w:rPr>
        <w:t xml:space="preserve">Reporte de la Recaudación: </w:t>
      </w:r>
    </w:p>
    <w:p w:rsidR="00BA55A8" w:rsidRPr="0033665F" w:rsidRDefault="00BA55A8" w:rsidP="0033665F">
      <w:pPr>
        <w:spacing w:line="276" w:lineRule="auto"/>
        <w:ind w:left="284" w:right="-1"/>
        <w:jc w:val="both"/>
        <w:rPr>
          <w:rFonts w:cs="Arial"/>
          <w:b/>
          <w:highlight w:val="yellow"/>
        </w:rPr>
      </w:pPr>
    </w:p>
    <w:p w:rsidR="00BA55A8" w:rsidRPr="00524BCB" w:rsidRDefault="0033665F" w:rsidP="00BA55A8">
      <w:pPr>
        <w:spacing w:line="276" w:lineRule="auto"/>
        <w:ind w:right="-1"/>
        <w:jc w:val="center"/>
        <w:rPr>
          <w:rFonts w:cs="Arial"/>
          <w:b/>
          <w:highlight w:val="yellow"/>
        </w:rPr>
      </w:pPr>
      <w:r w:rsidRPr="0033665F">
        <w:rPr>
          <w:noProof/>
          <w:lang w:eastAsia="es-MX"/>
        </w:rPr>
        <w:drawing>
          <wp:inline distT="0" distB="0" distL="0" distR="0">
            <wp:extent cx="6388620" cy="28068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92589" cy="2808555"/>
                    </a:xfrm>
                    <a:prstGeom prst="rect">
                      <a:avLst/>
                    </a:prstGeom>
                    <a:noFill/>
                    <a:ln>
                      <a:noFill/>
                    </a:ln>
                  </pic:spPr>
                </pic:pic>
              </a:graphicData>
            </a:graphic>
          </wp:inline>
        </w:drawing>
      </w:r>
    </w:p>
    <w:p w:rsidR="00BA55A8" w:rsidRPr="00524BCB" w:rsidRDefault="00BA55A8" w:rsidP="00BA55A8">
      <w:pPr>
        <w:pStyle w:val="Sinespaciado"/>
        <w:jc w:val="both"/>
        <w:rPr>
          <w:rFonts w:ascii="Helvetica" w:hAnsi="Helvetica"/>
          <w:highlight w:val="yellow"/>
        </w:rPr>
      </w:pPr>
    </w:p>
    <w:p w:rsidR="00BA55A8" w:rsidRPr="00714B83" w:rsidRDefault="00BA55A8" w:rsidP="00BA55A8">
      <w:pPr>
        <w:pStyle w:val="Sinespaciado"/>
        <w:jc w:val="both"/>
        <w:rPr>
          <w:rFonts w:cs="Arial"/>
          <w:b/>
        </w:rPr>
      </w:pPr>
      <w:r w:rsidRPr="00714B83">
        <w:rPr>
          <w:rFonts w:cs="Arial"/>
          <w:b/>
        </w:rPr>
        <w:t>INGRESOS.</w:t>
      </w:r>
    </w:p>
    <w:p w:rsidR="00BA55A8" w:rsidRPr="00524BCB" w:rsidRDefault="00BA55A8" w:rsidP="00BA55A8">
      <w:pPr>
        <w:pStyle w:val="Sinespaciado"/>
        <w:jc w:val="both"/>
        <w:rPr>
          <w:rFonts w:ascii="Helvetica" w:hAnsi="Helvetica"/>
          <w:highlight w:val="yellow"/>
        </w:rPr>
      </w:pPr>
    </w:p>
    <w:p w:rsidR="00BA55A8" w:rsidRDefault="00BA55A8" w:rsidP="00BA55A8">
      <w:pPr>
        <w:pStyle w:val="Sinespaciado"/>
        <w:jc w:val="both"/>
        <w:rPr>
          <w:rFonts w:cs="Arial"/>
        </w:rPr>
      </w:pPr>
      <w:r w:rsidRPr="000B7DB7">
        <w:rPr>
          <w:rFonts w:cs="Arial"/>
        </w:rPr>
        <w:t xml:space="preserve">Inicialmente se previó recaudar en la Ley de </w:t>
      </w:r>
      <w:r w:rsidRPr="008548B2">
        <w:rPr>
          <w:rFonts w:cs="Arial"/>
        </w:rPr>
        <w:t>Ingr</w:t>
      </w:r>
      <w:r>
        <w:rPr>
          <w:rFonts w:cs="Arial"/>
        </w:rPr>
        <w:t>esos Estimada la cantidad de 1,</w:t>
      </w:r>
      <w:r w:rsidRPr="008548B2">
        <w:rPr>
          <w:rFonts w:cs="Arial"/>
        </w:rPr>
        <w:t>919, 229,732.00, se dio una asignación en el Capítu</w:t>
      </w:r>
      <w:r>
        <w:rPr>
          <w:rFonts w:cs="Arial"/>
        </w:rPr>
        <w:t>lo de Inversión Pública por 34,</w:t>
      </w:r>
      <w:r w:rsidRPr="008548B2">
        <w:rPr>
          <w:rFonts w:cs="Arial"/>
        </w:rPr>
        <w:t xml:space="preserve">568,177.69 que corresponden al Programa Acciones para el Desarrollo (PAD), denominado “Regularización de Tenencia de la Tierra, provenientes del Gobierno del Estado de México (GEM), cuya fuente de financiamiento son recursos estales, </w:t>
      </w:r>
      <w:r>
        <w:rPr>
          <w:rFonts w:cs="Arial"/>
        </w:rPr>
        <w:t>dando un total autorizado de 1,953,</w:t>
      </w:r>
      <w:r w:rsidRPr="008548B2">
        <w:rPr>
          <w:rFonts w:cs="Arial"/>
        </w:rPr>
        <w:t>797,909.69</w:t>
      </w:r>
      <w:r w:rsidRPr="001E6ED0">
        <w:rPr>
          <w:rFonts w:cs="Arial"/>
        </w:rPr>
        <w:t xml:space="preserve">. Se han realizado ampliaciones al presupuesto por un total de </w:t>
      </w:r>
      <w:r>
        <w:rPr>
          <w:rFonts w:cs="Arial"/>
        </w:rPr>
        <w:t>893,</w:t>
      </w:r>
      <w:r w:rsidRPr="00FF6B27">
        <w:rPr>
          <w:rFonts w:cs="Arial"/>
        </w:rPr>
        <w:t xml:space="preserve">175,263.17, así como, reducciones por 15, 826,754.81. El importe total recaudado al mes que se analiza fue de </w:t>
      </w:r>
      <w:r w:rsidRPr="00C823AB">
        <w:rPr>
          <w:rFonts w:cs="Arial"/>
        </w:rPr>
        <w:t>2,823,384,643.35,</w:t>
      </w:r>
      <w:r w:rsidRPr="00FF6B27">
        <w:rPr>
          <w:rFonts w:cs="Arial"/>
        </w:rPr>
        <w:t xml:space="preserve"> por lo que existe una variación del 0.</w:t>
      </w:r>
      <w:r>
        <w:rPr>
          <w:rFonts w:cs="Arial"/>
        </w:rPr>
        <w:t>27</w:t>
      </w:r>
      <w:r w:rsidRPr="00FF6B27">
        <w:rPr>
          <w:rFonts w:cs="Arial"/>
        </w:rPr>
        <w:t xml:space="preserve"> por ciento co</w:t>
      </w:r>
      <w:r>
        <w:rPr>
          <w:rFonts w:cs="Arial"/>
        </w:rPr>
        <w:t>n respecto al total autorizado.</w:t>
      </w:r>
    </w:p>
    <w:p w:rsidR="00BA55A8" w:rsidRDefault="00BA55A8" w:rsidP="00BA55A8">
      <w:pPr>
        <w:pStyle w:val="Sinespaciado"/>
        <w:jc w:val="both"/>
        <w:rPr>
          <w:rFonts w:cs="Arial"/>
        </w:rPr>
      </w:pPr>
    </w:p>
    <w:p w:rsidR="00BA55A8" w:rsidRPr="00FF6B27" w:rsidRDefault="00BA55A8" w:rsidP="00BA55A8">
      <w:pPr>
        <w:pStyle w:val="Sinespaciado"/>
        <w:jc w:val="both"/>
        <w:rPr>
          <w:rFonts w:cs="Arial"/>
        </w:rPr>
      </w:pPr>
    </w:p>
    <w:p w:rsidR="00BA55A8" w:rsidRPr="003740AF" w:rsidRDefault="00BA55A8" w:rsidP="00BA55A8">
      <w:pPr>
        <w:pStyle w:val="Sinespaciado"/>
        <w:jc w:val="both"/>
        <w:rPr>
          <w:rFonts w:cs="Arial"/>
          <w:b/>
        </w:rPr>
      </w:pPr>
      <w:r w:rsidRPr="00FF6B27">
        <w:rPr>
          <w:rFonts w:cs="Arial"/>
          <w:b/>
        </w:rPr>
        <w:t>INGRESOS DE GESTIÓN.</w:t>
      </w:r>
    </w:p>
    <w:p w:rsidR="00BA55A8" w:rsidRPr="003740AF" w:rsidRDefault="00BA55A8" w:rsidP="00BA55A8">
      <w:pPr>
        <w:pStyle w:val="Sinespaciado"/>
        <w:jc w:val="both"/>
        <w:rPr>
          <w:rFonts w:cs="Arial"/>
        </w:rPr>
      </w:pPr>
    </w:p>
    <w:p w:rsidR="004C2985" w:rsidRDefault="00BA55A8" w:rsidP="00BA55A8">
      <w:pPr>
        <w:pStyle w:val="Sinespaciado"/>
        <w:jc w:val="both"/>
        <w:rPr>
          <w:rFonts w:cs="Arial"/>
        </w:rPr>
      </w:pPr>
      <w:r w:rsidRPr="004B437E">
        <w:rPr>
          <w:rFonts w:cs="Arial"/>
        </w:rPr>
        <w:t>Inicialmente se previó recaudar por concepto de Ingresos por Derechos del Registro Público de la Propiedad y Comercio un importe de 1,904, 229,732.00,</w:t>
      </w:r>
      <w:r w:rsidR="00BC74B6" w:rsidRPr="004B437E">
        <w:rPr>
          <w:rFonts w:cs="Arial"/>
        </w:rPr>
        <w:t xml:space="preserve"> por lo que </w:t>
      </w:r>
      <w:r w:rsidRPr="004B437E">
        <w:rPr>
          <w:rFonts w:cs="Arial"/>
        </w:rPr>
        <w:t xml:space="preserve">se realizaron adecuaciones presupuestales internas por 379,912,995.63, para dar suficiencia presupuestal a los Otros Ingresos Financieros y Otros Ingresos Extraordinarios y </w:t>
      </w:r>
      <w:r w:rsidR="004B437E" w:rsidRPr="004B437E">
        <w:rPr>
          <w:rFonts w:cs="Arial"/>
        </w:rPr>
        <w:t>así mismo se autorizaron ampliaciones no liquidas principalmente por 303,652,025.99 con motivo de las transferencias a Nacional Financiera (NAFIN),</w:t>
      </w:r>
      <w:r w:rsidRPr="004B437E">
        <w:rPr>
          <w:rFonts w:cs="Arial"/>
        </w:rPr>
        <w:t xml:space="preserve"> </w:t>
      </w:r>
      <w:r w:rsidR="004B437E" w:rsidRPr="004B437E">
        <w:rPr>
          <w:rFonts w:cs="Arial"/>
        </w:rPr>
        <w:t xml:space="preserve">por 21,501,311.00 y por 10,014,985.01, por necesidades del Instituto. </w:t>
      </w:r>
      <w:r w:rsidRPr="004B437E">
        <w:rPr>
          <w:rFonts w:cs="Arial"/>
        </w:rPr>
        <w:t>Se recaudaron por los derechos de los servicios que presta el Instituto 1,</w:t>
      </w:r>
      <w:r w:rsidR="004B437E" w:rsidRPr="004B437E">
        <w:rPr>
          <w:rFonts w:cs="Arial"/>
        </w:rPr>
        <w:t>514,</w:t>
      </w:r>
      <w:r w:rsidRPr="004B437E">
        <w:rPr>
          <w:rFonts w:cs="Arial"/>
        </w:rPr>
        <w:t>854,580.00, lo que representa el 0.62 por ciento menos respecto del autorizado.</w:t>
      </w:r>
    </w:p>
    <w:p w:rsidR="004C2985" w:rsidRDefault="004C2985">
      <w:pPr>
        <w:spacing w:line="259" w:lineRule="auto"/>
        <w:rPr>
          <w:rFonts w:cs="Arial"/>
        </w:rPr>
      </w:pPr>
      <w:r>
        <w:rPr>
          <w:rFonts w:cs="Arial"/>
        </w:rPr>
        <w:br w:type="page"/>
      </w:r>
    </w:p>
    <w:p w:rsidR="004C2985" w:rsidRDefault="004C2985" w:rsidP="00BA55A8">
      <w:pPr>
        <w:pStyle w:val="Sinespaciado"/>
        <w:jc w:val="both"/>
        <w:rPr>
          <w:rFonts w:cs="Arial"/>
          <w:b/>
        </w:rPr>
      </w:pPr>
    </w:p>
    <w:p w:rsidR="00BA55A8" w:rsidRDefault="00BA55A8" w:rsidP="00BA55A8">
      <w:pPr>
        <w:pStyle w:val="Sinespaciado"/>
        <w:jc w:val="both"/>
        <w:rPr>
          <w:rFonts w:cs="Arial"/>
          <w:b/>
        </w:rPr>
      </w:pPr>
      <w:r w:rsidRPr="00F6076C">
        <w:rPr>
          <w:rFonts w:cs="Arial"/>
          <w:b/>
        </w:rPr>
        <w:t>PARTICIPACIONES, APORTACIONES, TRANSFERENCIAS, ASIGNACIONES, SUBSIDIOS Y OTRAS AYUDAS.</w:t>
      </w:r>
    </w:p>
    <w:p w:rsidR="00BA55A8" w:rsidRPr="00F6076C" w:rsidRDefault="00BA55A8" w:rsidP="00BA55A8">
      <w:pPr>
        <w:pStyle w:val="Sinespaciado"/>
        <w:jc w:val="both"/>
        <w:rPr>
          <w:rFonts w:cs="Arial"/>
          <w:b/>
        </w:rPr>
      </w:pPr>
    </w:p>
    <w:p w:rsidR="00BA55A8" w:rsidRPr="003740AF" w:rsidRDefault="00BA55A8" w:rsidP="00BA55A8">
      <w:pPr>
        <w:pStyle w:val="Sinespaciado"/>
        <w:jc w:val="both"/>
        <w:rPr>
          <w:rFonts w:cs="Arial"/>
        </w:rPr>
      </w:pPr>
      <w:r w:rsidRPr="003740AF">
        <w:rPr>
          <w:rFonts w:cs="Arial"/>
        </w:rPr>
        <w:t xml:space="preserve">Se tiene autorizada la asignación presupuestal de los proyectos denominados “Regularización de Tenencia de la Tierra” por 34,568,177.69, este importe se refleja en el </w:t>
      </w:r>
      <w:r w:rsidR="00BA38A0">
        <w:rPr>
          <w:rFonts w:cs="Arial"/>
        </w:rPr>
        <w:t>renglón</w:t>
      </w:r>
      <w:r w:rsidRPr="003740AF">
        <w:rPr>
          <w:rFonts w:cs="Arial"/>
        </w:rPr>
        <w:t xml:space="preserve"> del Programa de Acciones para el Desarrollo (PAD) y se encuentra ejercido en el comprometido y devengado en su totalidad, y se va recaudando con los depósitos que realiza mensualmente el GEM. </w:t>
      </w:r>
    </w:p>
    <w:p w:rsidR="00BA55A8" w:rsidRPr="003740AF" w:rsidRDefault="00BA55A8" w:rsidP="00BA55A8">
      <w:pPr>
        <w:pStyle w:val="Sinespaciado"/>
        <w:jc w:val="both"/>
        <w:rPr>
          <w:rFonts w:cs="Arial"/>
        </w:rPr>
      </w:pPr>
    </w:p>
    <w:p w:rsidR="00BA55A8" w:rsidRPr="00F6076C" w:rsidRDefault="00BA55A8" w:rsidP="00BA55A8">
      <w:pPr>
        <w:pStyle w:val="Sinespaciado"/>
        <w:jc w:val="both"/>
        <w:rPr>
          <w:rFonts w:cs="Arial"/>
          <w:b/>
        </w:rPr>
      </w:pPr>
      <w:r w:rsidRPr="00F6076C">
        <w:rPr>
          <w:rFonts w:cs="Arial"/>
          <w:b/>
        </w:rPr>
        <w:t>OTROS INGRESOS Y BENEFICIOS.</w:t>
      </w:r>
    </w:p>
    <w:p w:rsidR="00BA55A8" w:rsidRPr="000B53E2" w:rsidRDefault="00BA55A8" w:rsidP="00BA55A8">
      <w:pPr>
        <w:pStyle w:val="Sinespaciado"/>
        <w:jc w:val="both"/>
        <w:rPr>
          <w:rFonts w:cs="Arial"/>
        </w:rPr>
      </w:pPr>
    </w:p>
    <w:p w:rsidR="00BA55A8" w:rsidRDefault="00BA55A8" w:rsidP="00BA55A8">
      <w:pPr>
        <w:pStyle w:val="Sinespaciado"/>
        <w:jc w:val="both"/>
        <w:rPr>
          <w:rFonts w:cs="Arial"/>
        </w:rPr>
      </w:pPr>
      <w:r w:rsidRPr="000B53E2">
        <w:rPr>
          <w:rFonts w:cs="Arial"/>
        </w:rPr>
        <w:t xml:space="preserve">Se previeron recaudar </w:t>
      </w:r>
      <w:r w:rsidR="007F251E">
        <w:rPr>
          <w:rFonts w:cs="Arial"/>
        </w:rPr>
        <w:t>recursos</w:t>
      </w:r>
      <w:r w:rsidR="00CD6822">
        <w:rPr>
          <w:rFonts w:cs="Arial"/>
        </w:rPr>
        <w:t xml:space="preserve"> federales</w:t>
      </w:r>
      <w:r w:rsidRPr="000B53E2">
        <w:rPr>
          <w:rFonts w:cs="Arial"/>
        </w:rPr>
        <w:t xml:space="preserve"> por </w:t>
      </w:r>
      <w:r w:rsidR="00BA38A0">
        <w:rPr>
          <w:rFonts w:cs="Arial"/>
        </w:rPr>
        <w:t>15,</w:t>
      </w:r>
      <w:r>
        <w:rPr>
          <w:rFonts w:cs="Arial"/>
        </w:rPr>
        <w:t>000,000.00, para la “Modernización de los Registros Públicos de la Propiedad y los Catastros”, los cuales se disminuyeron por que el proyecto fue cancelado, por la Federación.</w:t>
      </w:r>
    </w:p>
    <w:p w:rsidR="00BA55A8" w:rsidRDefault="00BA55A8" w:rsidP="00BA55A8">
      <w:pPr>
        <w:pStyle w:val="Sinespaciado"/>
        <w:jc w:val="both"/>
        <w:rPr>
          <w:rFonts w:cs="Arial"/>
        </w:rPr>
      </w:pPr>
    </w:p>
    <w:p w:rsidR="00AC6BFF" w:rsidRDefault="00BA55A8" w:rsidP="00BA55A8">
      <w:pPr>
        <w:pStyle w:val="Sinespaciado"/>
        <w:jc w:val="both"/>
        <w:rPr>
          <w:rFonts w:cs="Arial"/>
        </w:rPr>
      </w:pPr>
      <w:r>
        <w:rPr>
          <w:rFonts w:cs="Arial"/>
        </w:rPr>
        <w:t>S</w:t>
      </w:r>
      <w:r w:rsidRPr="007463B0">
        <w:rPr>
          <w:rFonts w:cs="Arial"/>
        </w:rPr>
        <w:t>e realiza</w:t>
      </w:r>
      <w:r>
        <w:rPr>
          <w:rFonts w:cs="Arial"/>
        </w:rPr>
        <w:t>r</w:t>
      </w:r>
      <w:r w:rsidRPr="007463B0">
        <w:rPr>
          <w:rFonts w:cs="Arial"/>
        </w:rPr>
        <w:t>o</w:t>
      </w:r>
      <w:r>
        <w:rPr>
          <w:rFonts w:cs="Arial"/>
        </w:rPr>
        <w:t>n</w:t>
      </w:r>
      <w:r w:rsidRPr="007463B0">
        <w:rPr>
          <w:rFonts w:cs="Arial"/>
        </w:rPr>
        <w:t xml:space="preserve"> </w:t>
      </w:r>
      <w:r>
        <w:rPr>
          <w:rFonts w:cs="Arial"/>
        </w:rPr>
        <w:t>adecuaciones presupuestales por</w:t>
      </w:r>
      <w:r w:rsidR="00BA38A0">
        <w:rPr>
          <w:rFonts w:cs="Arial"/>
        </w:rPr>
        <w:t xml:space="preserve"> 1,273,088,258.80, de las cuales </w:t>
      </w:r>
      <w:r w:rsidR="0033665F">
        <w:rPr>
          <w:rFonts w:cs="Arial"/>
        </w:rPr>
        <w:t xml:space="preserve">se autorizó una ampliación no liquida por </w:t>
      </w:r>
      <w:r>
        <w:rPr>
          <w:rFonts w:cs="Arial"/>
        </w:rPr>
        <w:t>4</w:t>
      </w:r>
      <w:r w:rsidR="0033665F">
        <w:rPr>
          <w:rFonts w:cs="Arial"/>
        </w:rPr>
        <w:t>02</w:t>
      </w:r>
      <w:r>
        <w:rPr>
          <w:rFonts w:cs="Arial"/>
        </w:rPr>
        <w:t>,</w:t>
      </w:r>
      <w:r w:rsidR="0033665F">
        <w:rPr>
          <w:rFonts w:cs="Arial"/>
        </w:rPr>
        <w:t>408</w:t>
      </w:r>
      <w:r>
        <w:rPr>
          <w:rFonts w:cs="Arial"/>
        </w:rPr>
        <w:t>,</w:t>
      </w:r>
      <w:r w:rsidR="0033665F">
        <w:rPr>
          <w:rFonts w:cs="Arial"/>
        </w:rPr>
        <w:t>560</w:t>
      </w:r>
      <w:r>
        <w:rPr>
          <w:rFonts w:cs="Arial"/>
        </w:rPr>
        <w:t>.</w:t>
      </w:r>
      <w:r w:rsidR="0033665F">
        <w:rPr>
          <w:rFonts w:cs="Arial"/>
        </w:rPr>
        <w:t xml:space="preserve">67 </w:t>
      </w:r>
      <w:r w:rsidR="00BA38A0">
        <w:rPr>
          <w:rFonts w:cs="Arial"/>
        </w:rPr>
        <w:t>y</w:t>
      </w:r>
      <w:r w:rsidR="00CD6822">
        <w:rPr>
          <w:rFonts w:cs="Arial"/>
        </w:rPr>
        <w:t xml:space="preserve"> traspasos internos </w:t>
      </w:r>
      <w:r w:rsidR="00AC6BFF">
        <w:rPr>
          <w:rFonts w:cs="Arial"/>
        </w:rPr>
        <w:t xml:space="preserve">se </w:t>
      </w:r>
      <w:proofErr w:type="spellStart"/>
      <w:r w:rsidR="00AC6BFF">
        <w:rPr>
          <w:rFonts w:cs="Arial"/>
        </w:rPr>
        <w:t>dió</w:t>
      </w:r>
      <w:proofErr w:type="spellEnd"/>
      <w:r w:rsidR="00AC6BFF" w:rsidRPr="007463B0">
        <w:rPr>
          <w:rFonts w:cs="Arial"/>
        </w:rPr>
        <w:t xml:space="preserve"> suficiencia presupuestal a otros ingresos </w:t>
      </w:r>
      <w:r w:rsidR="00AC6BFF">
        <w:rPr>
          <w:rFonts w:cs="Arial"/>
        </w:rPr>
        <w:t>financieros, otros ingresos extraordinarios y otros ingresos diversos</w:t>
      </w:r>
      <w:r w:rsidR="0033665F">
        <w:rPr>
          <w:rFonts w:cs="Arial"/>
        </w:rPr>
        <w:t>;</w:t>
      </w:r>
      <w:r w:rsidRPr="00144133">
        <w:rPr>
          <w:rFonts w:cs="Arial"/>
        </w:rPr>
        <w:t xml:space="preserve"> </w:t>
      </w:r>
      <w:r w:rsidR="00CD6822">
        <w:rPr>
          <w:rFonts w:cs="Arial"/>
        </w:rPr>
        <w:t xml:space="preserve">principalmente </w:t>
      </w:r>
      <w:r w:rsidRPr="00144133">
        <w:rPr>
          <w:rFonts w:cs="Arial"/>
        </w:rPr>
        <w:t>para</w:t>
      </w:r>
      <w:r w:rsidR="007F251E">
        <w:rPr>
          <w:rFonts w:cs="Arial"/>
        </w:rPr>
        <w:t xml:space="preserve"> la transferencia a la fiduciaria</w:t>
      </w:r>
      <w:r w:rsidRPr="00144133">
        <w:rPr>
          <w:rFonts w:cs="Arial"/>
        </w:rPr>
        <w:t xml:space="preserve"> </w:t>
      </w:r>
      <w:r w:rsidR="007F251E">
        <w:rPr>
          <w:rFonts w:cs="Arial"/>
        </w:rPr>
        <w:t xml:space="preserve">para el </w:t>
      </w:r>
      <w:r>
        <w:rPr>
          <w:rFonts w:cs="Arial"/>
        </w:rPr>
        <w:t>p</w:t>
      </w:r>
      <w:r w:rsidR="00CD6822">
        <w:rPr>
          <w:rFonts w:cs="Arial"/>
        </w:rPr>
        <w:t xml:space="preserve">ago </w:t>
      </w:r>
      <w:r w:rsidR="007F251E">
        <w:rPr>
          <w:rFonts w:cs="Arial"/>
        </w:rPr>
        <w:t>d</w:t>
      </w:r>
      <w:r w:rsidR="00CD6822">
        <w:rPr>
          <w:rFonts w:cs="Arial"/>
        </w:rPr>
        <w:t xml:space="preserve">e </w:t>
      </w:r>
      <w:r w:rsidRPr="00144133">
        <w:rPr>
          <w:rFonts w:cs="Arial"/>
        </w:rPr>
        <w:t xml:space="preserve">Bonos </w:t>
      </w:r>
      <w:r w:rsidR="00CD6822">
        <w:rPr>
          <w:rFonts w:cs="Arial"/>
        </w:rPr>
        <w:t>(</w:t>
      </w:r>
      <w:r w:rsidRPr="00144133">
        <w:rPr>
          <w:rFonts w:cs="Arial"/>
        </w:rPr>
        <w:t>Amortización de Capital e intereses</w:t>
      </w:r>
      <w:r w:rsidR="00CD6822">
        <w:rPr>
          <w:rFonts w:cs="Arial"/>
        </w:rPr>
        <w:t>)</w:t>
      </w:r>
      <w:r w:rsidR="007F251E">
        <w:rPr>
          <w:rFonts w:cs="Arial"/>
        </w:rPr>
        <w:t xml:space="preserve"> y una ampliación no liquida por  73,</w:t>
      </w:r>
      <w:r w:rsidR="007F251E" w:rsidRPr="00EB4F61">
        <w:rPr>
          <w:rFonts w:cs="Arial"/>
        </w:rPr>
        <w:t>328,468.26</w:t>
      </w:r>
      <w:r w:rsidR="007F251E">
        <w:rPr>
          <w:rFonts w:cs="Arial"/>
        </w:rPr>
        <w:t xml:space="preserve">, para el traspaso al Gobierno del Estado de “Remanentes e intereses del Fideicomiso de Cobranza, así como </w:t>
      </w:r>
      <w:r w:rsidRPr="00EB4F61">
        <w:rPr>
          <w:rFonts w:cs="Arial"/>
        </w:rPr>
        <w:t>16,232,262.11</w:t>
      </w:r>
      <w:r w:rsidRPr="00144133">
        <w:rPr>
          <w:rFonts w:cs="Arial"/>
        </w:rPr>
        <w:t xml:space="preserve"> para </w:t>
      </w:r>
      <w:r w:rsidR="00AC6BFF">
        <w:rPr>
          <w:rFonts w:cs="Arial"/>
        </w:rPr>
        <w:t>cubrir los</w:t>
      </w:r>
      <w:r w:rsidRPr="00144133">
        <w:rPr>
          <w:rFonts w:cs="Arial"/>
        </w:rPr>
        <w:t xml:space="preserve"> adeudos de ejercicios fiscales anteriores (ADEFAS</w:t>
      </w:r>
      <w:r w:rsidR="00AC6BFF">
        <w:rPr>
          <w:rFonts w:cs="Arial"/>
        </w:rPr>
        <w:t xml:space="preserve"> 2018).</w:t>
      </w:r>
    </w:p>
    <w:p w:rsidR="00AC6BFF" w:rsidRDefault="00AC6BFF" w:rsidP="00BA55A8">
      <w:pPr>
        <w:pStyle w:val="Sinespaciado"/>
        <w:jc w:val="both"/>
        <w:rPr>
          <w:rFonts w:cs="Arial"/>
        </w:rPr>
      </w:pPr>
    </w:p>
    <w:p w:rsidR="00BA55A8" w:rsidRDefault="00BA55A8" w:rsidP="00BA55A8">
      <w:pPr>
        <w:pStyle w:val="Sinespaciado"/>
        <w:jc w:val="both"/>
      </w:pPr>
      <w:r w:rsidRPr="00F6076C">
        <w:rPr>
          <w:rFonts w:cs="Arial"/>
          <w:b/>
        </w:rPr>
        <w:t>Otros Ingresos Financieros. -</w:t>
      </w:r>
      <w:r w:rsidRPr="000B53E2">
        <w:rPr>
          <w:rFonts w:cs="Arial"/>
        </w:rPr>
        <w:t xml:space="preserve"> Se </w:t>
      </w:r>
      <w:r w:rsidRPr="00025F2E">
        <w:rPr>
          <w:rFonts w:cs="Arial"/>
        </w:rPr>
        <w:t>tiene recaudado la cantida</w:t>
      </w:r>
      <w:r w:rsidRPr="006C585A">
        <w:rPr>
          <w:rFonts w:cs="Arial"/>
        </w:rPr>
        <w:t>d de 495, 689,099.38,</w:t>
      </w:r>
      <w:r w:rsidRPr="00025F2E">
        <w:rPr>
          <w:rFonts w:cs="Arial"/>
        </w:rPr>
        <w:t xml:space="preserve"> de los cuales </w:t>
      </w:r>
      <w:r>
        <w:rPr>
          <w:rFonts w:cs="Arial"/>
        </w:rPr>
        <w:t>4</w:t>
      </w:r>
      <w:r>
        <w:t>79, 377,095.95</w:t>
      </w:r>
    </w:p>
    <w:p w:rsidR="00BA55A8" w:rsidRDefault="00BA55A8" w:rsidP="00BA55A8">
      <w:pPr>
        <w:pStyle w:val="Sinespaciado"/>
        <w:jc w:val="both"/>
        <w:rPr>
          <w:rFonts w:cs="Arial"/>
        </w:rPr>
      </w:pPr>
      <w:r w:rsidRPr="00025F2E">
        <w:t>corresponden a los ingresos</w:t>
      </w:r>
      <w:r w:rsidRPr="005B7A43">
        <w:t xml:space="preserve"> del Fideicomiso de Cobranza para los pagos de intereses de los bonos correspondientes al </w:t>
      </w:r>
      <w:r w:rsidRPr="006C585A">
        <w:t xml:space="preserve">ejercicio y 16,312,003.43 se derivan de rendimientos </w:t>
      </w:r>
      <w:r w:rsidRPr="006C585A">
        <w:rPr>
          <w:rFonts w:cs="Arial"/>
        </w:rPr>
        <w:t>por intereses financieros generados por las inversiones de las Instituciones Bancarias de este Instituto</w:t>
      </w:r>
      <w:r>
        <w:rPr>
          <w:rFonts w:cs="Arial"/>
        </w:rPr>
        <w:t>.</w:t>
      </w:r>
    </w:p>
    <w:p w:rsidR="00BA55A8" w:rsidRDefault="00BA55A8" w:rsidP="00BA55A8">
      <w:pPr>
        <w:pStyle w:val="Sinespaciado"/>
        <w:jc w:val="both"/>
        <w:rPr>
          <w:rFonts w:cs="Arial"/>
        </w:rPr>
      </w:pPr>
    </w:p>
    <w:p w:rsidR="00BA55A8" w:rsidRDefault="00BA55A8" w:rsidP="00BA55A8">
      <w:pPr>
        <w:pStyle w:val="Sinespaciado"/>
        <w:jc w:val="both"/>
        <w:rPr>
          <w:rFonts w:cs="Arial"/>
        </w:rPr>
      </w:pPr>
      <w:r w:rsidRPr="00FF6B27">
        <w:rPr>
          <w:rFonts w:cs="Arial"/>
          <w:b/>
        </w:rPr>
        <w:t>Otros Ingresos Extraordinarios. –</w:t>
      </w:r>
      <w:r w:rsidRPr="00FF6B27">
        <w:rPr>
          <w:rFonts w:cs="Arial"/>
        </w:rPr>
        <w:t xml:space="preserve"> Se registran otros ingresos extraordinarios recaudados por un monto de </w:t>
      </w:r>
      <w:r w:rsidR="00AC6BFF" w:rsidRPr="00FF6B27">
        <w:rPr>
          <w:rFonts w:cs="Arial"/>
        </w:rPr>
        <w:t>757,420,769.49</w:t>
      </w:r>
      <w:r w:rsidRPr="00FF6B27">
        <w:rPr>
          <w:rFonts w:cs="Arial"/>
        </w:rPr>
        <w:t xml:space="preserve">, </w:t>
      </w:r>
      <w:r w:rsidR="00003D73">
        <w:rPr>
          <w:rFonts w:cs="Arial"/>
        </w:rPr>
        <w:t xml:space="preserve">que se </w:t>
      </w:r>
      <w:r w:rsidRPr="00FF6B27">
        <w:rPr>
          <w:rFonts w:cs="Arial"/>
        </w:rPr>
        <w:t>integra</w:t>
      </w:r>
      <w:r w:rsidR="00003D73">
        <w:rPr>
          <w:rFonts w:cs="Arial"/>
        </w:rPr>
        <w:t>n</w:t>
      </w:r>
      <w:r w:rsidRPr="00FF6B27">
        <w:rPr>
          <w:rFonts w:cs="Arial"/>
        </w:rPr>
        <w:t xml:space="preserve"> </w:t>
      </w:r>
      <w:r w:rsidRPr="006C585A">
        <w:t xml:space="preserve">de la siguiente forma: </w:t>
      </w:r>
      <w:r w:rsidR="00003D73">
        <w:rPr>
          <w:rFonts w:cs="Arial"/>
        </w:rPr>
        <w:t>437,258,326.28</w:t>
      </w:r>
      <w:r w:rsidR="00003D73" w:rsidRPr="00200710">
        <w:rPr>
          <w:rFonts w:cs="Arial"/>
        </w:rPr>
        <w:t xml:space="preserve"> de remanentes e intere</w:t>
      </w:r>
      <w:r w:rsidR="00003D73">
        <w:rPr>
          <w:rFonts w:cs="Arial"/>
        </w:rPr>
        <w:t xml:space="preserve">ses del fideicomiso de cobranza, </w:t>
      </w:r>
      <w:r w:rsidRPr="006C585A">
        <w:t xml:space="preserve">320,028,291.93 </w:t>
      </w:r>
      <w:r>
        <w:t xml:space="preserve">de los ingresos extraordinarios </w:t>
      </w:r>
      <w:r w:rsidR="00AC6BFF">
        <w:t xml:space="preserve">del </w:t>
      </w:r>
      <w:r>
        <w:t xml:space="preserve">Fideicomiso de Cobranza, </w:t>
      </w:r>
      <w:r w:rsidRPr="006C585A">
        <w:t>para pagos de amortización de capital</w:t>
      </w:r>
      <w:r>
        <w:t>,</w:t>
      </w:r>
      <w:r w:rsidRPr="006C585A">
        <w:t xml:space="preserve"> por la emisión de los Certificados Bursátiles Fiduciarios; </w:t>
      </w:r>
      <w:r w:rsidR="00003D73">
        <w:t xml:space="preserve">así como </w:t>
      </w:r>
      <w:r w:rsidRPr="006C585A">
        <w:t xml:space="preserve">134,151.28 </w:t>
      </w:r>
      <w:r w:rsidRPr="006C585A">
        <w:rPr>
          <w:rFonts w:cs="Arial"/>
        </w:rPr>
        <w:t>de los intereses</w:t>
      </w:r>
      <w:r w:rsidRPr="00200710">
        <w:rPr>
          <w:rFonts w:cs="Arial"/>
        </w:rPr>
        <w:t xml:space="preserve"> generados por las transferencias de los depósitos del Registro Público de Comercio (RPC)</w:t>
      </w:r>
      <w:r w:rsidR="00003D73">
        <w:rPr>
          <w:rFonts w:cs="Arial"/>
        </w:rPr>
        <w:t>.</w:t>
      </w:r>
      <w:r w:rsidRPr="00200710">
        <w:rPr>
          <w:rFonts w:cs="Arial"/>
        </w:rPr>
        <w:t xml:space="preserve"> </w:t>
      </w:r>
    </w:p>
    <w:p w:rsidR="00AC6BFF" w:rsidRDefault="00AC6BFF" w:rsidP="00BA55A8">
      <w:pPr>
        <w:pStyle w:val="Sinespaciado"/>
        <w:jc w:val="both"/>
        <w:rPr>
          <w:rFonts w:cs="Arial"/>
        </w:rPr>
      </w:pPr>
    </w:p>
    <w:p w:rsidR="00AC6BFF" w:rsidRPr="00200710" w:rsidRDefault="00AC6BFF" w:rsidP="00AC6BFF">
      <w:pPr>
        <w:pStyle w:val="Sinespaciado"/>
        <w:jc w:val="both"/>
        <w:rPr>
          <w:rFonts w:cs="Arial"/>
        </w:rPr>
      </w:pPr>
      <w:r w:rsidRPr="00FF6B27">
        <w:rPr>
          <w:rFonts w:cs="Arial"/>
          <w:b/>
        </w:rPr>
        <w:t>Otros Ingresos</w:t>
      </w:r>
      <w:r>
        <w:rPr>
          <w:rFonts w:cs="Arial"/>
          <w:b/>
        </w:rPr>
        <w:t xml:space="preserve"> por</w:t>
      </w:r>
      <w:r w:rsidRPr="00FF6B27">
        <w:rPr>
          <w:rFonts w:cs="Arial"/>
          <w:b/>
        </w:rPr>
        <w:t xml:space="preserve"> </w:t>
      </w:r>
      <w:r w:rsidRPr="00AC6BFF">
        <w:rPr>
          <w:rFonts w:cs="Arial"/>
          <w:b/>
        </w:rPr>
        <w:t>Pasivos Derivados de Erogaciones Devengadas y Pendientes de Ejercicios Anteriores</w:t>
      </w:r>
      <w:r w:rsidRPr="00FF6B27">
        <w:rPr>
          <w:rFonts w:cs="Arial"/>
          <w:b/>
        </w:rPr>
        <w:t>.</w:t>
      </w:r>
    </w:p>
    <w:p w:rsidR="00BA55A8" w:rsidRDefault="00003D73" w:rsidP="00BA55A8">
      <w:pPr>
        <w:pStyle w:val="Sinespaciado"/>
        <w:jc w:val="both"/>
        <w:rPr>
          <w:rFonts w:cs="Arial"/>
        </w:rPr>
      </w:pPr>
      <w:r>
        <w:rPr>
          <w:rFonts w:cs="Arial"/>
        </w:rPr>
        <w:t>P</w:t>
      </w:r>
      <w:r w:rsidR="00AC6BFF" w:rsidRPr="00FF6B27">
        <w:rPr>
          <w:rFonts w:cs="Arial"/>
        </w:rPr>
        <w:t>or 17,119,617.00</w:t>
      </w:r>
      <w:r>
        <w:rPr>
          <w:rFonts w:cs="Arial"/>
        </w:rPr>
        <w:t>;</w:t>
      </w:r>
      <w:r w:rsidR="00AC6BFF" w:rsidRPr="00FF6B27">
        <w:rPr>
          <w:rFonts w:cs="Arial"/>
        </w:rPr>
        <w:t xml:space="preserve"> </w:t>
      </w:r>
      <w:r>
        <w:rPr>
          <w:rFonts w:cs="Arial"/>
        </w:rPr>
        <w:t xml:space="preserve">que corresponden a las obligaciones de pago </w:t>
      </w:r>
      <w:r w:rsidR="00AC6BFF" w:rsidRPr="00FF6B27">
        <w:rPr>
          <w:rFonts w:cs="Arial"/>
        </w:rPr>
        <w:t>pendientes de l</w:t>
      </w:r>
      <w:r w:rsidR="00AC6BFF">
        <w:rPr>
          <w:rFonts w:cs="Arial"/>
        </w:rPr>
        <w:t>iquidar al cierre del ejercicio</w:t>
      </w:r>
      <w:r>
        <w:rPr>
          <w:rFonts w:cs="Arial"/>
        </w:rPr>
        <w:t>.</w:t>
      </w:r>
    </w:p>
    <w:p w:rsidR="00AC6BFF" w:rsidRPr="00200710" w:rsidRDefault="00AC6BFF" w:rsidP="00BA55A8">
      <w:pPr>
        <w:pStyle w:val="Sinespaciado"/>
        <w:jc w:val="both"/>
        <w:rPr>
          <w:rFonts w:cs="Arial"/>
        </w:rPr>
      </w:pPr>
    </w:p>
    <w:p w:rsidR="004C2985" w:rsidRDefault="00BA55A8" w:rsidP="00BA55A8">
      <w:pPr>
        <w:pStyle w:val="Sinespaciado"/>
        <w:jc w:val="both"/>
        <w:rPr>
          <w:rFonts w:cs="Arial"/>
        </w:rPr>
      </w:pPr>
      <w:r w:rsidRPr="006C585A">
        <w:rPr>
          <w:rFonts w:cs="Arial"/>
          <w:b/>
        </w:rPr>
        <w:t xml:space="preserve">Otros Ingresos Diversos. - </w:t>
      </w:r>
      <w:r w:rsidRPr="006C585A">
        <w:rPr>
          <w:rFonts w:cs="Arial"/>
        </w:rPr>
        <w:t>Se re</w:t>
      </w:r>
      <w:r w:rsidR="00003D73">
        <w:rPr>
          <w:rFonts w:cs="Arial"/>
        </w:rPr>
        <w:t>gistraron en el re</w:t>
      </w:r>
      <w:r w:rsidRPr="006C585A">
        <w:rPr>
          <w:rFonts w:cs="Arial"/>
        </w:rPr>
        <w:t>cauda</w:t>
      </w:r>
      <w:r w:rsidR="00003D73">
        <w:rPr>
          <w:rFonts w:cs="Arial"/>
        </w:rPr>
        <w:t>do</w:t>
      </w:r>
      <w:r w:rsidRPr="006C585A">
        <w:rPr>
          <w:rFonts w:cs="Arial"/>
        </w:rPr>
        <w:t xml:space="preserve"> </w:t>
      </w:r>
      <w:r>
        <w:rPr>
          <w:rFonts w:cs="Arial"/>
        </w:rPr>
        <w:t>3</w:t>
      </w:r>
      <w:r w:rsidRPr="006C585A">
        <w:rPr>
          <w:rFonts w:cs="Arial"/>
        </w:rPr>
        <w:t>,</w:t>
      </w:r>
      <w:r>
        <w:rPr>
          <w:rFonts w:cs="Arial"/>
        </w:rPr>
        <w:t>732,399.79</w:t>
      </w:r>
      <w:r w:rsidRPr="006C585A">
        <w:rPr>
          <w:rFonts w:cs="Arial"/>
        </w:rPr>
        <w:t xml:space="preserve"> de ingresos varios</w:t>
      </w:r>
      <w:r w:rsidR="00003D73">
        <w:rPr>
          <w:rFonts w:cs="Arial"/>
        </w:rPr>
        <w:t xml:space="preserve">; principalmente por </w:t>
      </w:r>
      <w:r w:rsidRPr="006C585A">
        <w:rPr>
          <w:rFonts w:cs="Arial"/>
        </w:rPr>
        <w:t xml:space="preserve">cancelación de cuentas por pagar, sanción </w:t>
      </w:r>
      <w:r w:rsidR="00003D73" w:rsidRPr="006C585A">
        <w:rPr>
          <w:rFonts w:cs="Arial"/>
        </w:rPr>
        <w:t xml:space="preserve">por </w:t>
      </w:r>
      <w:r w:rsidRPr="006C585A">
        <w:rPr>
          <w:rFonts w:cs="Arial"/>
        </w:rPr>
        <w:t>incumplimiento, venta de bases para concurso, venta de papel, venta de chata</w:t>
      </w:r>
      <w:r>
        <w:rPr>
          <w:rFonts w:cs="Arial"/>
        </w:rPr>
        <w:t>r</w:t>
      </w:r>
      <w:r w:rsidRPr="006C585A">
        <w:rPr>
          <w:rFonts w:cs="Arial"/>
        </w:rPr>
        <w:t>ra, depósitos no referenciados, notas de crédito</w:t>
      </w:r>
      <w:r>
        <w:rPr>
          <w:rFonts w:cs="Arial"/>
        </w:rPr>
        <w:t>,</w:t>
      </w:r>
      <w:r w:rsidRPr="006C585A">
        <w:rPr>
          <w:rFonts w:cs="Arial"/>
        </w:rPr>
        <w:t xml:space="preserve"> llamadas telefónicas no oficiales, </w:t>
      </w:r>
      <w:r>
        <w:rPr>
          <w:rFonts w:cs="Arial"/>
        </w:rPr>
        <w:t xml:space="preserve">reexpedición de gafetes, </w:t>
      </w:r>
      <w:r w:rsidR="00065FD4">
        <w:rPr>
          <w:rFonts w:cs="Arial"/>
        </w:rPr>
        <w:t>entre otros</w:t>
      </w:r>
      <w:r>
        <w:rPr>
          <w:rFonts w:cs="Arial"/>
        </w:rPr>
        <w:t>.</w:t>
      </w:r>
    </w:p>
    <w:p w:rsidR="004C2985" w:rsidRDefault="004C2985">
      <w:pPr>
        <w:spacing w:line="259" w:lineRule="auto"/>
        <w:rPr>
          <w:rFonts w:cs="Arial"/>
        </w:rPr>
      </w:pPr>
      <w:r>
        <w:rPr>
          <w:rFonts w:cs="Arial"/>
        </w:rPr>
        <w:br w:type="page"/>
      </w:r>
    </w:p>
    <w:p w:rsidR="00BA55A8" w:rsidRDefault="005742F2" w:rsidP="00BA55A8">
      <w:pPr>
        <w:pStyle w:val="Prrafodelista"/>
        <w:numPr>
          <w:ilvl w:val="0"/>
          <w:numId w:val="12"/>
        </w:numPr>
        <w:spacing w:line="276" w:lineRule="auto"/>
        <w:ind w:right="-1"/>
        <w:rPr>
          <w:rFonts w:cs="Arial"/>
          <w:b/>
        </w:rPr>
      </w:pPr>
      <w:r>
        <w:rPr>
          <w:rFonts w:ascii="HelveticaNeueLT Std" w:hAnsi="HelveticaNeueLT Std" w:cs="Arial"/>
          <w:b/>
          <w:sz w:val="20"/>
          <w:szCs w:val="20"/>
        </w:rPr>
        <w:t xml:space="preserve"> </w:t>
      </w:r>
      <w:r w:rsidR="00BA55A8" w:rsidRPr="00714AEE">
        <w:rPr>
          <w:rFonts w:ascii="HelveticaNeueLT Std" w:hAnsi="HelveticaNeueLT Std" w:cs="Arial"/>
          <w:b/>
          <w:sz w:val="20"/>
          <w:szCs w:val="20"/>
        </w:rPr>
        <w:t>Información sobre la Deuda y el Reporte Analítico de la Deuda</w:t>
      </w:r>
      <w:r w:rsidR="00BA55A8">
        <w:rPr>
          <w:rFonts w:ascii="HelveticaNeueLT Std" w:hAnsi="HelveticaNeueLT Std" w:cs="Arial"/>
          <w:b/>
          <w:sz w:val="20"/>
          <w:szCs w:val="20"/>
        </w:rPr>
        <w:t>.</w:t>
      </w:r>
    </w:p>
    <w:p w:rsidR="00B73BEA" w:rsidRDefault="00B73BEA" w:rsidP="00BA55A8">
      <w:pPr>
        <w:spacing w:line="276" w:lineRule="auto"/>
        <w:ind w:right="-1"/>
        <w:jc w:val="both"/>
        <w:rPr>
          <w:rFonts w:cs="Arial"/>
        </w:rPr>
      </w:pPr>
    </w:p>
    <w:p w:rsidR="00BA55A8" w:rsidRPr="00B05C27" w:rsidRDefault="00BA55A8" w:rsidP="00BA55A8">
      <w:pPr>
        <w:spacing w:line="276" w:lineRule="auto"/>
        <w:ind w:right="-1"/>
        <w:jc w:val="both"/>
        <w:rPr>
          <w:rFonts w:cs="Arial"/>
        </w:rPr>
      </w:pPr>
      <w:r w:rsidRPr="00B05C27">
        <w:rPr>
          <w:rFonts w:cs="Arial"/>
        </w:rPr>
        <w:t>Al mes actual el análisis de la deuda se integra de la siguiente manera:</w:t>
      </w:r>
    </w:p>
    <w:p w:rsidR="00BA55A8" w:rsidRPr="007F0765" w:rsidRDefault="00BA55A8" w:rsidP="00BA55A8">
      <w:pPr>
        <w:spacing w:line="276" w:lineRule="auto"/>
        <w:ind w:right="-1"/>
        <w:rPr>
          <w:noProof/>
          <w:lang w:eastAsia="es-MX"/>
        </w:rPr>
      </w:pPr>
      <w:r w:rsidRPr="00B05C27">
        <w:rPr>
          <w:rFonts w:cs="Arial"/>
        </w:rPr>
        <w:t>Mensual:</w:t>
      </w:r>
      <w:r w:rsidRPr="006A225B">
        <w:rPr>
          <w:rFonts w:cs="Arial"/>
        </w:rPr>
        <w:t xml:space="preserve"> </w:t>
      </w:r>
    </w:p>
    <w:p w:rsidR="00BA55A8" w:rsidRPr="00AB2962" w:rsidRDefault="00BA55A8" w:rsidP="00BA55A8">
      <w:pPr>
        <w:spacing w:line="276" w:lineRule="auto"/>
        <w:ind w:right="-1"/>
        <w:jc w:val="center"/>
        <w:rPr>
          <w:rFonts w:cs="Arial"/>
          <w:b/>
        </w:rPr>
      </w:pPr>
      <w:r w:rsidRPr="00576122">
        <w:rPr>
          <w:noProof/>
          <w:lang w:eastAsia="es-MX"/>
        </w:rPr>
        <w:drawing>
          <wp:inline distT="0" distB="0" distL="0" distR="0" wp14:anchorId="0842E20B" wp14:editId="08E67E7D">
            <wp:extent cx="6389370" cy="20578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2057875"/>
                    </a:xfrm>
                    <a:prstGeom prst="rect">
                      <a:avLst/>
                    </a:prstGeom>
                    <a:noFill/>
                    <a:ln>
                      <a:noFill/>
                    </a:ln>
                  </pic:spPr>
                </pic:pic>
              </a:graphicData>
            </a:graphic>
          </wp:inline>
        </w:drawing>
      </w:r>
    </w:p>
    <w:p w:rsidR="00B73BEA" w:rsidRDefault="00B73BEA" w:rsidP="00BA55A8">
      <w:pPr>
        <w:spacing w:line="276" w:lineRule="auto"/>
        <w:ind w:right="-1"/>
        <w:rPr>
          <w:rFonts w:cs="Arial"/>
        </w:rPr>
      </w:pPr>
    </w:p>
    <w:p w:rsidR="00BA55A8" w:rsidRDefault="00BA55A8" w:rsidP="00BA55A8">
      <w:pPr>
        <w:spacing w:line="276" w:lineRule="auto"/>
        <w:ind w:right="-1"/>
        <w:rPr>
          <w:rFonts w:cs="Arial"/>
        </w:rPr>
      </w:pPr>
      <w:r>
        <w:rPr>
          <w:rFonts w:cs="Arial"/>
        </w:rPr>
        <w:t>Acumulada:</w:t>
      </w:r>
    </w:p>
    <w:p w:rsidR="00BA55A8" w:rsidRDefault="00BA55A8" w:rsidP="00BA55A8">
      <w:pPr>
        <w:spacing w:line="276" w:lineRule="auto"/>
        <w:ind w:right="-1"/>
        <w:rPr>
          <w:rFonts w:cs="Arial"/>
        </w:rPr>
      </w:pPr>
      <w:r w:rsidRPr="00576122">
        <w:rPr>
          <w:noProof/>
          <w:lang w:eastAsia="es-MX"/>
        </w:rPr>
        <w:drawing>
          <wp:inline distT="0" distB="0" distL="0" distR="0" wp14:anchorId="0D8F479F" wp14:editId="4CBB59CE">
            <wp:extent cx="6389370" cy="195000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1950003"/>
                    </a:xfrm>
                    <a:prstGeom prst="rect">
                      <a:avLst/>
                    </a:prstGeom>
                    <a:noFill/>
                    <a:ln>
                      <a:noFill/>
                    </a:ln>
                  </pic:spPr>
                </pic:pic>
              </a:graphicData>
            </a:graphic>
          </wp:inline>
        </w:drawing>
      </w:r>
    </w:p>
    <w:p w:rsidR="005742F2" w:rsidRDefault="005742F2">
      <w:pPr>
        <w:spacing w:line="259" w:lineRule="auto"/>
        <w:rPr>
          <w:rFonts w:cs="Arial"/>
          <w:lang w:eastAsia="es-ES"/>
        </w:rPr>
      </w:pPr>
      <w:r>
        <w:rPr>
          <w:rFonts w:cs="Arial"/>
          <w:lang w:eastAsia="es-ES"/>
        </w:rPr>
        <w:br w:type="page"/>
      </w:r>
    </w:p>
    <w:p w:rsidR="00BA55A8" w:rsidRDefault="00BA55A8" w:rsidP="00BA55A8">
      <w:pPr>
        <w:spacing w:line="276" w:lineRule="auto"/>
        <w:ind w:right="-1"/>
        <w:jc w:val="both"/>
        <w:rPr>
          <w:rFonts w:cs="Arial"/>
          <w:lang w:eastAsia="es-ES"/>
        </w:rPr>
      </w:pPr>
      <w:r>
        <w:rPr>
          <w:rFonts w:cs="Arial"/>
          <w:lang w:eastAsia="es-ES"/>
        </w:rPr>
        <w:t>L</w:t>
      </w:r>
      <w:r w:rsidRPr="007729F8">
        <w:rPr>
          <w:rFonts w:cs="Arial"/>
          <w:lang w:eastAsia="es-ES"/>
        </w:rPr>
        <w:t>a operación del Fideicomiso de Cobranza se ha comportado de la siguiente forma:</w:t>
      </w:r>
    </w:p>
    <w:p w:rsidR="00BA55A8" w:rsidRDefault="00BA55A8" w:rsidP="00BA55A8">
      <w:pPr>
        <w:spacing w:line="276" w:lineRule="auto"/>
        <w:ind w:right="-1"/>
        <w:jc w:val="center"/>
        <w:rPr>
          <w:rFonts w:cs="Arial"/>
          <w:lang w:eastAsia="es-ES"/>
        </w:rPr>
      </w:pPr>
      <w:r w:rsidRPr="009F116F">
        <w:rPr>
          <w:noProof/>
          <w:lang w:eastAsia="es-MX"/>
        </w:rPr>
        <w:drawing>
          <wp:inline distT="0" distB="0" distL="0" distR="0" wp14:anchorId="4A7112C5" wp14:editId="6EE9EEB9">
            <wp:extent cx="6389370" cy="200914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9370" cy="2009143"/>
                    </a:xfrm>
                    <a:prstGeom prst="rect">
                      <a:avLst/>
                    </a:prstGeom>
                    <a:noFill/>
                    <a:ln>
                      <a:noFill/>
                    </a:ln>
                  </pic:spPr>
                </pic:pic>
              </a:graphicData>
            </a:graphic>
          </wp:inline>
        </w:drawing>
      </w:r>
    </w:p>
    <w:p w:rsidR="00BA55A8" w:rsidRDefault="00BA55A8" w:rsidP="00BA55A8">
      <w:pPr>
        <w:spacing w:before="240" w:line="276" w:lineRule="auto"/>
        <w:ind w:right="-1"/>
        <w:jc w:val="both"/>
        <w:rPr>
          <w:rFonts w:cs="Arial"/>
        </w:rPr>
      </w:pPr>
      <w:r w:rsidRPr="00DA5FD6">
        <w:rPr>
          <w:rFonts w:cs="Arial"/>
        </w:rPr>
        <w:t xml:space="preserve">El saldo de la cuenta 2221 “Documentos Comerciales Por </w:t>
      </w:r>
      <w:r>
        <w:rPr>
          <w:rFonts w:cs="Arial"/>
        </w:rPr>
        <w:t xml:space="preserve">Pagar a Largo Plazo es de </w:t>
      </w:r>
      <w:r w:rsidRPr="001A45B7">
        <w:rPr>
          <w:rFonts w:cs="Arial"/>
        </w:rPr>
        <w:t>5,236,366,151.49</w:t>
      </w:r>
      <w:r>
        <w:rPr>
          <w:rFonts w:cs="Arial"/>
        </w:rPr>
        <w:t xml:space="preserve"> </w:t>
      </w:r>
      <w:r w:rsidRPr="00DA5FD6">
        <w:rPr>
          <w:rFonts w:cs="Arial"/>
        </w:rPr>
        <w:t>que se componen</w:t>
      </w:r>
      <w:r w:rsidR="003C6C0E">
        <w:rPr>
          <w:rFonts w:cs="Arial"/>
        </w:rPr>
        <w:t>:</w:t>
      </w:r>
      <w:r w:rsidRPr="00DA5FD6">
        <w:rPr>
          <w:rFonts w:cs="Arial"/>
        </w:rPr>
        <w:t xml:space="preserve"> </w:t>
      </w:r>
      <w:r w:rsidR="003C6C0E">
        <w:rPr>
          <w:rFonts w:cs="Arial"/>
        </w:rPr>
        <w:t>De</w:t>
      </w:r>
      <w:r w:rsidRPr="00DA5FD6">
        <w:rPr>
          <w:rFonts w:cs="Arial"/>
        </w:rPr>
        <w:t xml:space="preserve"> los CBFS de la Serie “</w:t>
      </w:r>
      <w:r w:rsidRPr="00DA5FD6">
        <w:rPr>
          <w:rFonts w:cs="Arial"/>
          <w:b/>
        </w:rPr>
        <w:t>A</w:t>
      </w:r>
      <w:r w:rsidRPr="00DA5FD6">
        <w:rPr>
          <w:rFonts w:cs="Arial"/>
        </w:rPr>
        <w:t xml:space="preserve">”, </w:t>
      </w:r>
      <w:r>
        <w:rPr>
          <w:rFonts w:cs="Arial"/>
        </w:rPr>
        <w:t>2, 093, 640, 635.80</w:t>
      </w:r>
      <w:r w:rsidRPr="00DA5FD6">
        <w:rPr>
          <w:rFonts w:cs="Arial"/>
        </w:rPr>
        <w:t>, para los CBFS de la Serie “</w:t>
      </w:r>
      <w:r w:rsidRPr="00DA5FD6">
        <w:rPr>
          <w:rFonts w:cs="Arial"/>
          <w:b/>
        </w:rPr>
        <w:t>B</w:t>
      </w:r>
      <w:r w:rsidRPr="00DA5FD6">
        <w:rPr>
          <w:rFonts w:cs="Arial"/>
        </w:rPr>
        <w:t xml:space="preserve">”, </w:t>
      </w:r>
      <w:r>
        <w:rPr>
          <w:rFonts w:cs="Arial"/>
        </w:rPr>
        <w:t>984, 351, 836.00</w:t>
      </w:r>
      <w:r w:rsidRPr="00DA5FD6">
        <w:rPr>
          <w:rFonts w:cs="Arial"/>
        </w:rPr>
        <w:t xml:space="preserve"> y para los CBFS Subordinados Serie “</w:t>
      </w:r>
      <w:r w:rsidRPr="00DA5FD6">
        <w:rPr>
          <w:rFonts w:cs="Arial"/>
          <w:b/>
        </w:rPr>
        <w:t>C</w:t>
      </w:r>
      <w:r w:rsidRPr="00DA5FD6">
        <w:rPr>
          <w:rFonts w:cs="Arial"/>
        </w:rPr>
        <w:t xml:space="preserve">”, </w:t>
      </w:r>
      <w:r w:rsidRPr="001A45B7">
        <w:rPr>
          <w:rFonts w:cs="Arial"/>
        </w:rPr>
        <w:t>2,158,373,679.69</w:t>
      </w:r>
      <w:r w:rsidR="003C6C0E">
        <w:rPr>
          <w:rFonts w:cs="Arial"/>
        </w:rPr>
        <w:t>,</w:t>
      </w:r>
      <w:r>
        <w:rPr>
          <w:rFonts w:cs="Arial"/>
        </w:rPr>
        <w:t xml:space="preserve"> c</w:t>
      </w:r>
      <w:r w:rsidRPr="00DA5FD6">
        <w:rPr>
          <w:rFonts w:cs="Arial"/>
        </w:rPr>
        <w:t xml:space="preserve">abe mencionar que la serie subordinada “C” se encuentra en UDIS, por lo tanto, el Saldo Capital es de </w:t>
      </w:r>
      <w:r>
        <w:rPr>
          <w:rFonts w:cs="Arial"/>
        </w:rPr>
        <w:t>502,467,301.85</w:t>
      </w:r>
      <w:r w:rsidRPr="00DA5FD6">
        <w:rPr>
          <w:rFonts w:cs="Arial"/>
        </w:rPr>
        <w:t xml:space="preserve">; y para la amortización de capital fue de </w:t>
      </w:r>
      <w:r>
        <w:rPr>
          <w:rFonts w:cs="Arial"/>
        </w:rPr>
        <w:t>12,830,760.83</w:t>
      </w:r>
      <w:r w:rsidRPr="00DA5FD6">
        <w:rPr>
          <w:rFonts w:cs="Arial"/>
        </w:rPr>
        <w:t xml:space="preserve"> y para los intereses pagados fue de </w:t>
      </w:r>
      <w:r>
        <w:rPr>
          <w:rFonts w:cs="Arial"/>
        </w:rPr>
        <w:t>15,894,368.75</w:t>
      </w:r>
      <w:r w:rsidRPr="00DA5FD6">
        <w:rPr>
          <w:rFonts w:cs="Arial"/>
        </w:rPr>
        <w:t xml:space="preserve"> UDIS.</w:t>
      </w:r>
    </w:p>
    <w:p w:rsidR="00BA55A8" w:rsidRDefault="00BA55A8" w:rsidP="00BA55A8">
      <w:pPr>
        <w:spacing w:before="240" w:line="276" w:lineRule="auto"/>
        <w:ind w:right="-1"/>
        <w:jc w:val="both"/>
        <w:rPr>
          <w:rFonts w:cs="Arial"/>
        </w:rPr>
      </w:pPr>
      <w:r w:rsidRPr="00DA5FD6">
        <w:rPr>
          <w:rFonts w:cs="Arial"/>
        </w:rPr>
        <w:t>Los intereses pagados más la amortización de capital por los cupones programados se observan en el siguiente cuadro:</w:t>
      </w:r>
    </w:p>
    <w:p w:rsidR="00BA55A8" w:rsidRDefault="00B73BEA" w:rsidP="00BA55A8">
      <w:pPr>
        <w:spacing w:line="276" w:lineRule="auto"/>
        <w:ind w:right="-1"/>
        <w:jc w:val="center"/>
        <w:rPr>
          <w:rFonts w:cs="Arial"/>
          <w:lang w:eastAsia="es-ES"/>
        </w:rPr>
      </w:pPr>
      <w:r w:rsidRPr="00B73BEA">
        <w:rPr>
          <w:noProof/>
          <w:lang w:eastAsia="es-MX"/>
        </w:rPr>
        <w:drawing>
          <wp:inline distT="0" distB="0" distL="0" distR="0">
            <wp:extent cx="6389370" cy="203993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9370" cy="2039936"/>
                    </a:xfrm>
                    <a:prstGeom prst="rect">
                      <a:avLst/>
                    </a:prstGeom>
                    <a:noFill/>
                    <a:ln>
                      <a:noFill/>
                    </a:ln>
                  </pic:spPr>
                </pic:pic>
              </a:graphicData>
            </a:graphic>
          </wp:inline>
        </w:drawing>
      </w:r>
    </w:p>
    <w:p w:rsidR="005742F2" w:rsidRDefault="005742F2">
      <w:pPr>
        <w:spacing w:line="259" w:lineRule="auto"/>
        <w:rPr>
          <w:rFonts w:cs="Arial"/>
        </w:rPr>
      </w:pPr>
      <w:r>
        <w:rPr>
          <w:rFonts w:cs="Arial"/>
        </w:rPr>
        <w:br w:type="page"/>
      </w:r>
    </w:p>
    <w:p w:rsidR="00BA55A8" w:rsidRPr="00DA5FD6" w:rsidRDefault="00BA55A8" w:rsidP="00BA55A8">
      <w:pPr>
        <w:spacing w:line="276" w:lineRule="auto"/>
        <w:ind w:right="-1"/>
        <w:jc w:val="both"/>
        <w:rPr>
          <w:rFonts w:cs="Arial"/>
        </w:rPr>
      </w:pPr>
      <w:r w:rsidRPr="00DA5FD6">
        <w:rPr>
          <w:rFonts w:cs="Arial"/>
        </w:rPr>
        <w:t>Las transferencias al Gobierno del Estado de México de los remanentes del Fideicomiso de Cobranza, más los intereses generados, se destinan a la inversión productiva de acuerdo a lo establecido en el contrato irrevocable No. 80615</w:t>
      </w:r>
      <w:r>
        <w:rPr>
          <w:rFonts w:cs="Arial"/>
        </w:rPr>
        <w:t xml:space="preserve"> y</w:t>
      </w:r>
      <w:r w:rsidRPr="00DA5FD6">
        <w:rPr>
          <w:rFonts w:cs="Arial"/>
        </w:rPr>
        <w:t xml:space="preserve"> se han llevado a cabo como sigue:</w:t>
      </w:r>
    </w:p>
    <w:p w:rsidR="00BA55A8" w:rsidRDefault="00BA55A8" w:rsidP="00BA55A8">
      <w:pPr>
        <w:spacing w:line="276" w:lineRule="auto"/>
        <w:ind w:right="-1"/>
        <w:jc w:val="center"/>
        <w:rPr>
          <w:rFonts w:cs="Arial"/>
        </w:rPr>
      </w:pPr>
      <w:r w:rsidRPr="00980A42">
        <w:rPr>
          <w:noProof/>
          <w:lang w:eastAsia="es-MX"/>
        </w:rPr>
        <w:drawing>
          <wp:inline distT="0" distB="0" distL="0" distR="0" wp14:anchorId="69FD28E5" wp14:editId="3016D9B2">
            <wp:extent cx="4504055" cy="3409696"/>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6913" cy="3419430"/>
                    </a:xfrm>
                    <a:prstGeom prst="rect">
                      <a:avLst/>
                    </a:prstGeom>
                    <a:noFill/>
                    <a:ln>
                      <a:noFill/>
                    </a:ln>
                  </pic:spPr>
                </pic:pic>
              </a:graphicData>
            </a:graphic>
          </wp:inline>
        </w:drawing>
      </w:r>
    </w:p>
    <w:p w:rsidR="00BA55A8" w:rsidRDefault="00BA55A8" w:rsidP="00BA55A8">
      <w:pPr>
        <w:numPr>
          <w:ilvl w:val="0"/>
          <w:numId w:val="12"/>
        </w:numPr>
        <w:spacing w:line="276" w:lineRule="auto"/>
        <w:ind w:left="567" w:right="-1" w:hanging="567"/>
        <w:contextualSpacing/>
        <w:jc w:val="both"/>
        <w:rPr>
          <w:rFonts w:eastAsia="Times New Roman" w:cs="Arial"/>
          <w:b/>
          <w:lang w:eastAsia="es-MX"/>
        </w:rPr>
      </w:pPr>
      <w:r w:rsidRPr="00B05C27">
        <w:rPr>
          <w:rFonts w:eastAsia="Times New Roman" w:cs="Arial"/>
          <w:b/>
          <w:lang w:eastAsia="es-MX"/>
        </w:rPr>
        <w:t>Calificaciones otorgadas:</w:t>
      </w:r>
    </w:p>
    <w:p w:rsidR="00BA55A8" w:rsidRDefault="00BA55A8" w:rsidP="00BA55A8">
      <w:pPr>
        <w:spacing w:line="276" w:lineRule="auto"/>
        <w:ind w:left="567" w:right="-1"/>
        <w:contextualSpacing/>
        <w:jc w:val="both"/>
        <w:rPr>
          <w:rFonts w:eastAsia="Times New Roman" w:cs="Arial"/>
          <w:b/>
          <w:lang w:eastAsia="es-MX"/>
        </w:rPr>
      </w:pPr>
    </w:p>
    <w:p w:rsidR="00BA55A8" w:rsidRPr="00FA5961" w:rsidRDefault="00BA55A8" w:rsidP="00BA55A8">
      <w:pPr>
        <w:numPr>
          <w:ilvl w:val="1"/>
          <w:numId w:val="1"/>
        </w:numPr>
        <w:spacing w:before="240" w:line="276" w:lineRule="auto"/>
        <w:ind w:right="-1"/>
        <w:contextualSpacing/>
        <w:jc w:val="both"/>
        <w:rPr>
          <w:rFonts w:eastAsia="Times New Roman" w:cs="Arial"/>
          <w:lang w:eastAsia="es-MX"/>
        </w:rPr>
      </w:pPr>
      <w:r>
        <w:rPr>
          <w:i/>
        </w:rPr>
        <w:t>“</w:t>
      </w:r>
      <w:proofErr w:type="spellStart"/>
      <w:r>
        <w:rPr>
          <w:i/>
        </w:rPr>
        <w:t>Fitch</w:t>
      </w:r>
      <w:proofErr w:type="spellEnd"/>
      <w:r>
        <w:rPr>
          <w:i/>
        </w:rPr>
        <w:t xml:space="preserve"> Ratifica en ‘AA</w:t>
      </w:r>
      <w:r w:rsidRPr="00980370">
        <w:rPr>
          <w:i/>
        </w:rPr>
        <w:t>(</w:t>
      </w:r>
      <w:proofErr w:type="spellStart"/>
      <w:r w:rsidRPr="00980370">
        <w:rPr>
          <w:i/>
        </w:rPr>
        <w:t>mex</w:t>
      </w:r>
      <w:proofErr w:type="spellEnd"/>
      <w:r w:rsidRPr="00980370">
        <w:rPr>
          <w:i/>
        </w:rPr>
        <w:t>)</w:t>
      </w:r>
      <w:proofErr w:type="spellStart"/>
      <w:r w:rsidRPr="00980370">
        <w:rPr>
          <w:i/>
        </w:rPr>
        <w:t>vra</w:t>
      </w:r>
      <w:proofErr w:type="spellEnd"/>
      <w:r w:rsidRPr="00980370">
        <w:rPr>
          <w:i/>
        </w:rPr>
        <w:t xml:space="preserve">’ la Calificación del Crédito </w:t>
      </w:r>
      <w:proofErr w:type="spellStart"/>
      <w:r w:rsidRPr="00980370">
        <w:rPr>
          <w:i/>
        </w:rPr>
        <w:t>Banobras</w:t>
      </w:r>
      <w:proofErr w:type="spellEnd"/>
      <w:r w:rsidRPr="00980370">
        <w:rPr>
          <w:i/>
        </w:rPr>
        <w:t xml:space="preserve"> 11 de IFREM, Tras Reestructura”. Diciembre</w:t>
      </w:r>
      <w:r w:rsidRPr="00980370">
        <w:rPr>
          <w:rFonts w:eastAsia="Times New Roman" w:cs="Arial"/>
          <w:i/>
          <w:lang w:eastAsia="es-MX"/>
        </w:rPr>
        <w:t xml:space="preserve"> </w:t>
      </w:r>
      <w:r>
        <w:rPr>
          <w:rFonts w:eastAsia="Times New Roman" w:cs="Arial"/>
          <w:i/>
          <w:lang w:eastAsia="es-MX"/>
        </w:rPr>
        <w:t>30</w:t>
      </w:r>
      <w:r w:rsidRPr="00980370">
        <w:rPr>
          <w:rFonts w:eastAsia="Times New Roman" w:cs="Arial"/>
          <w:i/>
          <w:lang w:eastAsia="es-MX"/>
        </w:rPr>
        <w:t>, 201</w:t>
      </w:r>
      <w:r>
        <w:rPr>
          <w:rFonts w:eastAsia="Times New Roman" w:cs="Arial"/>
          <w:i/>
          <w:lang w:eastAsia="es-MX"/>
        </w:rPr>
        <w:t>9</w:t>
      </w:r>
      <w:r w:rsidRPr="00DF4F5A">
        <w:rPr>
          <w:rFonts w:eastAsia="Times New Roman" w:cs="Arial"/>
          <w:i/>
          <w:lang w:eastAsia="es-MX"/>
        </w:rPr>
        <w:t>.</w:t>
      </w:r>
    </w:p>
    <w:p w:rsidR="00FA5961" w:rsidRDefault="00225B52" w:rsidP="00FA5961">
      <w:pPr>
        <w:spacing w:before="240" w:line="276" w:lineRule="auto"/>
        <w:ind w:left="720" w:right="-1"/>
        <w:contextualSpacing/>
        <w:jc w:val="both"/>
      </w:pPr>
      <w:hyperlink r:id="rId31" w:history="1">
        <w:r w:rsidR="00FA5961">
          <w:rPr>
            <w:rStyle w:val="Hipervnculo"/>
          </w:rPr>
          <w:t>https://www.fitchratings.com/site/pr/10106627</w:t>
        </w:r>
      </w:hyperlink>
      <w:r w:rsidR="00FA5961">
        <w:t>.</w:t>
      </w:r>
    </w:p>
    <w:p w:rsidR="0016041F" w:rsidRPr="0016041F" w:rsidRDefault="0016041F" w:rsidP="0016041F">
      <w:pPr>
        <w:spacing w:before="240" w:line="276" w:lineRule="auto"/>
        <w:ind w:left="720" w:right="-1"/>
        <w:contextualSpacing/>
        <w:jc w:val="both"/>
        <w:rPr>
          <w:rFonts w:ascii="Arial" w:hAnsi="Arial" w:cs="Arial"/>
          <w:b/>
          <w:bCs/>
          <w:color w:val="2E74B5" w:themeColor="accent1" w:themeShade="BF"/>
          <w:sz w:val="21"/>
          <w:szCs w:val="21"/>
          <w:shd w:val="clear" w:color="auto" w:fill="FFFFFF"/>
        </w:rPr>
      </w:pPr>
    </w:p>
    <w:p w:rsidR="00BA55A8" w:rsidRDefault="00BA55A8" w:rsidP="00BA55A8">
      <w:pPr>
        <w:spacing w:line="276" w:lineRule="auto"/>
        <w:ind w:right="-1"/>
        <w:jc w:val="both"/>
        <w:rPr>
          <w:i/>
        </w:rPr>
      </w:pPr>
      <w:r>
        <w:rPr>
          <w:i/>
        </w:rPr>
        <w:t>“</w:t>
      </w:r>
      <w:proofErr w:type="spellStart"/>
      <w:r w:rsidRPr="004254B4">
        <w:rPr>
          <w:i/>
        </w:rPr>
        <w:t>Fitch</w:t>
      </w:r>
      <w:proofErr w:type="spellEnd"/>
      <w:r w:rsidRPr="004254B4">
        <w:rPr>
          <w:i/>
        </w:rPr>
        <w:t xml:space="preserve"> Ratings-</w:t>
      </w:r>
      <w:proofErr w:type="spellStart"/>
      <w:r w:rsidRPr="004254B4">
        <w:rPr>
          <w:i/>
        </w:rPr>
        <w:t>Mexico</w:t>
      </w:r>
      <w:proofErr w:type="spellEnd"/>
      <w:r w:rsidRPr="004254B4">
        <w:rPr>
          <w:i/>
        </w:rPr>
        <w:t xml:space="preserve"> City-30 </w:t>
      </w:r>
      <w:proofErr w:type="spellStart"/>
      <w:r w:rsidRPr="004254B4">
        <w:rPr>
          <w:i/>
        </w:rPr>
        <w:t>December</w:t>
      </w:r>
      <w:proofErr w:type="spellEnd"/>
      <w:r w:rsidRPr="004254B4">
        <w:rPr>
          <w:i/>
        </w:rPr>
        <w:t xml:space="preserve"> 2019: </w:t>
      </w:r>
      <w:proofErr w:type="spellStart"/>
      <w:r w:rsidRPr="004254B4">
        <w:rPr>
          <w:i/>
        </w:rPr>
        <w:t>Fitch</w:t>
      </w:r>
      <w:proofErr w:type="spellEnd"/>
      <w:r w:rsidRPr="004254B4">
        <w:rPr>
          <w:i/>
        </w:rPr>
        <w:t xml:space="preserve"> Ratings subió a 'AA(</w:t>
      </w:r>
      <w:proofErr w:type="spellStart"/>
      <w:r w:rsidRPr="004254B4">
        <w:rPr>
          <w:i/>
        </w:rPr>
        <w:t>mex</w:t>
      </w:r>
      <w:proofErr w:type="spellEnd"/>
      <w:r w:rsidRPr="004254B4">
        <w:rPr>
          <w:i/>
        </w:rPr>
        <w:t>)' d</w:t>
      </w:r>
      <w:r>
        <w:rPr>
          <w:i/>
        </w:rPr>
        <w:t>esde 'AA-(</w:t>
      </w:r>
      <w:proofErr w:type="spellStart"/>
      <w:r>
        <w:rPr>
          <w:i/>
        </w:rPr>
        <w:t>mex</w:t>
      </w:r>
      <w:proofErr w:type="spellEnd"/>
      <w:r>
        <w:rPr>
          <w:i/>
        </w:rPr>
        <w:t xml:space="preserve">)' la calificación </w:t>
      </w:r>
      <w:r w:rsidRPr="004254B4">
        <w:rPr>
          <w:i/>
        </w:rPr>
        <w:t>a la calidad crediticia del Instituto de la Función Registral del Estado de Mé</w:t>
      </w:r>
      <w:r>
        <w:rPr>
          <w:i/>
        </w:rPr>
        <w:t xml:space="preserve">xico (IFREM). La Perspectiva es </w:t>
      </w:r>
      <w:r w:rsidRPr="004254B4">
        <w:rPr>
          <w:i/>
        </w:rPr>
        <w:t>Estable. El ajuste en la calificación del instituto se fundamenta en la acción s</w:t>
      </w:r>
      <w:r>
        <w:rPr>
          <w:i/>
        </w:rPr>
        <w:t xml:space="preserve">imilar para la calificación de </w:t>
      </w:r>
      <w:proofErr w:type="spellStart"/>
      <w:r>
        <w:rPr>
          <w:i/>
        </w:rPr>
        <w:t>l</w:t>
      </w:r>
      <w:r w:rsidRPr="004254B4">
        <w:rPr>
          <w:i/>
        </w:rPr>
        <w:t>Estado</w:t>
      </w:r>
      <w:proofErr w:type="spellEnd"/>
      <w:r w:rsidRPr="004254B4">
        <w:rPr>
          <w:i/>
        </w:rPr>
        <w:t xml:space="preserve"> de México a 'AA(</w:t>
      </w:r>
      <w:proofErr w:type="spellStart"/>
      <w:r w:rsidRPr="004254B4">
        <w:rPr>
          <w:i/>
        </w:rPr>
        <w:t>mex</w:t>
      </w:r>
      <w:proofErr w:type="spellEnd"/>
      <w:r w:rsidRPr="004254B4">
        <w:rPr>
          <w:i/>
        </w:rPr>
        <w:t>)' desde</w:t>
      </w:r>
      <w:r>
        <w:rPr>
          <w:i/>
        </w:rPr>
        <w:t xml:space="preserve"> 'AA-(</w:t>
      </w:r>
      <w:proofErr w:type="spellStart"/>
      <w:r>
        <w:rPr>
          <w:i/>
        </w:rPr>
        <w:t>mex</w:t>
      </w:r>
      <w:proofErr w:type="spellEnd"/>
      <w:r>
        <w:rPr>
          <w:i/>
        </w:rPr>
        <w:t xml:space="preserve">)'. </w:t>
      </w:r>
    </w:p>
    <w:p w:rsidR="00BA55A8" w:rsidRPr="004254B4" w:rsidRDefault="00BA55A8" w:rsidP="00BA55A8">
      <w:pPr>
        <w:spacing w:line="276" w:lineRule="auto"/>
        <w:ind w:right="-1"/>
        <w:jc w:val="both"/>
        <w:rPr>
          <w:i/>
        </w:rPr>
      </w:pPr>
      <w:proofErr w:type="spellStart"/>
      <w:r w:rsidRPr="004254B4">
        <w:rPr>
          <w:i/>
        </w:rPr>
        <w:t>Fitch</w:t>
      </w:r>
      <w:proofErr w:type="spellEnd"/>
      <w:r w:rsidRPr="004254B4">
        <w:rPr>
          <w:i/>
        </w:rPr>
        <w:t xml:space="preserve"> determinó una asignación de 'muy fuerte' en los factores de estatus, prop</w:t>
      </w:r>
      <w:r>
        <w:rPr>
          <w:i/>
        </w:rPr>
        <w:t xml:space="preserve">iedad y control e implicaciones </w:t>
      </w:r>
      <w:r w:rsidRPr="004254B4">
        <w:rPr>
          <w:i/>
        </w:rPr>
        <w:t>financieras de un incumplimiento. Mientras que los factores de histor</w:t>
      </w:r>
      <w:r>
        <w:rPr>
          <w:i/>
        </w:rPr>
        <w:t xml:space="preserve">ial y expectativa de soporte, e </w:t>
      </w:r>
      <w:r w:rsidRPr="004254B4">
        <w:rPr>
          <w:i/>
        </w:rPr>
        <w:t>implicaciones sociopolíticas de un incumplimiento se consideraron como 'fue</w:t>
      </w:r>
      <w:r>
        <w:rPr>
          <w:i/>
        </w:rPr>
        <w:t xml:space="preserve">rte'. La mezcla de atributos da </w:t>
      </w:r>
      <w:r w:rsidRPr="004254B4">
        <w:rPr>
          <w:i/>
        </w:rPr>
        <w:t>como resultado un puntaje general de soporte de 45, que lleva a una igualaci</w:t>
      </w:r>
      <w:r>
        <w:rPr>
          <w:i/>
        </w:rPr>
        <w:t xml:space="preserve">ón de la calificación del IFREM </w:t>
      </w:r>
      <w:r w:rsidRPr="004254B4">
        <w:rPr>
          <w:i/>
        </w:rPr>
        <w:t>respecto a la del Estado de México. El perfil crediticio individual (PCI) del IFREM no se puede determinar</w:t>
      </w:r>
      <w:r>
        <w:rPr>
          <w:i/>
        </w:rPr>
        <w:t xml:space="preserve"> </w:t>
      </w:r>
      <w:r w:rsidRPr="004254B4">
        <w:rPr>
          <w:i/>
        </w:rPr>
        <w:t>debido al nivel amplio de influencia o soporte del Estado, lo que dificulta la desvinculación entre ambas</w:t>
      </w:r>
      <w:r>
        <w:rPr>
          <w:i/>
        </w:rPr>
        <w:t xml:space="preserve"> </w:t>
      </w:r>
      <w:r w:rsidRPr="004254B4">
        <w:rPr>
          <w:i/>
        </w:rPr>
        <w:t>entidades</w:t>
      </w:r>
      <w:r>
        <w:rPr>
          <w:i/>
        </w:rPr>
        <w:t>”</w:t>
      </w:r>
      <w:r w:rsidRPr="004254B4">
        <w:rPr>
          <w:i/>
        </w:rPr>
        <w:t>.</w:t>
      </w:r>
    </w:p>
    <w:p w:rsidR="00BA55A8" w:rsidRDefault="00BA55A8" w:rsidP="00BA55A8">
      <w:pPr>
        <w:numPr>
          <w:ilvl w:val="1"/>
          <w:numId w:val="1"/>
        </w:numPr>
        <w:spacing w:before="240" w:line="276" w:lineRule="auto"/>
        <w:ind w:right="-1"/>
        <w:contextualSpacing/>
        <w:jc w:val="both"/>
        <w:rPr>
          <w:rFonts w:eastAsia="Times New Roman" w:cs="Arial"/>
          <w:lang w:eastAsia="es-MX"/>
        </w:rPr>
      </w:pPr>
      <w:r>
        <w:rPr>
          <w:i/>
        </w:rPr>
        <w:t>“</w:t>
      </w:r>
      <w:r>
        <w:t>S&amp;P Global Ratings confirma calificaciones de '</w:t>
      </w:r>
      <w:proofErr w:type="spellStart"/>
      <w:r>
        <w:t>mxAAA</w:t>
      </w:r>
      <w:proofErr w:type="spellEnd"/>
      <w:r>
        <w:t>' de los certificados PROIN 10 y PROIN 10-2; baja calificación a '</w:t>
      </w:r>
      <w:proofErr w:type="spellStart"/>
      <w:r>
        <w:t>mxAA</w:t>
      </w:r>
      <w:proofErr w:type="spellEnd"/>
      <w:r>
        <w:t xml:space="preserve">+' del crédito del IFREM con </w:t>
      </w:r>
      <w:proofErr w:type="spellStart"/>
      <w:r>
        <w:t>Banobras</w:t>
      </w:r>
      <w:proofErr w:type="spellEnd"/>
      <w:r>
        <w:rPr>
          <w:i/>
        </w:rPr>
        <w:t>”</w:t>
      </w:r>
      <w:r w:rsidRPr="00B05C27">
        <w:rPr>
          <w:i/>
        </w:rPr>
        <w:t>.</w:t>
      </w:r>
      <w:r w:rsidRPr="00B05C27">
        <w:rPr>
          <w:rFonts w:eastAsia="Times New Roman" w:cs="Arial"/>
          <w:lang w:eastAsia="es-MX"/>
        </w:rPr>
        <w:t xml:space="preserve"> </w:t>
      </w:r>
      <w:r>
        <w:rPr>
          <w:rFonts w:eastAsia="Times New Roman" w:cs="Arial"/>
          <w:lang w:eastAsia="es-MX"/>
        </w:rPr>
        <w:t>24</w:t>
      </w:r>
      <w:r w:rsidRPr="00B05C27">
        <w:rPr>
          <w:rFonts w:eastAsia="Times New Roman" w:cs="Arial"/>
          <w:lang w:eastAsia="es-MX"/>
        </w:rPr>
        <w:t xml:space="preserve"> de julio 201</w:t>
      </w:r>
      <w:r>
        <w:rPr>
          <w:rFonts w:eastAsia="Times New Roman" w:cs="Arial"/>
          <w:lang w:eastAsia="es-MX"/>
        </w:rPr>
        <w:t>9</w:t>
      </w:r>
      <w:r w:rsidRPr="00133B4E">
        <w:rPr>
          <w:rFonts w:eastAsia="Times New Roman" w:cs="Arial"/>
          <w:lang w:eastAsia="es-MX"/>
        </w:rPr>
        <w:t>.</w:t>
      </w:r>
    </w:p>
    <w:p w:rsidR="00FA5961" w:rsidRDefault="00225B52" w:rsidP="00FA5961">
      <w:pPr>
        <w:spacing w:before="240" w:line="276" w:lineRule="auto"/>
        <w:ind w:right="-1"/>
        <w:contextualSpacing/>
        <w:jc w:val="both"/>
      </w:pPr>
      <w:hyperlink r:id="rId32" w:history="1">
        <w:r w:rsidR="00FA5961">
          <w:rPr>
            <w:rStyle w:val="Hipervnculo"/>
          </w:rPr>
          <w:t>https://www.bmv.com.mx/docs-pub/eventoca/eventoca_940592_2.pdf</w:t>
        </w:r>
      </w:hyperlink>
      <w:r w:rsidR="00FA5961">
        <w:t>.</w:t>
      </w:r>
    </w:p>
    <w:p w:rsidR="00FA5961" w:rsidRDefault="00FA5961" w:rsidP="00FA5961">
      <w:pPr>
        <w:spacing w:before="240" w:line="276" w:lineRule="auto"/>
        <w:ind w:right="-1"/>
        <w:contextualSpacing/>
        <w:jc w:val="both"/>
      </w:pPr>
    </w:p>
    <w:p w:rsidR="00BA55A8" w:rsidRDefault="00FA5961" w:rsidP="00BA55A8">
      <w:pPr>
        <w:spacing w:line="276" w:lineRule="auto"/>
        <w:ind w:right="-1"/>
        <w:jc w:val="both"/>
        <w:rPr>
          <w:i/>
        </w:rPr>
      </w:pPr>
      <w:r w:rsidRPr="00B05C27">
        <w:rPr>
          <w:rFonts w:cs="Arial"/>
          <w:i/>
        </w:rPr>
        <w:t xml:space="preserve"> </w:t>
      </w:r>
      <w:r w:rsidR="00BA55A8" w:rsidRPr="00B05C27">
        <w:rPr>
          <w:rFonts w:cs="Arial"/>
          <w:i/>
        </w:rPr>
        <w:t>“</w:t>
      </w:r>
      <w:r w:rsidR="00BA55A8" w:rsidRPr="00997782">
        <w:rPr>
          <w:i/>
        </w:rPr>
        <w:t>*</w:t>
      </w:r>
      <w:r w:rsidR="00BA55A8" w:rsidRPr="004F14B2">
        <w:rPr>
          <w:i/>
        </w:rPr>
        <w:sym w:font="Symbol" w:char="F02D"/>
      </w:r>
      <w:r w:rsidR="00BA55A8" w:rsidRPr="004F14B2">
        <w:rPr>
          <w:i/>
        </w:rPr>
        <w:t xml:space="preserve"> Confirmamos nuestras calificaciones de deuda de ‘</w:t>
      </w:r>
      <w:proofErr w:type="spellStart"/>
      <w:r w:rsidR="00BA55A8" w:rsidRPr="004F14B2">
        <w:rPr>
          <w:i/>
        </w:rPr>
        <w:t>mxAAA</w:t>
      </w:r>
      <w:proofErr w:type="spellEnd"/>
      <w:r w:rsidR="00BA55A8" w:rsidRPr="004F14B2">
        <w:rPr>
          <w:i/>
        </w:rPr>
        <w:t xml:space="preserve">’ de los certificados bursátiles Serie A (con clave de pizarra PROIN 10) y Serie B (con clave de pizarra PROIN 10-2) como resultado de la fortaleza de los flujos disponibles para el Fideicomiso No. 80615 (inscrito en Nacional Financiera). </w:t>
      </w:r>
      <w:r w:rsidR="00BA55A8" w:rsidRPr="004F14B2">
        <w:rPr>
          <w:i/>
        </w:rPr>
        <w:sym w:font="Symbol" w:char="F02D"/>
      </w:r>
      <w:r w:rsidR="00BA55A8" w:rsidRPr="004F14B2">
        <w:rPr>
          <w:i/>
        </w:rPr>
        <w:t xml:space="preserve"> Bajamos la calificación de deuda del crédito IFREM-</w:t>
      </w:r>
      <w:proofErr w:type="spellStart"/>
      <w:r w:rsidR="00BA55A8" w:rsidRPr="004F14B2">
        <w:rPr>
          <w:i/>
        </w:rPr>
        <w:t>Banobras</w:t>
      </w:r>
      <w:proofErr w:type="spellEnd"/>
      <w:r w:rsidR="00BA55A8" w:rsidRPr="004F14B2">
        <w:rPr>
          <w:i/>
        </w:rPr>
        <w:t xml:space="preserve"> debido a los cambios en la distribución del ingreso que respalda la línea de crédito contingente emitida por el Estado de México. </w:t>
      </w:r>
      <w:r w:rsidR="00BA55A8" w:rsidRPr="004F14B2">
        <w:rPr>
          <w:i/>
        </w:rPr>
        <w:sym w:font="Symbol" w:char="F02D"/>
      </w:r>
      <w:r w:rsidR="00BA55A8" w:rsidRPr="004F14B2">
        <w:rPr>
          <w:i/>
        </w:rPr>
        <w:t xml:space="preserve"> Las calificaciones toman como punto de partida la calificación crediticia de emisor del IFREM y del Estado de México, ambos con calificación crediticia de emisor de ‘</w:t>
      </w:r>
      <w:proofErr w:type="spellStart"/>
      <w:r w:rsidR="00BA55A8" w:rsidRPr="004F14B2">
        <w:rPr>
          <w:i/>
        </w:rPr>
        <w:t>mxA</w:t>
      </w:r>
      <w:proofErr w:type="spellEnd"/>
      <w:r w:rsidR="00BA55A8" w:rsidRPr="004F14B2">
        <w:rPr>
          <w:i/>
        </w:rPr>
        <w:t xml:space="preserve">+’. </w:t>
      </w:r>
      <w:r w:rsidR="00BA55A8" w:rsidRPr="004F14B2">
        <w:rPr>
          <w:i/>
        </w:rPr>
        <w:sym w:font="Symbol" w:char="F02D"/>
      </w:r>
      <w:r w:rsidR="00BA55A8" w:rsidRPr="004F14B2">
        <w:rPr>
          <w:i/>
        </w:rPr>
        <w:t xml:space="preserve"> Las calificaciones reflejan el análisis de los flujos disponibles en los fideicomisos e incorporan los mecanismos de respaldo crediticio adicional que son suficientes para alcanzar las calificaciones de ‘</w:t>
      </w:r>
      <w:proofErr w:type="spellStart"/>
      <w:r w:rsidR="00BA55A8" w:rsidRPr="004F14B2">
        <w:rPr>
          <w:i/>
        </w:rPr>
        <w:t>mxAAA</w:t>
      </w:r>
      <w:proofErr w:type="spellEnd"/>
      <w:r w:rsidR="00BA55A8" w:rsidRPr="004F14B2">
        <w:rPr>
          <w:i/>
        </w:rPr>
        <w:t>’ para los certificados y de ‘</w:t>
      </w:r>
      <w:proofErr w:type="spellStart"/>
      <w:r w:rsidR="00BA55A8" w:rsidRPr="004F14B2">
        <w:rPr>
          <w:i/>
        </w:rPr>
        <w:t>mxAA</w:t>
      </w:r>
      <w:proofErr w:type="spellEnd"/>
      <w:r w:rsidR="00BA55A8" w:rsidRPr="004F14B2">
        <w:rPr>
          <w:i/>
        </w:rPr>
        <w:t xml:space="preserve">+’ para el crédito </w:t>
      </w:r>
      <w:proofErr w:type="gramStart"/>
      <w:r w:rsidR="00BA55A8" w:rsidRPr="004F14B2">
        <w:rPr>
          <w:i/>
        </w:rPr>
        <w:t>bancario.</w:t>
      </w:r>
      <w:r w:rsidR="00BA55A8">
        <w:rPr>
          <w:i/>
        </w:rPr>
        <w:t>.</w:t>
      </w:r>
      <w:proofErr w:type="gramEnd"/>
    </w:p>
    <w:p w:rsidR="00BA55A8" w:rsidRDefault="00BA55A8" w:rsidP="00BA55A8">
      <w:pPr>
        <w:spacing w:line="276" w:lineRule="auto"/>
        <w:ind w:right="-1"/>
        <w:jc w:val="both"/>
        <w:rPr>
          <w:i/>
        </w:rPr>
      </w:pPr>
    </w:p>
    <w:p w:rsidR="00BA55A8" w:rsidRDefault="00BA55A8" w:rsidP="00BA55A8">
      <w:pPr>
        <w:spacing w:line="276" w:lineRule="auto"/>
        <w:ind w:right="-1"/>
        <w:jc w:val="both"/>
        <w:rPr>
          <w:i/>
        </w:rPr>
      </w:pPr>
      <w:r w:rsidRPr="00997782">
        <w:rPr>
          <w:i/>
        </w:rPr>
        <w:t>Acción de Calificación</w:t>
      </w:r>
    </w:p>
    <w:p w:rsidR="00BA55A8" w:rsidRDefault="00BA55A8" w:rsidP="00BA55A8">
      <w:pPr>
        <w:spacing w:line="276" w:lineRule="auto"/>
        <w:ind w:right="-1"/>
        <w:jc w:val="both"/>
        <w:rPr>
          <w:rFonts w:cs="Arial"/>
          <w:i/>
        </w:rPr>
      </w:pPr>
      <w:r w:rsidRPr="004F14B2">
        <w:rPr>
          <w:i/>
        </w:rPr>
        <w:t>Ciudad de México, 24 de julio de 2019 – S&amp;P Global Ratings confirmó hoy sus calificaciones de deuda de largo plazo en escala nacional –</w:t>
      </w:r>
      <w:proofErr w:type="spellStart"/>
      <w:r w:rsidRPr="004F14B2">
        <w:rPr>
          <w:i/>
        </w:rPr>
        <w:t>CaVal</w:t>
      </w:r>
      <w:proofErr w:type="spellEnd"/>
      <w:r w:rsidRPr="004F14B2">
        <w:rPr>
          <w:i/>
        </w:rPr>
        <w:t>– de ‘</w:t>
      </w:r>
      <w:proofErr w:type="spellStart"/>
      <w:r w:rsidRPr="004F14B2">
        <w:rPr>
          <w:i/>
        </w:rPr>
        <w:t>mxAAA</w:t>
      </w:r>
      <w:proofErr w:type="spellEnd"/>
      <w:r w:rsidRPr="004F14B2">
        <w:rPr>
          <w:i/>
        </w:rPr>
        <w:t xml:space="preserve">’ de los certificados bursátiles Serie A, con clave de pizarra PROIN 10, y Serie B, con clave de pizarra PROIN 10-2, del Instituto de la Función Registral del Estado de México (IFREM; </w:t>
      </w:r>
      <w:proofErr w:type="spellStart"/>
      <w:r w:rsidRPr="004F14B2">
        <w:rPr>
          <w:i/>
        </w:rPr>
        <w:t>mxA</w:t>
      </w:r>
      <w:proofErr w:type="spellEnd"/>
      <w:r w:rsidRPr="004F14B2">
        <w:rPr>
          <w:i/>
        </w:rPr>
        <w:t>+/Estable/--). Al mismo tiempo, bajamos la calificación de deuda del crédito bancario que contrató el IFREM con el Banco Nacional de Obras y Servicios Públicos, S.N.C. (</w:t>
      </w:r>
      <w:proofErr w:type="spellStart"/>
      <w:r w:rsidRPr="004F14B2">
        <w:rPr>
          <w:i/>
        </w:rPr>
        <w:t>Banobras</w:t>
      </w:r>
      <w:proofErr w:type="spellEnd"/>
      <w:r w:rsidRPr="004F14B2">
        <w:rPr>
          <w:i/>
        </w:rPr>
        <w:t>) a ‘</w:t>
      </w:r>
      <w:proofErr w:type="spellStart"/>
      <w:r w:rsidRPr="004F14B2">
        <w:rPr>
          <w:i/>
        </w:rPr>
        <w:t>mxAA</w:t>
      </w:r>
      <w:proofErr w:type="spellEnd"/>
      <w:r w:rsidRPr="004F14B2">
        <w:rPr>
          <w:i/>
        </w:rPr>
        <w:t>+’ de ‘</w:t>
      </w:r>
      <w:proofErr w:type="spellStart"/>
      <w:r w:rsidRPr="004F14B2">
        <w:rPr>
          <w:i/>
        </w:rPr>
        <w:t>mxAAA</w:t>
      </w:r>
      <w:proofErr w:type="spellEnd"/>
      <w:r w:rsidRPr="004F14B2">
        <w:rPr>
          <w:i/>
        </w:rPr>
        <w:t>’.</w:t>
      </w:r>
      <w:r w:rsidRPr="00B05C27">
        <w:rPr>
          <w:rFonts w:cs="Arial"/>
          <w:i/>
        </w:rPr>
        <w:t>”</w:t>
      </w:r>
    </w:p>
    <w:p w:rsidR="00BA55A8" w:rsidRDefault="00BA55A8" w:rsidP="00BA55A8">
      <w:pPr>
        <w:spacing w:line="276" w:lineRule="auto"/>
        <w:ind w:right="-1"/>
        <w:jc w:val="both"/>
        <w:rPr>
          <w:rFonts w:cs="Arial"/>
          <w:i/>
        </w:rPr>
      </w:pPr>
    </w:p>
    <w:p w:rsidR="00BA55A8" w:rsidRPr="00B05C27" w:rsidRDefault="00BA55A8" w:rsidP="00BA55A8">
      <w:pPr>
        <w:numPr>
          <w:ilvl w:val="0"/>
          <w:numId w:val="12"/>
        </w:numPr>
        <w:spacing w:line="276" w:lineRule="auto"/>
        <w:ind w:left="567" w:right="-1" w:hanging="567"/>
        <w:contextualSpacing/>
        <w:jc w:val="both"/>
        <w:rPr>
          <w:rFonts w:eastAsia="Times New Roman"/>
          <w:b/>
          <w:lang w:eastAsia="es-MX"/>
        </w:rPr>
      </w:pPr>
      <w:r w:rsidRPr="00B05C27">
        <w:rPr>
          <w:rFonts w:eastAsia="Times New Roman"/>
          <w:b/>
          <w:lang w:eastAsia="es-MX"/>
        </w:rPr>
        <w:t>Proceso de Mejora:</w:t>
      </w:r>
    </w:p>
    <w:p w:rsidR="00BA55A8" w:rsidRPr="00B05C27" w:rsidRDefault="00BA55A8" w:rsidP="00BA55A8">
      <w:pPr>
        <w:spacing w:before="240" w:line="276" w:lineRule="auto"/>
        <w:ind w:right="-1"/>
        <w:jc w:val="both"/>
      </w:pPr>
      <w:r w:rsidRPr="00B05C27">
        <w:t xml:space="preserve">El Instituto se certificó bajo la norma </w:t>
      </w:r>
      <w:r w:rsidRPr="00B05C27">
        <w:rPr>
          <w:b/>
        </w:rPr>
        <w:t>ISO 9001:2015</w:t>
      </w:r>
      <w:r w:rsidRPr="00B05C27">
        <w:t xml:space="preserve">, en el mes de noviembre </w:t>
      </w:r>
      <w:r w:rsidRPr="0094283C">
        <w:t>de 2017,</w:t>
      </w:r>
      <w:r w:rsidRPr="00B05C27">
        <w:t xml:space="preserve"> se encuentra inmerso en el proceso de mejora continua y sigue modernizando sus procesos.</w:t>
      </w:r>
    </w:p>
    <w:p w:rsidR="00BA55A8" w:rsidRDefault="00BA55A8" w:rsidP="00BA55A8">
      <w:pPr>
        <w:spacing w:line="276" w:lineRule="auto"/>
        <w:ind w:right="-1"/>
        <w:jc w:val="both"/>
      </w:pPr>
      <w:r w:rsidRPr="00B05C27">
        <w:t xml:space="preserve">El Estado de México ha pasado a mostrar un avance sobresaliente en la clasificación </w:t>
      </w:r>
      <w:proofErr w:type="spellStart"/>
      <w:r w:rsidRPr="00B05C27">
        <w:rPr>
          <w:b/>
        </w:rPr>
        <w:t>Doing</w:t>
      </w:r>
      <w:proofErr w:type="spellEnd"/>
      <w:r w:rsidRPr="00B05C27">
        <w:rPr>
          <w:b/>
        </w:rPr>
        <w:t xml:space="preserve"> Business en México</w:t>
      </w:r>
      <w:r w:rsidRPr="00B05C27">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BA55A8" w:rsidRDefault="00BA55A8" w:rsidP="00BA55A8">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Información por Segmentos</w:t>
      </w:r>
    </w:p>
    <w:p w:rsidR="00BA55A8" w:rsidRPr="008E7569" w:rsidRDefault="00BA55A8" w:rsidP="00BA55A8">
      <w:pPr>
        <w:spacing w:after="0" w:line="276" w:lineRule="auto"/>
        <w:ind w:left="567" w:right="-1"/>
        <w:contextualSpacing/>
        <w:jc w:val="both"/>
        <w:rPr>
          <w:rFonts w:eastAsia="Times New Roman"/>
          <w:b/>
          <w:sz w:val="10"/>
          <w:lang w:eastAsia="es-MX"/>
        </w:rPr>
      </w:pPr>
    </w:p>
    <w:p w:rsidR="004C2985" w:rsidRDefault="00BA55A8" w:rsidP="00BA55A8">
      <w:pPr>
        <w:spacing w:line="276" w:lineRule="auto"/>
        <w:ind w:right="-1"/>
        <w:jc w:val="both"/>
        <w:rPr>
          <w:bCs/>
        </w:rPr>
      </w:pPr>
      <w:r w:rsidRPr="00B05C27">
        <w:rPr>
          <w:bCs/>
        </w:rPr>
        <w:t>El Instituto no cuenta con información por segmentos.</w:t>
      </w:r>
    </w:p>
    <w:p w:rsidR="004C2985" w:rsidRDefault="004C2985">
      <w:pPr>
        <w:spacing w:line="259" w:lineRule="auto"/>
        <w:rPr>
          <w:bCs/>
        </w:rPr>
      </w:pPr>
      <w:r>
        <w:rPr>
          <w:bCs/>
        </w:rPr>
        <w:br w:type="page"/>
      </w:r>
    </w:p>
    <w:p w:rsidR="00BA55A8" w:rsidRPr="00B05C27" w:rsidRDefault="00BA55A8" w:rsidP="00BA55A8">
      <w:pPr>
        <w:spacing w:line="276" w:lineRule="auto"/>
        <w:ind w:right="-1"/>
        <w:jc w:val="both"/>
        <w:rPr>
          <w:bCs/>
        </w:rPr>
      </w:pPr>
    </w:p>
    <w:p w:rsidR="00BA55A8" w:rsidRDefault="00BA55A8" w:rsidP="00BA55A8">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Eventos Posteriores al Cierre</w:t>
      </w:r>
    </w:p>
    <w:p w:rsidR="00BA55A8" w:rsidRPr="008E7569" w:rsidRDefault="00BA55A8" w:rsidP="00BA55A8">
      <w:pPr>
        <w:spacing w:after="0" w:line="276" w:lineRule="auto"/>
        <w:ind w:right="-1"/>
        <w:jc w:val="both"/>
        <w:rPr>
          <w:bCs/>
          <w:sz w:val="14"/>
        </w:rPr>
      </w:pPr>
    </w:p>
    <w:p w:rsidR="00BA55A8" w:rsidRPr="00151600" w:rsidRDefault="00BA55A8" w:rsidP="00BA55A8">
      <w:pPr>
        <w:spacing w:line="276" w:lineRule="auto"/>
        <w:ind w:right="-1"/>
        <w:jc w:val="both"/>
      </w:pPr>
      <w:r w:rsidRPr="00B05C27">
        <w:t>El Instituto no presenta eventos posteriores al cierre que pudieran tener un efecto importante en su situación financiera y resultados de operación futuros.</w:t>
      </w:r>
    </w:p>
    <w:p w:rsidR="00BA55A8" w:rsidRPr="006351E0" w:rsidRDefault="00BA55A8" w:rsidP="00BA55A8">
      <w:pPr>
        <w:spacing w:line="276" w:lineRule="auto"/>
        <w:ind w:right="-1"/>
        <w:jc w:val="both"/>
        <w:rPr>
          <w:sz w:val="6"/>
        </w:rPr>
      </w:pPr>
    </w:p>
    <w:p w:rsidR="00BA55A8" w:rsidRPr="00B05C27" w:rsidRDefault="00BA55A8" w:rsidP="00BA55A8">
      <w:pPr>
        <w:numPr>
          <w:ilvl w:val="0"/>
          <w:numId w:val="12"/>
        </w:numPr>
        <w:spacing w:after="0" w:line="276" w:lineRule="auto"/>
        <w:ind w:left="567" w:right="-1" w:hanging="567"/>
        <w:contextualSpacing/>
        <w:jc w:val="both"/>
        <w:rPr>
          <w:rFonts w:eastAsia="Times New Roman" w:cs="Arial"/>
          <w:lang w:eastAsia="es-MX"/>
        </w:rPr>
      </w:pPr>
      <w:r w:rsidRPr="00B05C27">
        <w:rPr>
          <w:rFonts w:eastAsia="Times New Roman" w:cs="Arial"/>
          <w:b/>
          <w:lang w:eastAsia="es-MX"/>
        </w:rPr>
        <w:t>Partes Relacionadas</w:t>
      </w:r>
    </w:p>
    <w:p w:rsidR="00BA55A8" w:rsidRPr="008E7569" w:rsidRDefault="00BA55A8" w:rsidP="00BA55A8">
      <w:pPr>
        <w:spacing w:after="0" w:line="276" w:lineRule="auto"/>
        <w:ind w:right="-1"/>
        <w:jc w:val="both"/>
        <w:rPr>
          <w:bCs/>
          <w:sz w:val="16"/>
        </w:rPr>
      </w:pPr>
    </w:p>
    <w:p w:rsidR="00BA55A8" w:rsidRPr="00B05C27" w:rsidRDefault="00BA55A8" w:rsidP="00BA55A8">
      <w:pPr>
        <w:spacing w:line="276" w:lineRule="auto"/>
        <w:ind w:right="-1"/>
        <w:jc w:val="both"/>
        <w:rPr>
          <w:rFonts w:cs="Arial"/>
        </w:rPr>
      </w:pPr>
      <w:r w:rsidRPr="00B05C27">
        <w:rPr>
          <w:rFonts w:cs="Arial"/>
        </w:rPr>
        <w:t>No existen partes relacionadas que pudieran ejercer influencia significativa sobre la toma de decisiones financieras y operativas en este Instituto.</w:t>
      </w:r>
    </w:p>
    <w:p w:rsidR="00BA55A8" w:rsidRPr="00B05C27" w:rsidRDefault="00BA55A8" w:rsidP="00BA55A8">
      <w:pPr>
        <w:numPr>
          <w:ilvl w:val="0"/>
          <w:numId w:val="12"/>
        </w:numPr>
        <w:spacing w:after="0" w:line="276" w:lineRule="auto"/>
        <w:ind w:left="567" w:right="-1" w:hanging="567"/>
        <w:contextualSpacing/>
        <w:jc w:val="both"/>
        <w:rPr>
          <w:bCs/>
        </w:rPr>
      </w:pPr>
      <w:r w:rsidRPr="00B05C27">
        <w:rPr>
          <w:rFonts w:eastAsia="Times New Roman" w:cs="Arial"/>
          <w:b/>
          <w:lang w:eastAsia="es-MX"/>
        </w:rPr>
        <w:t>Responsabilidad Sobre la Presentación Razonable de los Estados Financieros</w:t>
      </w:r>
    </w:p>
    <w:p w:rsidR="00BA55A8" w:rsidRDefault="00BA55A8" w:rsidP="00BA55A8">
      <w:pPr>
        <w:spacing w:line="276" w:lineRule="auto"/>
        <w:ind w:right="-1"/>
        <w:jc w:val="both"/>
        <w:rPr>
          <w:rFonts w:cs="Arial"/>
        </w:rPr>
      </w:pPr>
      <w:r w:rsidRPr="00B05C27">
        <w:rPr>
          <w:rFonts w:cs="Arial"/>
        </w:rPr>
        <w:t>“Bajo protesta de decir verdad declaramos que los Estados Financieros y sus Notas, son razonablemente correctos y son responsabilidad del emisor”.</w:t>
      </w:r>
    </w:p>
    <w:p w:rsidR="00BA55A8" w:rsidRDefault="00BA55A8" w:rsidP="00BA55A8">
      <w:pPr>
        <w:spacing w:line="276" w:lineRule="auto"/>
        <w:ind w:right="-1"/>
        <w:jc w:val="both"/>
        <w:rPr>
          <w:rFonts w:cs="Arial"/>
        </w:rPr>
      </w:pPr>
    </w:p>
    <w:p w:rsidR="00BA55A8" w:rsidRPr="008E7569" w:rsidRDefault="00BA55A8" w:rsidP="00BA55A8">
      <w:pPr>
        <w:spacing w:line="276" w:lineRule="auto"/>
        <w:ind w:right="-1"/>
        <w:jc w:val="both"/>
        <w:rPr>
          <w:rFonts w:cs="Arial"/>
          <w:sz w:val="2"/>
        </w:rPr>
      </w:pPr>
    </w:p>
    <w:p w:rsidR="00BA55A8" w:rsidRPr="008E7569" w:rsidRDefault="00BA55A8" w:rsidP="00BA55A8">
      <w:pPr>
        <w:spacing w:line="276" w:lineRule="auto"/>
        <w:ind w:right="-1"/>
        <w:jc w:val="both"/>
        <w:rPr>
          <w:rFonts w:cs="Arial"/>
          <w:sz w:val="2"/>
        </w:rPr>
      </w:pPr>
    </w:p>
    <w:p w:rsidR="00BA55A8" w:rsidRPr="00B05C27" w:rsidRDefault="007A30C7" w:rsidP="00BA55A8">
      <w:pPr>
        <w:tabs>
          <w:tab w:val="left" w:pos="3994"/>
        </w:tabs>
        <w:spacing w:after="0" w:line="276" w:lineRule="auto"/>
        <w:ind w:right="-1"/>
        <w:contextualSpacing/>
        <w:jc w:val="center"/>
        <w:rPr>
          <w:rFonts w:eastAsia="Times New Roman" w:cs="Arial"/>
          <w:lang w:eastAsia="es-MX"/>
        </w:rPr>
      </w:pPr>
      <w:r>
        <w:rPr>
          <w:rFonts w:eastAsia="Times New Roman" w:cs="Arial"/>
          <w:b/>
          <w:lang w:eastAsia="es-MX"/>
        </w:rPr>
        <w:t>Firmas</w:t>
      </w:r>
    </w:p>
    <w:tbl>
      <w:tblPr>
        <w:tblW w:w="9937" w:type="dxa"/>
        <w:jc w:val="center"/>
        <w:tblLook w:val="04A0" w:firstRow="1" w:lastRow="0" w:firstColumn="1" w:lastColumn="0" w:noHBand="0" w:noVBand="1"/>
      </w:tblPr>
      <w:tblGrid>
        <w:gridCol w:w="5447"/>
        <w:gridCol w:w="4490"/>
      </w:tblGrid>
      <w:tr w:rsidR="00BA55A8" w:rsidRPr="00B05C27" w:rsidTr="00081D0D">
        <w:trPr>
          <w:trHeight w:val="902"/>
          <w:jc w:val="center"/>
        </w:trPr>
        <w:tc>
          <w:tcPr>
            <w:tcW w:w="5447" w:type="dxa"/>
            <w:shd w:val="clear" w:color="auto" w:fill="auto"/>
          </w:tcPr>
          <w:p w:rsidR="00BA55A8" w:rsidRDefault="00BA55A8" w:rsidP="00081D0D">
            <w:pPr>
              <w:spacing w:line="276" w:lineRule="auto"/>
              <w:ind w:right="-1"/>
              <w:jc w:val="center"/>
              <w:rPr>
                <w:rFonts w:cs="Arial"/>
              </w:rPr>
            </w:pPr>
          </w:p>
          <w:p w:rsidR="00BA55A8" w:rsidRDefault="00BA55A8" w:rsidP="00081D0D">
            <w:pPr>
              <w:spacing w:line="276" w:lineRule="auto"/>
              <w:ind w:right="-1"/>
              <w:jc w:val="center"/>
              <w:rPr>
                <w:rFonts w:cs="Arial"/>
              </w:rPr>
            </w:pPr>
          </w:p>
          <w:p w:rsidR="00BA55A8" w:rsidRPr="00B05C27" w:rsidRDefault="00BA55A8" w:rsidP="00081D0D">
            <w:pPr>
              <w:spacing w:line="276" w:lineRule="auto"/>
              <w:ind w:right="-1"/>
              <w:jc w:val="center"/>
              <w:rPr>
                <w:rFonts w:cs="Arial"/>
              </w:rPr>
            </w:pPr>
          </w:p>
          <w:p w:rsidR="00BA55A8" w:rsidRPr="00B05C27" w:rsidRDefault="00BA55A8" w:rsidP="00081D0D">
            <w:pPr>
              <w:spacing w:line="276" w:lineRule="auto"/>
              <w:ind w:right="-1"/>
              <w:jc w:val="center"/>
              <w:rPr>
                <w:rFonts w:cs="Arial"/>
              </w:rPr>
            </w:pPr>
            <w:r w:rsidRPr="00B05C27">
              <w:rPr>
                <w:rFonts w:cs="Arial"/>
              </w:rPr>
              <w:t>________________________________</w:t>
            </w:r>
          </w:p>
          <w:p w:rsidR="00BA55A8" w:rsidRPr="00B05C27" w:rsidRDefault="00BA55A8" w:rsidP="00081D0D">
            <w:pPr>
              <w:spacing w:after="0" w:line="276" w:lineRule="auto"/>
              <w:ind w:right="-1"/>
              <w:jc w:val="center"/>
              <w:rPr>
                <w:rFonts w:cs="Arial"/>
              </w:rPr>
            </w:pPr>
            <w:r w:rsidRPr="00B05C27">
              <w:rPr>
                <w:rFonts w:cs="Arial"/>
              </w:rPr>
              <w:t>M. en D. Tania Lorena Lugo Paz</w:t>
            </w:r>
          </w:p>
          <w:p w:rsidR="00BA55A8" w:rsidRPr="00B05C27" w:rsidRDefault="00BA55A8" w:rsidP="00081D0D">
            <w:pPr>
              <w:spacing w:line="276" w:lineRule="auto"/>
              <w:ind w:right="-1"/>
              <w:jc w:val="center"/>
              <w:rPr>
                <w:rFonts w:cs="Arial"/>
              </w:rPr>
            </w:pPr>
            <w:r w:rsidRPr="00B05C27">
              <w:rPr>
                <w:rFonts w:cs="Arial"/>
                <w:b/>
              </w:rPr>
              <w:t>Directora General del IFREM</w:t>
            </w:r>
          </w:p>
        </w:tc>
        <w:tc>
          <w:tcPr>
            <w:tcW w:w="4490" w:type="dxa"/>
            <w:shd w:val="clear" w:color="auto" w:fill="auto"/>
          </w:tcPr>
          <w:p w:rsidR="00BA55A8" w:rsidRDefault="00BA55A8" w:rsidP="00081D0D">
            <w:pPr>
              <w:spacing w:line="276" w:lineRule="auto"/>
              <w:ind w:right="-1"/>
              <w:jc w:val="center"/>
              <w:rPr>
                <w:rFonts w:cs="Arial"/>
              </w:rPr>
            </w:pPr>
          </w:p>
          <w:p w:rsidR="00BA55A8" w:rsidRDefault="00BA55A8" w:rsidP="00081D0D">
            <w:pPr>
              <w:spacing w:line="276" w:lineRule="auto"/>
              <w:ind w:right="-1"/>
              <w:jc w:val="center"/>
              <w:rPr>
                <w:rFonts w:cs="Arial"/>
              </w:rPr>
            </w:pPr>
          </w:p>
          <w:p w:rsidR="00BA55A8" w:rsidRPr="00B05C27" w:rsidRDefault="00BA55A8" w:rsidP="00081D0D">
            <w:pPr>
              <w:spacing w:line="276" w:lineRule="auto"/>
              <w:ind w:right="-1"/>
              <w:jc w:val="center"/>
              <w:rPr>
                <w:rFonts w:cs="Arial"/>
              </w:rPr>
            </w:pPr>
          </w:p>
          <w:p w:rsidR="00BA55A8" w:rsidRPr="00B05C27" w:rsidRDefault="00BA55A8" w:rsidP="00081D0D">
            <w:pPr>
              <w:spacing w:line="276" w:lineRule="auto"/>
              <w:ind w:right="-1"/>
              <w:jc w:val="center"/>
              <w:rPr>
                <w:rFonts w:cs="Arial"/>
              </w:rPr>
            </w:pPr>
            <w:r w:rsidRPr="00B05C27">
              <w:rPr>
                <w:rFonts w:cs="Arial"/>
              </w:rPr>
              <w:t>________________________________</w:t>
            </w:r>
          </w:p>
          <w:p w:rsidR="00BA55A8" w:rsidRPr="00B05C27" w:rsidRDefault="00BA55A8" w:rsidP="00081D0D">
            <w:pPr>
              <w:spacing w:after="0" w:line="276" w:lineRule="auto"/>
              <w:ind w:left="544" w:right="-1" w:hanging="261"/>
              <w:jc w:val="center"/>
              <w:rPr>
                <w:rFonts w:cs="Arial"/>
              </w:rPr>
            </w:pPr>
            <w:r w:rsidRPr="00B05C27">
              <w:rPr>
                <w:rFonts w:cs="Arial"/>
              </w:rPr>
              <w:t>L.A.E. Patricia Herrera Vallejo</w:t>
            </w:r>
          </w:p>
          <w:p w:rsidR="00BA55A8" w:rsidRPr="00B05C27" w:rsidRDefault="00BA55A8" w:rsidP="00081D0D">
            <w:pPr>
              <w:spacing w:line="276" w:lineRule="auto"/>
              <w:ind w:right="-1"/>
              <w:jc w:val="center"/>
              <w:rPr>
                <w:rFonts w:cs="Arial"/>
              </w:rPr>
            </w:pPr>
            <w:r w:rsidRPr="00B05C27">
              <w:rPr>
                <w:rFonts w:cs="Arial"/>
                <w:b/>
              </w:rPr>
              <w:t>Directora de Administración y Finanzas</w:t>
            </w:r>
          </w:p>
        </w:tc>
      </w:tr>
      <w:tr w:rsidR="00BA55A8" w:rsidRPr="00B05C27" w:rsidTr="00081D0D">
        <w:tblPrEx>
          <w:tblCellMar>
            <w:left w:w="70" w:type="dxa"/>
            <w:right w:w="70" w:type="dxa"/>
          </w:tblCellMar>
        </w:tblPrEx>
        <w:trPr>
          <w:trHeight w:val="171"/>
          <w:jc w:val="center"/>
        </w:trPr>
        <w:tc>
          <w:tcPr>
            <w:tcW w:w="9937" w:type="dxa"/>
            <w:gridSpan w:val="2"/>
            <w:shd w:val="clear" w:color="auto" w:fill="auto"/>
            <w:noWrap/>
            <w:vAlign w:val="bottom"/>
            <w:hideMark/>
          </w:tcPr>
          <w:p w:rsidR="00BA55A8" w:rsidRDefault="00BA55A8" w:rsidP="00081D0D">
            <w:pPr>
              <w:spacing w:line="276" w:lineRule="auto"/>
              <w:ind w:right="-1"/>
              <w:rPr>
                <w:rFonts w:cs="Arial"/>
              </w:rPr>
            </w:pPr>
          </w:p>
          <w:p w:rsidR="00BA55A8" w:rsidRDefault="00BA55A8" w:rsidP="00081D0D">
            <w:pPr>
              <w:spacing w:line="276" w:lineRule="auto"/>
              <w:ind w:right="-1"/>
              <w:rPr>
                <w:rFonts w:cs="Arial"/>
              </w:rPr>
            </w:pPr>
          </w:p>
          <w:p w:rsidR="00BA55A8" w:rsidRPr="008E7569" w:rsidRDefault="00BA55A8" w:rsidP="00081D0D">
            <w:pPr>
              <w:spacing w:line="276" w:lineRule="auto"/>
              <w:ind w:right="-1"/>
              <w:rPr>
                <w:rFonts w:cs="Arial"/>
                <w:sz w:val="2"/>
              </w:rPr>
            </w:pPr>
          </w:p>
          <w:p w:rsidR="00BA55A8" w:rsidRPr="008E7569" w:rsidRDefault="00BA55A8" w:rsidP="00081D0D">
            <w:pPr>
              <w:spacing w:line="276" w:lineRule="auto"/>
              <w:ind w:right="-1"/>
              <w:rPr>
                <w:rFonts w:cs="Arial"/>
                <w:sz w:val="2"/>
              </w:rPr>
            </w:pPr>
          </w:p>
          <w:p w:rsidR="00BA55A8" w:rsidRPr="00B05C27" w:rsidRDefault="00BA55A8" w:rsidP="00081D0D">
            <w:pPr>
              <w:spacing w:line="276" w:lineRule="auto"/>
              <w:ind w:right="-1"/>
              <w:jc w:val="center"/>
              <w:rPr>
                <w:rFonts w:cs="Arial"/>
              </w:rPr>
            </w:pPr>
            <w:r w:rsidRPr="00B05C27">
              <w:rPr>
                <w:rFonts w:cs="Arial"/>
              </w:rPr>
              <w:t>________________________________</w:t>
            </w:r>
          </w:p>
          <w:p w:rsidR="00BA55A8" w:rsidRPr="00B05C27" w:rsidRDefault="00BA55A8" w:rsidP="00081D0D">
            <w:pPr>
              <w:spacing w:after="0" w:line="276" w:lineRule="auto"/>
              <w:ind w:right="-1"/>
              <w:jc w:val="center"/>
              <w:rPr>
                <w:rFonts w:cs="Arial"/>
              </w:rPr>
            </w:pPr>
            <w:r w:rsidRPr="00B05C27">
              <w:rPr>
                <w:rFonts w:cs="Arial"/>
              </w:rPr>
              <w:t>Lic. Antonio Hernández Tenorio</w:t>
            </w:r>
          </w:p>
          <w:p w:rsidR="00BA55A8" w:rsidRPr="00B05C27" w:rsidRDefault="00BA55A8" w:rsidP="00081D0D">
            <w:pPr>
              <w:spacing w:line="276" w:lineRule="auto"/>
              <w:ind w:right="-1"/>
              <w:jc w:val="center"/>
              <w:rPr>
                <w:rFonts w:cs="Arial"/>
              </w:rPr>
            </w:pPr>
            <w:r w:rsidRPr="00B05C27">
              <w:rPr>
                <w:rFonts w:cs="Arial"/>
                <w:b/>
              </w:rPr>
              <w:t>Subdirector de Finanzas</w:t>
            </w:r>
          </w:p>
        </w:tc>
      </w:tr>
    </w:tbl>
    <w:p w:rsidR="00BA55A8" w:rsidRDefault="00BA55A8" w:rsidP="00BA55A8"/>
    <w:p w:rsidR="00BA55A8" w:rsidRPr="004378BA" w:rsidRDefault="00BA55A8" w:rsidP="00BA55A8"/>
    <w:p w:rsidR="00BA55A8" w:rsidRPr="007E2E82" w:rsidRDefault="00BA55A8" w:rsidP="00BA55A8">
      <w:pPr>
        <w:spacing w:after="0" w:line="276" w:lineRule="auto"/>
        <w:ind w:left="502" w:right="-1"/>
        <w:jc w:val="both"/>
        <w:rPr>
          <w:rFonts w:cs="Arial"/>
        </w:rPr>
      </w:pPr>
    </w:p>
    <w:sectPr w:rsidR="00BA55A8" w:rsidRPr="007E2E82" w:rsidSect="00553E8A">
      <w:headerReference w:type="default" r:id="rId33"/>
      <w:footerReference w:type="default" r:id="rId34"/>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75" w:rsidRDefault="005D6F75" w:rsidP="0033212B">
      <w:pPr>
        <w:spacing w:after="0" w:line="240" w:lineRule="auto"/>
      </w:pPr>
      <w:r>
        <w:separator/>
      </w:r>
    </w:p>
  </w:endnote>
  <w:endnote w:type="continuationSeparator" w:id="0">
    <w:p w:rsidR="005D6F75" w:rsidRDefault="005D6F75"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Gotham Bold">
    <w:altName w:val="Segoe UI Semibold"/>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29720"/>
      <w:docPartObj>
        <w:docPartGallery w:val="Page Numbers (Bottom of Page)"/>
        <w:docPartUnique/>
      </w:docPartObj>
    </w:sdtPr>
    <w:sdtEndPr/>
    <w:sdtContent>
      <w:p w:rsidR="00A804C5" w:rsidRDefault="00A804C5" w:rsidP="006351E0">
        <w:pPr>
          <w:tabs>
            <w:tab w:val="left" w:pos="5685"/>
            <w:tab w:val="left" w:pos="8745"/>
            <w:tab w:val="right" w:pos="10062"/>
          </w:tabs>
        </w:pPr>
      </w:p>
      <w:p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749A496F" wp14:editId="5E000FEC">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225B52">
          <w:rPr>
            <w:b/>
            <w:bCs/>
            <w:noProof/>
          </w:rPr>
          <w:t>20</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25B52" w:rsidRPr="00225B52">
          <w:rPr>
            <w:b/>
            <w:bCs/>
            <w:noProof/>
            <w:lang w:val="es-ES"/>
          </w:rPr>
          <w:t>28</w:t>
        </w:r>
        <w:r>
          <w:rPr>
            <w:b/>
            <w:bCs/>
          </w:rPr>
          <w:fldChar w:fldCharType="end"/>
        </w:r>
      </w:p>
      <w:p w:rsidR="00A804C5" w:rsidRDefault="00A804C5" w:rsidP="00FD4233">
        <w:pPr>
          <w:tabs>
            <w:tab w:val="left" w:pos="1635"/>
            <w:tab w:val="center" w:pos="5031"/>
            <w:tab w:val="left" w:pos="6360"/>
            <w:tab w:val="left" w:pos="8445"/>
            <w:tab w:val="right" w:pos="10062"/>
          </w:tabs>
        </w:pPr>
        <w:r>
          <w:tab/>
        </w:r>
        <w:r>
          <w:tab/>
        </w:r>
        <w:r>
          <w:tab/>
        </w:r>
      </w:p>
      <w:p w:rsidR="00A804C5" w:rsidRDefault="00A804C5" w:rsidP="001A70A8">
        <w:pPr>
          <w:pStyle w:val="Piedepgina"/>
          <w:jc w:val="center"/>
        </w:pPr>
      </w:p>
      <w:p w:rsidR="00A804C5" w:rsidRDefault="00A804C5" w:rsidP="00FD4233">
        <w:pPr>
          <w:pStyle w:val="Piedepgina"/>
          <w:jc w:val="right"/>
        </w:pPr>
      </w:p>
      <w:p w:rsidR="00A804C5" w:rsidRDefault="00A804C5" w:rsidP="001A70A8">
        <w:pPr>
          <w:pStyle w:val="Piedepgina"/>
          <w:jc w:val="center"/>
        </w:pPr>
      </w:p>
      <w:p w:rsidR="00A804C5" w:rsidRDefault="00A804C5" w:rsidP="00AB0FF1">
        <w:pPr>
          <w:pStyle w:val="Piedepgina"/>
          <w:tabs>
            <w:tab w:val="center" w:pos="5031"/>
            <w:tab w:val="left" w:pos="8520"/>
          </w:tabs>
        </w:pPr>
        <w:r>
          <w:tab/>
        </w:r>
        <w:r>
          <w:tab/>
        </w:r>
        <w:r>
          <w:tab/>
        </w:r>
      </w:p>
    </w:sdtContent>
  </w:sdt>
  <w:p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75" w:rsidRDefault="005D6F75" w:rsidP="0033212B">
      <w:pPr>
        <w:spacing w:after="0" w:line="240" w:lineRule="auto"/>
      </w:pPr>
      <w:r>
        <w:separator/>
      </w:r>
    </w:p>
  </w:footnote>
  <w:footnote w:type="continuationSeparator" w:id="0">
    <w:p w:rsidR="005D6F75" w:rsidRDefault="005D6F75" w:rsidP="0033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72576" behindDoc="1" locked="0" layoutInCell="1" allowOverlap="1" wp14:anchorId="1A51DC58" wp14:editId="517ED0A5">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4C5" w:rsidRDefault="00A804C5" w:rsidP="000316D9">
    <w:pPr>
      <w:pStyle w:val="Encabezado"/>
      <w:tabs>
        <w:tab w:val="clear" w:pos="4419"/>
        <w:tab w:val="clear" w:pos="8838"/>
      </w:tabs>
      <w:ind w:left="-1560" w:right="-1652"/>
      <w:jc w:val="center"/>
      <w:rPr>
        <w:noProof/>
        <w:lang w:eastAsia="es-MX"/>
      </w:rPr>
    </w:pPr>
  </w:p>
  <w:p w:rsidR="00A804C5" w:rsidRDefault="00A804C5" w:rsidP="000316D9">
    <w:pPr>
      <w:pStyle w:val="Encabezado"/>
      <w:tabs>
        <w:tab w:val="clear" w:pos="4419"/>
        <w:tab w:val="clear" w:pos="8838"/>
      </w:tabs>
      <w:ind w:left="-1560" w:right="-1652"/>
      <w:jc w:val="center"/>
      <w:rPr>
        <w:noProof/>
        <w:lang w:eastAsia="es-MX"/>
      </w:rPr>
    </w:pPr>
  </w:p>
  <w:p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rsidR="00A804C5" w:rsidRPr="009D03C8" w:rsidRDefault="00A804C5" w:rsidP="000316D9">
    <w:pPr>
      <w:pStyle w:val="Encabezado"/>
      <w:tabs>
        <w:tab w:val="clear" w:pos="4419"/>
        <w:tab w:val="clear" w:pos="8838"/>
      </w:tabs>
      <w:ind w:left="-1560" w:right="-1652"/>
      <w:jc w:val="center"/>
    </w:pPr>
    <w:r>
      <w:rPr>
        <w:rFonts w:ascii="Gotham Bold" w:hAnsi="Gotham Bold"/>
      </w:rPr>
      <w:t>“2019. Año del Centésimo Aniversario Luctuoso de Emiliano Zapata Salazar. El Caudillo del Sur”.</w:t>
    </w:r>
  </w:p>
  <w:p w:rsidR="00A804C5" w:rsidRPr="00DF66A9" w:rsidRDefault="00A804C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22136D0"/>
    <w:multiLevelType w:val="hybridMultilevel"/>
    <w:tmpl w:val="7310CE2C"/>
    <w:lvl w:ilvl="0" w:tplc="FB884962">
      <w:start w:val="7"/>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CAE7C0B"/>
    <w:multiLevelType w:val="hybridMultilevel"/>
    <w:tmpl w:val="61D460D4"/>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C716C09"/>
    <w:multiLevelType w:val="hybridMultilevel"/>
    <w:tmpl w:val="DBD2BA4A"/>
    <w:lvl w:ilvl="0" w:tplc="95AEBE2E">
      <w:start w:val="5"/>
      <w:numFmt w:val="upperRoman"/>
      <w:lvlText w:val="%1."/>
      <w:lvlJc w:val="righ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5964A2D"/>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6362DB9"/>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757B43"/>
    <w:multiLevelType w:val="hybridMultilevel"/>
    <w:tmpl w:val="400A324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4"/>
  </w:num>
  <w:num w:numId="5">
    <w:abstractNumId w:val="20"/>
  </w:num>
  <w:num w:numId="6">
    <w:abstractNumId w:val="3"/>
  </w:num>
  <w:num w:numId="7">
    <w:abstractNumId w:val="16"/>
  </w:num>
  <w:num w:numId="8">
    <w:abstractNumId w:val="18"/>
  </w:num>
  <w:num w:numId="9">
    <w:abstractNumId w:val="19"/>
  </w:num>
  <w:num w:numId="10">
    <w:abstractNumId w:val="15"/>
  </w:num>
  <w:num w:numId="11">
    <w:abstractNumId w:val="8"/>
  </w:num>
  <w:num w:numId="12">
    <w:abstractNumId w:val="1"/>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13"/>
  </w:num>
  <w:num w:numId="26">
    <w:abstractNumId w:val="14"/>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27DB"/>
    <w:rsid w:val="00003D73"/>
    <w:rsid w:val="00006ED2"/>
    <w:rsid w:val="00010FD9"/>
    <w:rsid w:val="00012845"/>
    <w:rsid w:val="0001352F"/>
    <w:rsid w:val="00015E63"/>
    <w:rsid w:val="00015FA6"/>
    <w:rsid w:val="00016F2A"/>
    <w:rsid w:val="0001768C"/>
    <w:rsid w:val="00020432"/>
    <w:rsid w:val="00021DE1"/>
    <w:rsid w:val="00022C7E"/>
    <w:rsid w:val="000265E6"/>
    <w:rsid w:val="00026EBB"/>
    <w:rsid w:val="00030B0F"/>
    <w:rsid w:val="00030B5E"/>
    <w:rsid w:val="000316D9"/>
    <w:rsid w:val="000317E9"/>
    <w:rsid w:val="000326A2"/>
    <w:rsid w:val="0003577A"/>
    <w:rsid w:val="0003731C"/>
    <w:rsid w:val="00037C59"/>
    <w:rsid w:val="000405AF"/>
    <w:rsid w:val="000413C6"/>
    <w:rsid w:val="00043D55"/>
    <w:rsid w:val="00045845"/>
    <w:rsid w:val="00050B6C"/>
    <w:rsid w:val="000526C7"/>
    <w:rsid w:val="000564CF"/>
    <w:rsid w:val="00057473"/>
    <w:rsid w:val="00057789"/>
    <w:rsid w:val="00061AB7"/>
    <w:rsid w:val="00062DFB"/>
    <w:rsid w:val="00064186"/>
    <w:rsid w:val="000641A2"/>
    <w:rsid w:val="00065EED"/>
    <w:rsid w:val="00065FD4"/>
    <w:rsid w:val="0007108F"/>
    <w:rsid w:val="00072B06"/>
    <w:rsid w:val="00073B8C"/>
    <w:rsid w:val="0008290A"/>
    <w:rsid w:val="00082CB1"/>
    <w:rsid w:val="00083D56"/>
    <w:rsid w:val="00084D06"/>
    <w:rsid w:val="00084D64"/>
    <w:rsid w:val="00094250"/>
    <w:rsid w:val="00094DD0"/>
    <w:rsid w:val="0009517D"/>
    <w:rsid w:val="000968F8"/>
    <w:rsid w:val="000A081E"/>
    <w:rsid w:val="000A228A"/>
    <w:rsid w:val="000A2ADF"/>
    <w:rsid w:val="000A2B0A"/>
    <w:rsid w:val="000A30E0"/>
    <w:rsid w:val="000A3489"/>
    <w:rsid w:val="000A3DA3"/>
    <w:rsid w:val="000A4773"/>
    <w:rsid w:val="000A4B51"/>
    <w:rsid w:val="000A4CD9"/>
    <w:rsid w:val="000A4FB8"/>
    <w:rsid w:val="000A52F1"/>
    <w:rsid w:val="000A7CAE"/>
    <w:rsid w:val="000B03BB"/>
    <w:rsid w:val="000B07D7"/>
    <w:rsid w:val="000B0F33"/>
    <w:rsid w:val="000B124F"/>
    <w:rsid w:val="000C0132"/>
    <w:rsid w:val="000C08D7"/>
    <w:rsid w:val="000C5056"/>
    <w:rsid w:val="000C5544"/>
    <w:rsid w:val="000D01F5"/>
    <w:rsid w:val="000D09FF"/>
    <w:rsid w:val="000D1290"/>
    <w:rsid w:val="000D1B63"/>
    <w:rsid w:val="000D40F1"/>
    <w:rsid w:val="000D5865"/>
    <w:rsid w:val="000D5A73"/>
    <w:rsid w:val="000E31FD"/>
    <w:rsid w:val="000E38D9"/>
    <w:rsid w:val="000E5435"/>
    <w:rsid w:val="000E57F1"/>
    <w:rsid w:val="000E650B"/>
    <w:rsid w:val="000E7537"/>
    <w:rsid w:val="000F0D32"/>
    <w:rsid w:val="000F401A"/>
    <w:rsid w:val="000F4A95"/>
    <w:rsid w:val="000F4FF2"/>
    <w:rsid w:val="000F737A"/>
    <w:rsid w:val="00100535"/>
    <w:rsid w:val="001104E6"/>
    <w:rsid w:val="00110CC9"/>
    <w:rsid w:val="00113064"/>
    <w:rsid w:val="001135F5"/>
    <w:rsid w:val="00114174"/>
    <w:rsid w:val="001167C1"/>
    <w:rsid w:val="00121D31"/>
    <w:rsid w:val="0012306F"/>
    <w:rsid w:val="00123396"/>
    <w:rsid w:val="00124778"/>
    <w:rsid w:val="00124F83"/>
    <w:rsid w:val="00125235"/>
    <w:rsid w:val="00130EA5"/>
    <w:rsid w:val="00136FAC"/>
    <w:rsid w:val="00140429"/>
    <w:rsid w:val="001433AD"/>
    <w:rsid w:val="001436FB"/>
    <w:rsid w:val="00143879"/>
    <w:rsid w:val="0014449F"/>
    <w:rsid w:val="00152B8F"/>
    <w:rsid w:val="00152CE4"/>
    <w:rsid w:val="00153C26"/>
    <w:rsid w:val="00154103"/>
    <w:rsid w:val="00154D1C"/>
    <w:rsid w:val="00155156"/>
    <w:rsid w:val="001554DD"/>
    <w:rsid w:val="00155A9D"/>
    <w:rsid w:val="001570DC"/>
    <w:rsid w:val="001600FB"/>
    <w:rsid w:val="0016041F"/>
    <w:rsid w:val="00160821"/>
    <w:rsid w:val="00163812"/>
    <w:rsid w:val="0016506D"/>
    <w:rsid w:val="001678EA"/>
    <w:rsid w:val="00171698"/>
    <w:rsid w:val="00173CC3"/>
    <w:rsid w:val="00173DBF"/>
    <w:rsid w:val="00175DCD"/>
    <w:rsid w:val="001800B6"/>
    <w:rsid w:val="00180232"/>
    <w:rsid w:val="00180A93"/>
    <w:rsid w:val="001811A8"/>
    <w:rsid w:val="0018123E"/>
    <w:rsid w:val="00181B3F"/>
    <w:rsid w:val="00183F2F"/>
    <w:rsid w:val="00184BE1"/>
    <w:rsid w:val="00191E56"/>
    <w:rsid w:val="00194F29"/>
    <w:rsid w:val="00195ADE"/>
    <w:rsid w:val="001A0DBE"/>
    <w:rsid w:val="001A3EA4"/>
    <w:rsid w:val="001A6D07"/>
    <w:rsid w:val="001A70A8"/>
    <w:rsid w:val="001B054A"/>
    <w:rsid w:val="001B0613"/>
    <w:rsid w:val="001B1326"/>
    <w:rsid w:val="001B3BFD"/>
    <w:rsid w:val="001B4811"/>
    <w:rsid w:val="001B6A78"/>
    <w:rsid w:val="001B79F0"/>
    <w:rsid w:val="001C1913"/>
    <w:rsid w:val="001C2D9F"/>
    <w:rsid w:val="001C32DD"/>
    <w:rsid w:val="001C33D8"/>
    <w:rsid w:val="001C36BA"/>
    <w:rsid w:val="001C6622"/>
    <w:rsid w:val="001C72C4"/>
    <w:rsid w:val="001D237E"/>
    <w:rsid w:val="001D5057"/>
    <w:rsid w:val="001D5210"/>
    <w:rsid w:val="001D5A6E"/>
    <w:rsid w:val="001D74CB"/>
    <w:rsid w:val="001D793E"/>
    <w:rsid w:val="001E06EF"/>
    <w:rsid w:val="001E1B89"/>
    <w:rsid w:val="001E25C6"/>
    <w:rsid w:val="001E396C"/>
    <w:rsid w:val="001E4762"/>
    <w:rsid w:val="001E4D68"/>
    <w:rsid w:val="001E5489"/>
    <w:rsid w:val="001F05AD"/>
    <w:rsid w:val="001F0CE1"/>
    <w:rsid w:val="001F1301"/>
    <w:rsid w:val="001F1B28"/>
    <w:rsid w:val="001F1EE1"/>
    <w:rsid w:val="001F1FF9"/>
    <w:rsid w:val="001F5305"/>
    <w:rsid w:val="001F69B3"/>
    <w:rsid w:val="00200343"/>
    <w:rsid w:val="00201773"/>
    <w:rsid w:val="0020245B"/>
    <w:rsid w:val="0020644C"/>
    <w:rsid w:val="00213972"/>
    <w:rsid w:val="00216916"/>
    <w:rsid w:val="002174D6"/>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580"/>
    <w:rsid w:val="00244598"/>
    <w:rsid w:val="00245317"/>
    <w:rsid w:val="0024535F"/>
    <w:rsid w:val="00246044"/>
    <w:rsid w:val="002465BB"/>
    <w:rsid w:val="00251395"/>
    <w:rsid w:val="00251DC8"/>
    <w:rsid w:val="00256473"/>
    <w:rsid w:val="00256F96"/>
    <w:rsid w:val="00264D0E"/>
    <w:rsid w:val="00267222"/>
    <w:rsid w:val="0026744F"/>
    <w:rsid w:val="00272BA0"/>
    <w:rsid w:val="002734FE"/>
    <w:rsid w:val="00273EB5"/>
    <w:rsid w:val="00274345"/>
    <w:rsid w:val="00276066"/>
    <w:rsid w:val="00280535"/>
    <w:rsid w:val="00280B40"/>
    <w:rsid w:val="0028147E"/>
    <w:rsid w:val="002859B7"/>
    <w:rsid w:val="00287E5C"/>
    <w:rsid w:val="002909EB"/>
    <w:rsid w:val="002911AD"/>
    <w:rsid w:val="00292418"/>
    <w:rsid w:val="00293DA7"/>
    <w:rsid w:val="00296101"/>
    <w:rsid w:val="002969C0"/>
    <w:rsid w:val="002A193B"/>
    <w:rsid w:val="002A5B22"/>
    <w:rsid w:val="002A7A96"/>
    <w:rsid w:val="002B0BED"/>
    <w:rsid w:val="002B23B8"/>
    <w:rsid w:val="002B344E"/>
    <w:rsid w:val="002B6494"/>
    <w:rsid w:val="002B7DCD"/>
    <w:rsid w:val="002C089B"/>
    <w:rsid w:val="002C1500"/>
    <w:rsid w:val="002C2C79"/>
    <w:rsid w:val="002C44BF"/>
    <w:rsid w:val="002C6A51"/>
    <w:rsid w:val="002D0E71"/>
    <w:rsid w:val="002D109B"/>
    <w:rsid w:val="002D1F2E"/>
    <w:rsid w:val="002D29BC"/>
    <w:rsid w:val="002D4356"/>
    <w:rsid w:val="002D5D22"/>
    <w:rsid w:val="002E0E52"/>
    <w:rsid w:val="002E2BBF"/>
    <w:rsid w:val="002E378E"/>
    <w:rsid w:val="002E3C79"/>
    <w:rsid w:val="002E3F91"/>
    <w:rsid w:val="002E4880"/>
    <w:rsid w:val="002E55E9"/>
    <w:rsid w:val="002E63CE"/>
    <w:rsid w:val="002F1339"/>
    <w:rsid w:val="002F561B"/>
    <w:rsid w:val="002F7710"/>
    <w:rsid w:val="002F7CAF"/>
    <w:rsid w:val="00300C9C"/>
    <w:rsid w:val="00301158"/>
    <w:rsid w:val="003042BB"/>
    <w:rsid w:val="003047F9"/>
    <w:rsid w:val="00306181"/>
    <w:rsid w:val="003135E5"/>
    <w:rsid w:val="00316036"/>
    <w:rsid w:val="0031644B"/>
    <w:rsid w:val="00316D48"/>
    <w:rsid w:val="00316DEB"/>
    <w:rsid w:val="00320151"/>
    <w:rsid w:val="00320C0E"/>
    <w:rsid w:val="003217AE"/>
    <w:rsid w:val="00322CA9"/>
    <w:rsid w:val="0032595A"/>
    <w:rsid w:val="0033212B"/>
    <w:rsid w:val="00333772"/>
    <w:rsid w:val="00336040"/>
    <w:rsid w:val="0033665F"/>
    <w:rsid w:val="003432D8"/>
    <w:rsid w:val="00343555"/>
    <w:rsid w:val="00343EFA"/>
    <w:rsid w:val="003476D9"/>
    <w:rsid w:val="00347A93"/>
    <w:rsid w:val="0035214D"/>
    <w:rsid w:val="0035391C"/>
    <w:rsid w:val="003542D6"/>
    <w:rsid w:val="003547B9"/>
    <w:rsid w:val="00356AAE"/>
    <w:rsid w:val="00356C4C"/>
    <w:rsid w:val="00356CF2"/>
    <w:rsid w:val="00361EF9"/>
    <w:rsid w:val="00362C2A"/>
    <w:rsid w:val="00363D07"/>
    <w:rsid w:val="003648E4"/>
    <w:rsid w:val="003651B1"/>
    <w:rsid w:val="0036630F"/>
    <w:rsid w:val="00367E78"/>
    <w:rsid w:val="00370BA2"/>
    <w:rsid w:val="00370DAC"/>
    <w:rsid w:val="00372A64"/>
    <w:rsid w:val="003734DF"/>
    <w:rsid w:val="00373AD7"/>
    <w:rsid w:val="00373C05"/>
    <w:rsid w:val="00374D28"/>
    <w:rsid w:val="0038035B"/>
    <w:rsid w:val="003807BD"/>
    <w:rsid w:val="00380CB3"/>
    <w:rsid w:val="0038121B"/>
    <w:rsid w:val="003826EC"/>
    <w:rsid w:val="00383861"/>
    <w:rsid w:val="0038425C"/>
    <w:rsid w:val="00390BB9"/>
    <w:rsid w:val="00392564"/>
    <w:rsid w:val="003936EC"/>
    <w:rsid w:val="0039385E"/>
    <w:rsid w:val="00394024"/>
    <w:rsid w:val="003A05A0"/>
    <w:rsid w:val="003A2CD8"/>
    <w:rsid w:val="003A3A0B"/>
    <w:rsid w:val="003A50C1"/>
    <w:rsid w:val="003A7B09"/>
    <w:rsid w:val="003B2588"/>
    <w:rsid w:val="003B3E10"/>
    <w:rsid w:val="003B6142"/>
    <w:rsid w:val="003C037F"/>
    <w:rsid w:val="003C03E7"/>
    <w:rsid w:val="003C1F1B"/>
    <w:rsid w:val="003C5EF2"/>
    <w:rsid w:val="003C6C0E"/>
    <w:rsid w:val="003C7D90"/>
    <w:rsid w:val="003D03BC"/>
    <w:rsid w:val="003D677E"/>
    <w:rsid w:val="003E5B9A"/>
    <w:rsid w:val="003E779C"/>
    <w:rsid w:val="003F0258"/>
    <w:rsid w:val="003F07F3"/>
    <w:rsid w:val="003F18B1"/>
    <w:rsid w:val="003F517E"/>
    <w:rsid w:val="003F6EAF"/>
    <w:rsid w:val="003F76F5"/>
    <w:rsid w:val="003F77FC"/>
    <w:rsid w:val="00402DCF"/>
    <w:rsid w:val="004039C8"/>
    <w:rsid w:val="00403D57"/>
    <w:rsid w:val="00407A26"/>
    <w:rsid w:val="00407C3C"/>
    <w:rsid w:val="004161C8"/>
    <w:rsid w:val="00416639"/>
    <w:rsid w:val="00416696"/>
    <w:rsid w:val="00416D8B"/>
    <w:rsid w:val="004172FF"/>
    <w:rsid w:val="0041778B"/>
    <w:rsid w:val="00422466"/>
    <w:rsid w:val="00422EE1"/>
    <w:rsid w:val="00424CE4"/>
    <w:rsid w:val="00425087"/>
    <w:rsid w:val="00425ED0"/>
    <w:rsid w:val="004264A2"/>
    <w:rsid w:val="0043257C"/>
    <w:rsid w:val="00432E72"/>
    <w:rsid w:val="00435EDC"/>
    <w:rsid w:val="004378BA"/>
    <w:rsid w:val="00440F0A"/>
    <w:rsid w:val="00441158"/>
    <w:rsid w:val="00443064"/>
    <w:rsid w:val="004443F1"/>
    <w:rsid w:val="004469C7"/>
    <w:rsid w:val="004472ED"/>
    <w:rsid w:val="004500FD"/>
    <w:rsid w:val="004520EC"/>
    <w:rsid w:val="00452CB3"/>
    <w:rsid w:val="00452FAB"/>
    <w:rsid w:val="004559AD"/>
    <w:rsid w:val="0045633F"/>
    <w:rsid w:val="00457D93"/>
    <w:rsid w:val="00457F14"/>
    <w:rsid w:val="00461CA3"/>
    <w:rsid w:val="00465387"/>
    <w:rsid w:val="0047049F"/>
    <w:rsid w:val="00470F5A"/>
    <w:rsid w:val="0047201F"/>
    <w:rsid w:val="004723C3"/>
    <w:rsid w:val="00473507"/>
    <w:rsid w:val="00474B22"/>
    <w:rsid w:val="00475177"/>
    <w:rsid w:val="004756FF"/>
    <w:rsid w:val="00477F60"/>
    <w:rsid w:val="004804B4"/>
    <w:rsid w:val="004842BC"/>
    <w:rsid w:val="0048444A"/>
    <w:rsid w:val="0048474F"/>
    <w:rsid w:val="004852AC"/>
    <w:rsid w:val="004852C4"/>
    <w:rsid w:val="004860DC"/>
    <w:rsid w:val="004877CF"/>
    <w:rsid w:val="00493A69"/>
    <w:rsid w:val="00494444"/>
    <w:rsid w:val="0049527E"/>
    <w:rsid w:val="004A0297"/>
    <w:rsid w:val="004A0A66"/>
    <w:rsid w:val="004A1DEA"/>
    <w:rsid w:val="004A2C5A"/>
    <w:rsid w:val="004A3EEB"/>
    <w:rsid w:val="004A4070"/>
    <w:rsid w:val="004A5E62"/>
    <w:rsid w:val="004A7DE6"/>
    <w:rsid w:val="004B02A5"/>
    <w:rsid w:val="004B437E"/>
    <w:rsid w:val="004B580C"/>
    <w:rsid w:val="004B6E4E"/>
    <w:rsid w:val="004B7331"/>
    <w:rsid w:val="004B75FD"/>
    <w:rsid w:val="004C0175"/>
    <w:rsid w:val="004C21AF"/>
    <w:rsid w:val="004C2625"/>
    <w:rsid w:val="004C2985"/>
    <w:rsid w:val="004C34C6"/>
    <w:rsid w:val="004C4D2F"/>
    <w:rsid w:val="004C657B"/>
    <w:rsid w:val="004C6C82"/>
    <w:rsid w:val="004D25FE"/>
    <w:rsid w:val="004D31AC"/>
    <w:rsid w:val="004D3578"/>
    <w:rsid w:val="004D4C6E"/>
    <w:rsid w:val="004D51CE"/>
    <w:rsid w:val="004E18BD"/>
    <w:rsid w:val="004E32A4"/>
    <w:rsid w:val="004E50D3"/>
    <w:rsid w:val="004E5AD9"/>
    <w:rsid w:val="004E5C54"/>
    <w:rsid w:val="004E62E7"/>
    <w:rsid w:val="004F206A"/>
    <w:rsid w:val="004F62FB"/>
    <w:rsid w:val="004F7873"/>
    <w:rsid w:val="00500D5E"/>
    <w:rsid w:val="005021B6"/>
    <w:rsid w:val="00502422"/>
    <w:rsid w:val="0050315F"/>
    <w:rsid w:val="00503F8F"/>
    <w:rsid w:val="0050496B"/>
    <w:rsid w:val="00505DD1"/>
    <w:rsid w:val="005061FC"/>
    <w:rsid w:val="00506F2B"/>
    <w:rsid w:val="00511D50"/>
    <w:rsid w:val="00516075"/>
    <w:rsid w:val="00516FE9"/>
    <w:rsid w:val="005232EF"/>
    <w:rsid w:val="005236DD"/>
    <w:rsid w:val="0052527A"/>
    <w:rsid w:val="00525B78"/>
    <w:rsid w:val="0052620D"/>
    <w:rsid w:val="00530C8F"/>
    <w:rsid w:val="005315CD"/>
    <w:rsid w:val="005315E2"/>
    <w:rsid w:val="00531E46"/>
    <w:rsid w:val="0053225F"/>
    <w:rsid w:val="00535EEE"/>
    <w:rsid w:val="00540099"/>
    <w:rsid w:val="005401DA"/>
    <w:rsid w:val="00540D74"/>
    <w:rsid w:val="005422C9"/>
    <w:rsid w:val="0054345B"/>
    <w:rsid w:val="00543F0C"/>
    <w:rsid w:val="0054413A"/>
    <w:rsid w:val="0054468D"/>
    <w:rsid w:val="0054544A"/>
    <w:rsid w:val="0054583C"/>
    <w:rsid w:val="00545FCF"/>
    <w:rsid w:val="00546879"/>
    <w:rsid w:val="00553AFE"/>
    <w:rsid w:val="00553E8A"/>
    <w:rsid w:val="005564DB"/>
    <w:rsid w:val="00561128"/>
    <w:rsid w:val="00561944"/>
    <w:rsid w:val="00563832"/>
    <w:rsid w:val="005664C2"/>
    <w:rsid w:val="00566ACC"/>
    <w:rsid w:val="00567F22"/>
    <w:rsid w:val="005742F2"/>
    <w:rsid w:val="005749BF"/>
    <w:rsid w:val="00575F71"/>
    <w:rsid w:val="00576382"/>
    <w:rsid w:val="005775FD"/>
    <w:rsid w:val="00580993"/>
    <w:rsid w:val="005838D0"/>
    <w:rsid w:val="00583F1C"/>
    <w:rsid w:val="00585C33"/>
    <w:rsid w:val="00586CC3"/>
    <w:rsid w:val="00587023"/>
    <w:rsid w:val="005918DD"/>
    <w:rsid w:val="00592EEE"/>
    <w:rsid w:val="0059721A"/>
    <w:rsid w:val="00597F23"/>
    <w:rsid w:val="005A04FC"/>
    <w:rsid w:val="005A152D"/>
    <w:rsid w:val="005A19BD"/>
    <w:rsid w:val="005A2590"/>
    <w:rsid w:val="005A2D24"/>
    <w:rsid w:val="005A30FD"/>
    <w:rsid w:val="005A3ADB"/>
    <w:rsid w:val="005A71C4"/>
    <w:rsid w:val="005B0384"/>
    <w:rsid w:val="005B07E5"/>
    <w:rsid w:val="005B0C56"/>
    <w:rsid w:val="005B0D19"/>
    <w:rsid w:val="005B1A6C"/>
    <w:rsid w:val="005B1BC5"/>
    <w:rsid w:val="005B249B"/>
    <w:rsid w:val="005B2D41"/>
    <w:rsid w:val="005B3276"/>
    <w:rsid w:val="005B362E"/>
    <w:rsid w:val="005B5595"/>
    <w:rsid w:val="005B7E9C"/>
    <w:rsid w:val="005C0109"/>
    <w:rsid w:val="005C38DA"/>
    <w:rsid w:val="005C5D67"/>
    <w:rsid w:val="005C7E42"/>
    <w:rsid w:val="005D19DA"/>
    <w:rsid w:val="005D1EF0"/>
    <w:rsid w:val="005D3019"/>
    <w:rsid w:val="005D6F75"/>
    <w:rsid w:val="005E1C2B"/>
    <w:rsid w:val="005E1F09"/>
    <w:rsid w:val="005E256A"/>
    <w:rsid w:val="005E71C8"/>
    <w:rsid w:val="005F2A70"/>
    <w:rsid w:val="005F49EE"/>
    <w:rsid w:val="005F4D2A"/>
    <w:rsid w:val="005F5123"/>
    <w:rsid w:val="005F6990"/>
    <w:rsid w:val="005F78B1"/>
    <w:rsid w:val="00601E78"/>
    <w:rsid w:val="00601EF7"/>
    <w:rsid w:val="006036C9"/>
    <w:rsid w:val="00605468"/>
    <w:rsid w:val="00606708"/>
    <w:rsid w:val="006144D0"/>
    <w:rsid w:val="00615FD2"/>
    <w:rsid w:val="00621960"/>
    <w:rsid w:val="00625B63"/>
    <w:rsid w:val="00626153"/>
    <w:rsid w:val="006263F4"/>
    <w:rsid w:val="00626624"/>
    <w:rsid w:val="00626837"/>
    <w:rsid w:val="00627139"/>
    <w:rsid w:val="00627646"/>
    <w:rsid w:val="00633775"/>
    <w:rsid w:val="00634018"/>
    <w:rsid w:val="006349FF"/>
    <w:rsid w:val="006351E0"/>
    <w:rsid w:val="00641BEC"/>
    <w:rsid w:val="00643245"/>
    <w:rsid w:val="006438DB"/>
    <w:rsid w:val="006469D5"/>
    <w:rsid w:val="00650A58"/>
    <w:rsid w:val="00650E02"/>
    <w:rsid w:val="0065176D"/>
    <w:rsid w:val="006520D8"/>
    <w:rsid w:val="006550DA"/>
    <w:rsid w:val="00656782"/>
    <w:rsid w:val="006606B4"/>
    <w:rsid w:val="00663398"/>
    <w:rsid w:val="00664E0B"/>
    <w:rsid w:val="0066623A"/>
    <w:rsid w:val="00666E99"/>
    <w:rsid w:val="006672D5"/>
    <w:rsid w:val="00670AFA"/>
    <w:rsid w:val="00672170"/>
    <w:rsid w:val="006728A2"/>
    <w:rsid w:val="00674801"/>
    <w:rsid w:val="00674E6E"/>
    <w:rsid w:val="00677C31"/>
    <w:rsid w:val="00680A49"/>
    <w:rsid w:val="00680B0D"/>
    <w:rsid w:val="006879C5"/>
    <w:rsid w:val="00687E64"/>
    <w:rsid w:val="0069055E"/>
    <w:rsid w:val="0069079F"/>
    <w:rsid w:val="00690B43"/>
    <w:rsid w:val="00692FA9"/>
    <w:rsid w:val="0069441D"/>
    <w:rsid w:val="00697072"/>
    <w:rsid w:val="006A26F4"/>
    <w:rsid w:val="006B39D4"/>
    <w:rsid w:val="006B7822"/>
    <w:rsid w:val="006B7E1E"/>
    <w:rsid w:val="006C2B12"/>
    <w:rsid w:val="006C3420"/>
    <w:rsid w:val="006C38BA"/>
    <w:rsid w:val="006C5E13"/>
    <w:rsid w:val="006C60C9"/>
    <w:rsid w:val="006D0054"/>
    <w:rsid w:val="006D0936"/>
    <w:rsid w:val="006D4910"/>
    <w:rsid w:val="006D4E0F"/>
    <w:rsid w:val="006D59EE"/>
    <w:rsid w:val="006D64B9"/>
    <w:rsid w:val="006D7A83"/>
    <w:rsid w:val="006E3956"/>
    <w:rsid w:val="006E7E9B"/>
    <w:rsid w:val="006F0622"/>
    <w:rsid w:val="006F13E1"/>
    <w:rsid w:val="006F3551"/>
    <w:rsid w:val="006F3847"/>
    <w:rsid w:val="006F452D"/>
    <w:rsid w:val="006F4BB9"/>
    <w:rsid w:val="007063EF"/>
    <w:rsid w:val="007068B0"/>
    <w:rsid w:val="00707787"/>
    <w:rsid w:val="007079A7"/>
    <w:rsid w:val="007117A5"/>
    <w:rsid w:val="00711A9F"/>
    <w:rsid w:val="00714562"/>
    <w:rsid w:val="00714FBB"/>
    <w:rsid w:val="00717D74"/>
    <w:rsid w:val="0072028F"/>
    <w:rsid w:val="00721F8D"/>
    <w:rsid w:val="007230C9"/>
    <w:rsid w:val="007239A4"/>
    <w:rsid w:val="007240D6"/>
    <w:rsid w:val="0072571C"/>
    <w:rsid w:val="00725891"/>
    <w:rsid w:val="00725C9B"/>
    <w:rsid w:val="00726A0A"/>
    <w:rsid w:val="007301D1"/>
    <w:rsid w:val="00731A5E"/>
    <w:rsid w:val="00732F90"/>
    <w:rsid w:val="007345BE"/>
    <w:rsid w:val="00735DD5"/>
    <w:rsid w:val="007408E5"/>
    <w:rsid w:val="00741A01"/>
    <w:rsid w:val="007443F9"/>
    <w:rsid w:val="007459BA"/>
    <w:rsid w:val="00747448"/>
    <w:rsid w:val="007504F6"/>
    <w:rsid w:val="0075184C"/>
    <w:rsid w:val="00752500"/>
    <w:rsid w:val="00752B61"/>
    <w:rsid w:val="00752C13"/>
    <w:rsid w:val="00753983"/>
    <w:rsid w:val="00753E4E"/>
    <w:rsid w:val="0075427E"/>
    <w:rsid w:val="007546B4"/>
    <w:rsid w:val="0075502E"/>
    <w:rsid w:val="0075655B"/>
    <w:rsid w:val="00756B31"/>
    <w:rsid w:val="00757FE6"/>
    <w:rsid w:val="00760B58"/>
    <w:rsid w:val="00760E82"/>
    <w:rsid w:val="00761311"/>
    <w:rsid w:val="007623BC"/>
    <w:rsid w:val="007628FC"/>
    <w:rsid w:val="00763B0C"/>
    <w:rsid w:val="00764597"/>
    <w:rsid w:val="007646CA"/>
    <w:rsid w:val="00765B40"/>
    <w:rsid w:val="00766978"/>
    <w:rsid w:val="00774172"/>
    <w:rsid w:val="00775047"/>
    <w:rsid w:val="00781304"/>
    <w:rsid w:val="00783D18"/>
    <w:rsid w:val="00783DEF"/>
    <w:rsid w:val="0078429D"/>
    <w:rsid w:val="00784929"/>
    <w:rsid w:val="00784C3E"/>
    <w:rsid w:val="0079110E"/>
    <w:rsid w:val="0079137D"/>
    <w:rsid w:val="00791488"/>
    <w:rsid w:val="00791C27"/>
    <w:rsid w:val="00792087"/>
    <w:rsid w:val="00792CCB"/>
    <w:rsid w:val="00792D61"/>
    <w:rsid w:val="00793AE1"/>
    <w:rsid w:val="00793CAB"/>
    <w:rsid w:val="0079423F"/>
    <w:rsid w:val="00795F73"/>
    <w:rsid w:val="007971CE"/>
    <w:rsid w:val="007A0667"/>
    <w:rsid w:val="007A30C7"/>
    <w:rsid w:val="007A46CB"/>
    <w:rsid w:val="007A586B"/>
    <w:rsid w:val="007A5DB9"/>
    <w:rsid w:val="007A67F3"/>
    <w:rsid w:val="007A7E25"/>
    <w:rsid w:val="007B0AE7"/>
    <w:rsid w:val="007B3BFE"/>
    <w:rsid w:val="007B5B7F"/>
    <w:rsid w:val="007C042A"/>
    <w:rsid w:val="007C593C"/>
    <w:rsid w:val="007C5FDC"/>
    <w:rsid w:val="007C6090"/>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51E"/>
    <w:rsid w:val="007F2B29"/>
    <w:rsid w:val="007F5F1A"/>
    <w:rsid w:val="007F7333"/>
    <w:rsid w:val="007F76B0"/>
    <w:rsid w:val="007F7B65"/>
    <w:rsid w:val="007F7F08"/>
    <w:rsid w:val="0080173F"/>
    <w:rsid w:val="008021B2"/>
    <w:rsid w:val="00802B5E"/>
    <w:rsid w:val="00803C02"/>
    <w:rsid w:val="00804268"/>
    <w:rsid w:val="0080451F"/>
    <w:rsid w:val="0080755B"/>
    <w:rsid w:val="00810C25"/>
    <w:rsid w:val="00811740"/>
    <w:rsid w:val="008119D8"/>
    <w:rsid w:val="008131C5"/>
    <w:rsid w:val="00820188"/>
    <w:rsid w:val="00820A1A"/>
    <w:rsid w:val="00820C0C"/>
    <w:rsid w:val="00821F53"/>
    <w:rsid w:val="00822865"/>
    <w:rsid w:val="00823DC6"/>
    <w:rsid w:val="00825DCC"/>
    <w:rsid w:val="00826352"/>
    <w:rsid w:val="00827824"/>
    <w:rsid w:val="00827B1A"/>
    <w:rsid w:val="00830650"/>
    <w:rsid w:val="00831437"/>
    <w:rsid w:val="0083237F"/>
    <w:rsid w:val="008328D1"/>
    <w:rsid w:val="00834FA0"/>
    <w:rsid w:val="00834FF2"/>
    <w:rsid w:val="0084311D"/>
    <w:rsid w:val="008434F1"/>
    <w:rsid w:val="00843E6B"/>
    <w:rsid w:val="008523D4"/>
    <w:rsid w:val="008539AE"/>
    <w:rsid w:val="00853B8C"/>
    <w:rsid w:val="0086125E"/>
    <w:rsid w:val="00862B11"/>
    <w:rsid w:val="00864416"/>
    <w:rsid w:val="008653DE"/>
    <w:rsid w:val="0086611F"/>
    <w:rsid w:val="008662B0"/>
    <w:rsid w:val="00867002"/>
    <w:rsid w:val="0087085A"/>
    <w:rsid w:val="008732A1"/>
    <w:rsid w:val="00874363"/>
    <w:rsid w:val="00874598"/>
    <w:rsid w:val="00875C64"/>
    <w:rsid w:val="00875E19"/>
    <w:rsid w:val="00876140"/>
    <w:rsid w:val="0088225A"/>
    <w:rsid w:val="00883193"/>
    <w:rsid w:val="008921C4"/>
    <w:rsid w:val="00892230"/>
    <w:rsid w:val="00895572"/>
    <w:rsid w:val="00896138"/>
    <w:rsid w:val="0089650D"/>
    <w:rsid w:val="00896EB2"/>
    <w:rsid w:val="00897355"/>
    <w:rsid w:val="00897969"/>
    <w:rsid w:val="00897BE1"/>
    <w:rsid w:val="008A012E"/>
    <w:rsid w:val="008A022B"/>
    <w:rsid w:val="008A52B6"/>
    <w:rsid w:val="008A7301"/>
    <w:rsid w:val="008B6E8F"/>
    <w:rsid w:val="008B7156"/>
    <w:rsid w:val="008C034D"/>
    <w:rsid w:val="008C055D"/>
    <w:rsid w:val="008C1095"/>
    <w:rsid w:val="008C2D66"/>
    <w:rsid w:val="008C79A7"/>
    <w:rsid w:val="008D0126"/>
    <w:rsid w:val="008D0BF7"/>
    <w:rsid w:val="008D12EB"/>
    <w:rsid w:val="008D1C5A"/>
    <w:rsid w:val="008D330F"/>
    <w:rsid w:val="008D33A4"/>
    <w:rsid w:val="008D3C8C"/>
    <w:rsid w:val="008D3E04"/>
    <w:rsid w:val="008D565C"/>
    <w:rsid w:val="008D6F7B"/>
    <w:rsid w:val="008E7569"/>
    <w:rsid w:val="008F0D9F"/>
    <w:rsid w:val="008F14E4"/>
    <w:rsid w:val="008F1E48"/>
    <w:rsid w:val="008F3247"/>
    <w:rsid w:val="008F398D"/>
    <w:rsid w:val="008F4043"/>
    <w:rsid w:val="008F4238"/>
    <w:rsid w:val="008F4CB0"/>
    <w:rsid w:val="00902CE8"/>
    <w:rsid w:val="00904FB4"/>
    <w:rsid w:val="009057C4"/>
    <w:rsid w:val="009074DF"/>
    <w:rsid w:val="00907D12"/>
    <w:rsid w:val="00910D00"/>
    <w:rsid w:val="00912857"/>
    <w:rsid w:val="0091309B"/>
    <w:rsid w:val="009142E1"/>
    <w:rsid w:val="00915A6F"/>
    <w:rsid w:val="00921052"/>
    <w:rsid w:val="0092183E"/>
    <w:rsid w:val="009258E5"/>
    <w:rsid w:val="00926548"/>
    <w:rsid w:val="00930E4B"/>
    <w:rsid w:val="00933A7E"/>
    <w:rsid w:val="009359E2"/>
    <w:rsid w:val="0094010C"/>
    <w:rsid w:val="009402E4"/>
    <w:rsid w:val="00940400"/>
    <w:rsid w:val="0094250B"/>
    <w:rsid w:val="0094283C"/>
    <w:rsid w:val="00946589"/>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540A"/>
    <w:rsid w:val="00970C90"/>
    <w:rsid w:val="009712EB"/>
    <w:rsid w:val="00973469"/>
    <w:rsid w:val="00974FF2"/>
    <w:rsid w:val="00977941"/>
    <w:rsid w:val="00981A6F"/>
    <w:rsid w:val="00982F2A"/>
    <w:rsid w:val="00983C0A"/>
    <w:rsid w:val="00985CF0"/>
    <w:rsid w:val="0098739E"/>
    <w:rsid w:val="00987CEE"/>
    <w:rsid w:val="00991145"/>
    <w:rsid w:val="00991CBC"/>
    <w:rsid w:val="00993C5B"/>
    <w:rsid w:val="00994B1C"/>
    <w:rsid w:val="00996471"/>
    <w:rsid w:val="00997782"/>
    <w:rsid w:val="009A1D12"/>
    <w:rsid w:val="009A1E00"/>
    <w:rsid w:val="009A3642"/>
    <w:rsid w:val="009A3A01"/>
    <w:rsid w:val="009A4B11"/>
    <w:rsid w:val="009A4B54"/>
    <w:rsid w:val="009A7302"/>
    <w:rsid w:val="009B23DC"/>
    <w:rsid w:val="009B3800"/>
    <w:rsid w:val="009B4ECA"/>
    <w:rsid w:val="009B6214"/>
    <w:rsid w:val="009B64BB"/>
    <w:rsid w:val="009B6EC5"/>
    <w:rsid w:val="009C11CF"/>
    <w:rsid w:val="009C1DA2"/>
    <w:rsid w:val="009C398F"/>
    <w:rsid w:val="009C3A16"/>
    <w:rsid w:val="009C44FD"/>
    <w:rsid w:val="009C64D2"/>
    <w:rsid w:val="009C672B"/>
    <w:rsid w:val="009D2FCA"/>
    <w:rsid w:val="009D3036"/>
    <w:rsid w:val="009D4658"/>
    <w:rsid w:val="009D7C62"/>
    <w:rsid w:val="009E0BA9"/>
    <w:rsid w:val="009E0BAB"/>
    <w:rsid w:val="009E1FE3"/>
    <w:rsid w:val="009E4120"/>
    <w:rsid w:val="009E444C"/>
    <w:rsid w:val="009E557D"/>
    <w:rsid w:val="009E5A17"/>
    <w:rsid w:val="009E5F12"/>
    <w:rsid w:val="009F239C"/>
    <w:rsid w:val="009F683B"/>
    <w:rsid w:val="009F6B76"/>
    <w:rsid w:val="00A02EAF"/>
    <w:rsid w:val="00A06D5A"/>
    <w:rsid w:val="00A119BF"/>
    <w:rsid w:val="00A12BC1"/>
    <w:rsid w:val="00A1410C"/>
    <w:rsid w:val="00A16786"/>
    <w:rsid w:val="00A23E00"/>
    <w:rsid w:val="00A24B08"/>
    <w:rsid w:val="00A24B10"/>
    <w:rsid w:val="00A2671E"/>
    <w:rsid w:val="00A26CA6"/>
    <w:rsid w:val="00A26D6F"/>
    <w:rsid w:val="00A31A8B"/>
    <w:rsid w:val="00A328A0"/>
    <w:rsid w:val="00A32EDA"/>
    <w:rsid w:val="00A3578F"/>
    <w:rsid w:val="00A40C5C"/>
    <w:rsid w:val="00A41AEE"/>
    <w:rsid w:val="00A42651"/>
    <w:rsid w:val="00A44016"/>
    <w:rsid w:val="00A459AE"/>
    <w:rsid w:val="00A51DEC"/>
    <w:rsid w:val="00A569E7"/>
    <w:rsid w:val="00A6055F"/>
    <w:rsid w:val="00A62738"/>
    <w:rsid w:val="00A62BC0"/>
    <w:rsid w:val="00A63604"/>
    <w:rsid w:val="00A65071"/>
    <w:rsid w:val="00A6593D"/>
    <w:rsid w:val="00A66718"/>
    <w:rsid w:val="00A672D7"/>
    <w:rsid w:val="00A707BA"/>
    <w:rsid w:val="00A70EB4"/>
    <w:rsid w:val="00A73A68"/>
    <w:rsid w:val="00A74195"/>
    <w:rsid w:val="00A74B2E"/>
    <w:rsid w:val="00A75A88"/>
    <w:rsid w:val="00A75D5B"/>
    <w:rsid w:val="00A76BB0"/>
    <w:rsid w:val="00A7721D"/>
    <w:rsid w:val="00A77264"/>
    <w:rsid w:val="00A77E1E"/>
    <w:rsid w:val="00A804C5"/>
    <w:rsid w:val="00A80AFC"/>
    <w:rsid w:val="00A825B7"/>
    <w:rsid w:val="00A82606"/>
    <w:rsid w:val="00A83D46"/>
    <w:rsid w:val="00A83E2A"/>
    <w:rsid w:val="00A84344"/>
    <w:rsid w:val="00A879BD"/>
    <w:rsid w:val="00A90B63"/>
    <w:rsid w:val="00A924A8"/>
    <w:rsid w:val="00A93F54"/>
    <w:rsid w:val="00A9735F"/>
    <w:rsid w:val="00AA05BC"/>
    <w:rsid w:val="00AA27C6"/>
    <w:rsid w:val="00AA4279"/>
    <w:rsid w:val="00AA43B8"/>
    <w:rsid w:val="00AA52EB"/>
    <w:rsid w:val="00AA7849"/>
    <w:rsid w:val="00AB0FF1"/>
    <w:rsid w:val="00AB1E5E"/>
    <w:rsid w:val="00AB4738"/>
    <w:rsid w:val="00AB4D91"/>
    <w:rsid w:val="00AB5BD0"/>
    <w:rsid w:val="00AB7DEA"/>
    <w:rsid w:val="00AC3664"/>
    <w:rsid w:val="00AC55F6"/>
    <w:rsid w:val="00AC6BFF"/>
    <w:rsid w:val="00AD2C10"/>
    <w:rsid w:val="00AD2CD9"/>
    <w:rsid w:val="00AD53F5"/>
    <w:rsid w:val="00AD6BC1"/>
    <w:rsid w:val="00AD708B"/>
    <w:rsid w:val="00AE0997"/>
    <w:rsid w:val="00AE25F2"/>
    <w:rsid w:val="00AE5877"/>
    <w:rsid w:val="00AE62F2"/>
    <w:rsid w:val="00AF00BD"/>
    <w:rsid w:val="00AF1B57"/>
    <w:rsid w:val="00AF1DA3"/>
    <w:rsid w:val="00AF281C"/>
    <w:rsid w:val="00AF34C2"/>
    <w:rsid w:val="00AF51FE"/>
    <w:rsid w:val="00B0168C"/>
    <w:rsid w:val="00B03967"/>
    <w:rsid w:val="00B043A9"/>
    <w:rsid w:val="00B05C27"/>
    <w:rsid w:val="00B05C98"/>
    <w:rsid w:val="00B1158B"/>
    <w:rsid w:val="00B1318C"/>
    <w:rsid w:val="00B134C8"/>
    <w:rsid w:val="00B13F7E"/>
    <w:rsid w:val="00B210BD"/>
    <w:rsid w:val="00B21998"/>
    <w:rsid w:val="00B274E8"/>
    <w:rsid w:val="00B32860"/>
    <w:rsid w:val="00B33C8E"/>
    <w:rsid w:val="00B36CC4"/>
    <w:rsid w:val="00B373F9"/>
    <w:rsid w:val="00B4105D"/>
    <w:rsid w:val="00B41652"/>
    <w:rsid w:val="00B42C27"/>
    <w:rsid w:val="00B42CAE"/>
    <w:rsid w:val="00B44A58"/>
    <w:rsid w:val="00B44E44"/>
    <w:rsid w:val="00B45292"/>
    <w:rsid w:val="00B455C0"/>
    <w:rsid w:val="00B52D61"/>
    <w:rsid w:val="00B53B61"/>
    <w:rsid w:val="00B55FC5"/>
    <w:rsid w:val="00B62631"/>
    <w:rsid w:val="00B62870"/>
    <w:rsid w:val="00B64830"/>
    <w:rsid w:val="00B70F1A"/>
    <w:rsid w:val="00B7172F"/>
    <w:rsid w:val="00B726A0"/>
    <w:rsid w:val="00B73277"/>
    <w:rsid w:val="00B73BEA"/>
    <w:rsid w:val="00B76395"/>
    <w:rsid w:val="00B82165"/>
    <w:rsid w:val="00B824B4"/>
    <w:rsid w:val="00B826B8"/>
    <w:rsid w:val="00B83713"/>
    <w:rsid w:val="00B84DA9"/>
    <w:rsid w:val="00B87561"/>
    <w:rsid w:val="00B87CDD"/>
    <w:rsid w:val="00B90C03"/>
    <w:rsid w:val="00B92B9D"/>
    <w:rsid w:val="00B943ED"/>
    <w:rsid w:val="00B96795"/>
    <w:rsid w:val="00B969EF"/>
    <w:rsid w:val="00B971FE"/>
    <w:rsid w:val="00BA38A0"/>
    <w:rsid w:val="00BA3B68"/>
    <w:rsid w:val="00BA4362"/>
    <w:rsid w:val="00BA55A8"/>
    <w:rsid w:val="00BA5651"/>
    <w:rsid w:val="00BA5D07"/>
    <w:rsid w:val="00BA606D"/>
    <w:rsid w:val="00BB127A"/>
    <w:rsid w:val="00BB1290"/>
    <w:rsid w:val="00BB297A"/>
    <w:rsid w:val="00BB4121"/>
    <w:rsid w:val="00BB4D84"/>
    <w:rsid w:val="00BC286A"/>
    <w:rsid w:val="00BC74B6"/>
    <w:rsid w:val="00BD0D53"/>
    <w:rsid w:val="00BD28D1"/>
    <w:rsid w:val="00BD56D0"/>
    <w:rsid w:val="00BD6960"/>
    <w:rsid w:val="00BD786F"/>
    <w:rsid w:val="00BE0CA7"/>
    <w:rsid w:val="00BE10ED"/>
    <w:rsid w:val="00BE207C"/>
    <w:rsid w:val="00BE3351"/>
    <w:rsid w:val="00BE3870"/>
    <w:rsid w:val="00BE79FD"/>
    <w:rsid w:val="00BF02B4"/>
    <w:rsid w:val="00BF6C99"/>
    <w:rsid w:val="00C01A3D"/>
    <w:rsid w:val="00C032E2"/>
    <w:rsid w:val="00C058E1"/>
    <w:rsid w:val="00C06264"/>
    <w:rsid w:val="00C07266"/>
    <w:rsid w:val="00C073E3"/>
    <w:rsid w:val="00C11228"/>
    <w:rsid w:val="00C11451"/>
    <w:rsid w:val="00C11C68"/>
    <w:rsid w:val="00C1237F"/>
    <w:rsid w:val="00C129D4"/>
    <w:rsid w:val="00C137DC"/>
    <w:rsid w:val="00C14406"/>
    <w:rsid w:val="00C145E6"/>
    <w:rsid w:val="00C15F10"/>
    <w:rsid w:val="00C2028F"/>
    <w:rsid w:val="00C30B07"/>
    <w:rsid w:val="00C33325"/>
    <w:rsid w:val="00C348F6"/>
    <w:rsid w:val="00C4765B"/>
    <w:rsid w:val="00C5035E"/>
    <w:rsid w:val="00C50881"/>
    <w:rsid w:val="00C55043"/>
    <w:rsid w:val="00C56618"/>
    <w:rsid w:val="00C623FE"/>
    <w:rsid w:val="00C63CD3"/>
    <w:rsid w:val="00C6572E"/>
    <w:rsid w:val="00C67D65"/>
    <w:rsid w:val="00C72AA4"/>
    <w:rsid w:val="00C73A77"/>
    <w:rsid w:val="00C74680"/>
    <w:rsid w:val="00C77462"/>
    <w:rsid w:val="00C77DB6"/>
    <w:rsid w:val="00C81796"/>
    <w:rsid w:val="00C8241D"/>
    <w:rsid w:val="00C847E1"/>
    <w:rsid w:val="00C85319"/>
    <w:rsid w:val="00C8748B"/>
    <w:rsid w:val="00C87A6A"/>
    <w:rsid w:val="00C90295"/>
    <w:rsid w:val="00C911D0"/>
    <w:rsid w:val="00C9135B"/>
    <w:rsid w:val="00C94F64"/>
    <w:rsid w:val="00C9554B"/>
    <w:rsid w:val="00C97C99"/>
    <w:rsid w:val="00CA1A4D"/>
    <w:rsid w:val="00CA2D8C"/>
    <w:rsid w:val="00CA3971"/>
    <w:rsid w:val="00CA43A1"/>
    <w:rsid w:val="00CA4EC6"/>
    <w:rsid w:val="00CA5A4F"/>
    <w:rsid w:val="00CA5DA4"/>
    <w:rsid w:val="00CA6384"/>
    <w:rsid w:val="00CA6DC8"/>
    <w:rsid w:val="00CA73DD"/>
    <w:rsid w:val="00CB04D2"/>
    <w:rsid w:val="00CB1786"/>
    <w:rsid w:val="00CB1BBF"/>
    <w:rsid w:val="00CB3A6C"/>
    <w:rsid w:val="00CB4004"/>
    <w:rsid w:val="00CB539C"/>
    <w:rsid w:val="00CB583E"/>
    <w:rsid w:val="00CC0759"/>
    <w:rsid w:val="00CC4633"/>
    <w:rsid w:val="00CC5E86"/>
    <w:rsid w:val="00CC6FD4"/>
    <w:rsid w:val="00CD01E6"/>
    <w:rsid w:val="00CD2403"/>
    <w:rsid w:val="00CD2FC1"/>
    <w:rsid w:val="00CD3581"/>
    <w:rsid w:val="00CD4FD5"/>
    <w:rsid w:val="00CD6822"/>
    <w:rsid w:val="00CE10AA"/>
    <w:rsid w:val="00CE12DB"/>
    <w:rsid w:val="00CE26E2"/>
    <w:rsid w:val="00CE3990"/>
    <w:rsid w:val="00CE4959"/>
    <w:rsid w:val="00CE6BBD"/>
    <w:rsid w:val="00CF06C5"/>
    <w:rsid w:val="00CF2803"/>
    <w:rsid w:val="00CF4562"/>
    <w:rsid w:val="00CF47ED"/>
    <w:rsid w:val="00CF4F39"/>
    <w:rsid w:val="00D02B80"/>
    <w:rsid w:val="00D06334"/>
    <w:rsid w:val="00D06EFA"/>
    <w:rsid w:val="00D076ED"/>
    <w:rsid w:val="00D109DF"/>
    <w:rsid w:val="00D10F1B"/>
    <w:rsid w:val="00D110A0"/>
    <w:rsid w:val="00D111F2"/>
    <w:rsid w:val="00D126AB"/>
    <w:rsid w:val="00D12E4B"/>
    <w:rsid w:val="00D21642"/>
    <w:rsid w:val="00D21F01"/>
    <w:rsid w:val="00D23637"/>
    <w:rsid w:val="00D24128"/>
    <w:rsid w:val="00D275F1"/>
    <w:rsid w:val="00D32016"/>
    <w:rsid w:val="00D33267"/>
    <w:rsid w:val="00D35C3D"/>
    <w:rsid w:val="00D43516"/>
    <w:rsid w:val="00D502B1"/>
    <w:rsid w:val="00D5122D"/>
    <w:rsid w:val="00D52BBD"/>
    <w:rsid w:val="00D52C9D"/>
    <w:rsid w:val="00D5420F"/>
    <w:rsid w:val="00D55A33"/>
    <w:rsid w:val="00D5776F"/>
    <w:rsid w:val="00D60D6E"/>
    <w:rsid w:val="00D6341F"/>
    <w:rsid w:val="00D63F1C"/>
    <w:rsid w:val="00D67BE0"/>
    <w:rsid w:val="00D71196"/>
    <w:rsid w:val="00D716CD"/>
    <w:rsid w:val="00D80D18"/>
    <w:rsid w:val="00D82DDE"/>
    <w:rsid w:val="00D87042"/>
    <w:rsid w:val="00D94475"/>
    <w:rsid w:val="00D9479F"/>
    <w:rsid w:val="00D963C7"/>
    <w:rsid w:val="00D96406"/>
    <w:rsid w:val="00DA1660"/>
    <w:rsid w:val="00DA18A2"/>
    <w:rsid w:val="00DA21F3"/>
    <w:rsid w:val="00DA2B77"/>
    <w:rsid w:val="00DA3A6E"/>
    <w:rsid w:val="00DA51E4"/>
    <w:rsid w:val="00DA5AAC"/>
    <w:rsid w:val="00DA5FD6"/>
    <w:rsid w:val="00DA61F2"/>
    <w:rsid w:val="00DA679D"/>
    <w:rsid w:val="00DA7A18"/>
    <w:rsid w:val="00DB0DDD"/>
    <w:rsid w:val="00DB1C44"/>
    <w:rsid w:val="00DB1D36"/>
    <w:rsid w:val="00DB6C54"/>
    <w:rsid w:val="00DC3551"/>
    <w:rsid w:val="00DC3DBA"/>
    <w:rsid w:val="00DC646E"/>
    <w:rsid w:val="00DC7066"/>
    <w:rsid w:val="00DC785A"/>
    <w:rsid w:val="00DD0AF8"/>
    <w:rsid w:val="00DD1E55"/>
    <w:rsid w:val="00DD227E"/>
    <w:rsid w:val="00DD22DA"/>
    <w:rsid w:val="00DE24BF"/>
    <w:rsid w:val="00DE2AD7"/>
    <w:rsid w:val="00DE4911"/>
    <w:rsid w:val="00DE5319"/>
    <w:rsid w:val="00DE5812"/>
    <w:rsid w:val="00DE6048"/>
    <w:rsid w:val="00DE7DD9"/>
    <w:rsid w:val="00DF4636"/>
    <w:rsid w:val="00DF66A9"/>
    <w:rsid w:val="00DF7D09"/>
    <w:rsid w:val="00E0019F"/>
    <w:rsid w:val="00E00E79"/>
    <w:rsid w:val="00E0294A"/>
    <w:rsid w:val="00E0366E"/>
    <w:rsid w:val="00E05277"/>
    <w:rsid w:val="00E11A22"/>
    <w:rsid w:val="00E11E1F"/>
    <w:rsid w:val="00E12BB5"/>
    <w:rsid w:val="00E12F5D"/>
    <w:rsid w:val="00E1612D"/>
    <w:rsid w:val="00E16E9D"/>
    <w:rsid w:val="00E16EC0"/>
    <w:rsid w:val="00E23144"/>
    <w:rsid w:val="00E24300"/>
    <w:rsid w:val="00E31028"/>
    <w:rsid w:val="00E32501"/>
    <w:rsid w:val="00E32A0C"/>
    <w:rsid w:val="00E341A2"/>
    <w:rsid w:val="00E40374"/>
    <w:rsid w:val="00E41006"/>
    <w:rsid w:val="00E41E6E"/>
    <w:rsid w:val="00E422F5"/>
    <w:rsid w:val="00E43B56"/>
    <w:rsid w:val="00E443D3"/>
    <w:rsid w:val="00E44795"/>
    <w:rsid w:val="00E448B1"/>
    <w:rsid w:val="00E465D8"/>
    <w:rsid w:val="00E467FA"/>
    <w:rsid w:val="00E50301"/>
    <w:rsid w:val="00E510D0"/>
    <w:rsid w:val="00E55CF9"/>
    <w:rsid w:val="00E568EC"/>
    <w:rsid w:val="00E5716D"/>
    <w:rsid w:val="00E57AD9"/>
    <w:rsid w:val="00E57CBD"/>
    <w:rsid w:val="00E60728"/>
    <w:rsid w:val="00E61E33"/>
    <w:rsid w:val="00E61F04"/>
    <w:rsid w:val="00E61F40"/>
    <w:rsid w:val="00E6311E"/>
    <w:rsid w:val="00E641BF"/>
    <w:rsid w:val="00E64384"/>
    <w:rsid w:val="00E64653"/>
    <w:rsid w:val="00E64C22"/>
    <w:rsid w:val="00E66C97"/>
    <w:rsid w:val="00E676EF"/>
    <w:rsid w:val="00E6781A"/>
    <w:rsid w:val="00E702C9"/>
    <w:rsid w:val="00E709F0"/>
    <w:rsid w:val="00E71AB5"/>
    <w:rsid w:val="00E720E3"/>
    <w:rsid w:val="00E721E7"/>
    <w:rsid w:val="00E77535"/>
    <w:rsid w:val="00E81ECD"/>
    <w:rsid w:val="00E82F75"/>
    <w:rsid w:val="00E843D4"/>
    <w:rsid w:val="00E867FA"/>
    <w:rsid w:val="00E95451"/>
    <w:rsid w:val="00EA3FB7"/>
    <w:rsid w:val="00EA4065"/>
    <w:rsid w:val="00EA4400"/>
    <w:rsid w:val="00EA5E72"/>
    <w:rsid w:val="00EA757A"/>
    <w:rsid w:val="00EA7AE4"/>
    <w:rsid w:val="00EB1261"/>
    <w:rsid w:val="00EB195F"/>
    <w:rsid w:val="00EB3551"/>
    <w:rsid w:val="00EB5246"/>
    <w:rsid w:val="00EB64C0"/>
    <w:rsid w:val="00EB6E02"/>
    <w:rsid w:val="00EC149A"/>
    <w:rsid w:val="00EC23C6"/>
    <w:rsid w:val="00EC3E23"/>
    <w:rsid w:val="00EC5B61"/>
    <w:rsid w:val="00EC6092"/>
    <w:rsid w:val="00EC720F"/>
    <w:rsid w:val="00ED2044"/>
    <w:rsid w:val="00ED38C8"/>
    <w:rsid w:val="00ED431A"/>
    <w:rsid w:val="00ED5153"/>
    <w:rsid w:val="00ED6682"/>
    <w:rsid w:val="00ED76CF"/>
    <w:rsid w:val="00EE10F9"/>
    <w:rsid w:val="00EE1EC6"/>
    <w:rsid w:val="00EE1FC3"/>
    <w:rsid w:val="00EE301A"/>
    <w:rsid w:val="00EE309E"/>
    <w:rsid w:val="00EE3BD0"/>
    <w:rsid w:val="00EE5418"/>
    <w:rsid w:val="00EE7677"/>
    <w:rsid w:val="00EE7866"/>
    <w:rsid w:val="00EF2A85"/>
    <w:rsid w:val="00EF4204"/>
    <w:rsid w:val="00EF5977"/>
    <w:rsid w:val="00EF7678"/>
    <w:rsid w:val="00EF77CA"/>
    <w:rsid w:val="00F00AA3"/>
    <w:rsid w:val="00F00D56"/>
    <w:rsid w:val="00F020B9"/>
    <w:rsid w:val="00F020C8"/>
    <w:rsid w:val="00F023BD"/>
    <w:rsid w:val="00F02EFA"/>
    <w:rsid w:val="00F033B0"/>
    <w:rsid w:val="00F05D92"/>
    <w:rsid w:val="00F06C44"/>
    <w:rsid w:val="00F10AE7"/>
    <w:rsid w:val="00F10CB7"/>
    <w:rsid w:val="00F10E83"/>
    <w:rsid w:val="00F11549"/>
    <w:rsid w:val="00F12180"/>
    <w:rsid w:val="00F12414"/>
    <w:rsid w:val="00F14985"/>
    <w:rsid w:val="00F17365"/>
    <w:rsid w:val="00F175E7"/>
    <w:rsid w:val="00F17E6F"/>
    <w:rsid w:val="00F20297"/>
    <w:rsid w:val="00F2057A"/>
    <w:rsid w:val="00F20AAD"/>
    <w:rsid w:val="00F24635"/>
    <w:rsid w:val="00F3085F"/>
    <w:rsid w:val="00F313BD"/>
    <w:rsid w:val="00F31910"/>
    <w:rsid w:val="00F32415"/>
    <w:rsid w:val="00F32CF0"/>
    <w:rsid w:val="00F3405C"/>
    <w:rsid w:val="00F35597"/>
    <w:rsid w:val="00F36762"/>
    <w:rsid w:val="00F37593"/>
    <w:rsid w:val="00F44CB5"/>
    <w:rsid w:val="00F45698"/>
    <w:rsid w:val="00F45F3D"/>
    <w:rsid w:val="00F4606C"/>
    <w:rsid w:val="00F52237"/>
    <w:rsid w:val="00F55D2C"/>
    <w:rsid w:val="00F5646F"/>
    <w:rsid w:val="00F565DF"/>
    <w:rsid w:val="00F574F9"/>
    <w:rsid w:val="00F6076C"/>
    <w:rsid w:val="00F60AB5"/>
    <w:rsid w:val="00F61A73"/>
    <w:rsid w:val="00F6308D"/>
    <w:rsid w:val="00F67032"/>
    <w:rsid w:val="00F67709"/>
    <w:rsid w:val="00F71A41"/>
    <w:rsid w:val="00F71DEA"/>
    <w:rsid w:val="00F73632"/>
    <w:rsid w:val="00F740C7"/>
    <w:rsid w:val="00F813CB"/>
    <w:rsid w:val="00F82804"/>
    <w:rsid w:val="00F82C58"/>
    <w:rsid w:val="00F847C4"/>
    <w:rsid w:val="00F8488C"/>
    <w:rsid w:val="00F8640E"/>
    <w:rsid w:val="00F91368"/>
    <w:rsid w:val="00F930CE"/>
    <w:rsid w:val="00F94D44"/>
    <w:rsid w:val="00F96525"/>
    <w:rsid w:val="00F97D88"/>
    <w:rsid w:val="00FA28B7"/>
    <w:rsid w:val="00FA2D87"/>
    <w:rsid w:val="00FA3A4F"/>
    <w:rsid w:val="00FA3FDE"/>
    <w:rsid w:val="00FA443F"/>
    <w:rsid w:val="00FA463D"/>
    <w:rsid w:val="00FA5961"/>
    <w:rsid w:val="00FB0D80"/>
    <w:rsid w:val="00FB24D8"/>
    <w:rsid w:val="00FB4DFA"/>
    <w:rsid w:val="00FB5E0A"/>
    <w:rsid w:val="00FB767C"/>
    <w:rsid w:val="00FC22A0"/>
    <w:rsid w:val="00FC25D9"/>
    <w:rsid w:val="00FC5E13"/>
    <w:rsid w:val="00FC6FBF"/>
    <w:rsid w:val="00FC7446"/>
    <w:rsid w:val="00FC76CB"/>
    <w:rsid w:val="00FD029D"/>
    <w:rsid w:val="00FD35EC"/>
    <w:rsid w:val="00FD4233"/>
    <w:rsid w:val="00FD7146"/>
    <w:rsid w:val="00FD7316"/>
    <w:rsid w:val="00FD7994"/>
    <w:rsid w:val="00FE0C67"/>
    <w:rsid w:val="00FE1763"/>
    <w:rsid w:val="00FE2481"/>
    <w:rsid w:val="00FE4403"/>
    <w:rsid w:val="00FE61B1"/>
    <w:rsid w:val="00FE6F86"/>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5D4F9"/>
  <w15:docId w15:val="{AFBAA5EF-421E-4F29-9D79-DD15B800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yperlink" Target="https://www.bmv.com.mx/docs-pub/eventoca/eventoca_940592_2.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ifrem.edomex.gob.mx/organigrama" TargetMode="External"/><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itchratings.com/site/pr/1010662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07EC-7A7C-4AF2-B53E-38D42FC9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28</Pages>
  <Words>8214</Words>
  <Characters>45180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Pepe</cp:lastModifiedBy>
  <cp:revision>12</cp:revision>
  <cp:lastPrinted>2020-02-04T19:01:00Z</cp:lastPrinted>
  <dcterms:created xsi:type="dcterms:W3CDTF">2020-02-01T20:42:00Z</dcterms:created>
  <dcterms:modified xsi:type="dcterms:W3CDTF">2020-02-04T19:02:00Z</dcterms:modified>
</cp:coreProperties>
</file>