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E9B" w:rsidRPr="00B36CC4" w:rsidRDefault="006E7E9B" w:rsidP="006E7E9B">
      <w:pPr>
        <w:numPr>
          <w:ilvl w:val="0"/>
          <w:numId w:val="14"/>
        </w:numPr>
        <w:spacing w:after="101" w:line="276" w:lineRule="auto"/>
        <w:ind w:right="-1"/>
        <w:jc w:val="center"/>
        <w:rPr>
          <w:rFonts w:eastAsia="Times New Roman" w:cs="Arial"/>
          <w:b/>
          <w:lang w:val="es-ES" w:eastAsia="es-ES"/>
        </w:rPr>
      </w:pPr>
      <w:r w:rsidRPr="00B36CC4">
        <w:rPr>
          <w:rFonts w:eastAsia="Times New Roman" w:cs="Arial"/>
          <w:b/>
          <w:lang w:val="es-ES" w:eastAsia="es-ES"/>
        </w:rPr>
        <w:t>NOTAS A LOS ESTADOS FINANCIEROS</w:t>
      </w:r>
    </w:p>
    <w:p w:rsidR="006E7E9B" w:rsidRPr="00B36CC4" w:rsidRDefault="006E7E9B" w:rsidP="006E7E9B">
      <w:pPr>
        <w:spacing w:line="276" w:lineRule="auto"/>
        <w:ind w:right="-1"/>
        <w:jc w:val="center"/>
        <w:outlineLvl w:val="0"/>
        <w:rPr>
          <w:b/>
        </w:rPr>
      </w:pPr>
      <w:r w:rsidRPr="00B36CC4">
        <w:rPr>
          <w:rFonts w:cs="Arial"/>
          <w:b/>
        </w:rPr>
        <w:t>(Cifras en miles de pesos)</w:t>
      </w:r>
    </w:p>
    <w:p w:rsidR="006E7E9B" w:rsidRPr="00B36CC4" w:rsidRDefault="006E7E9B" w:rsidP="006E7E9B">
      <w:pPr>
        <w:spacing w:line="276" w:lineRule="auto"/>
        <w:ind w:right="-1"/>
        <w:jc w:val="center"/>
        <w:outlineLvl w:val="0"/>
      </w:pPr>
      <w:r w:rsidRPr="00B36CC4">
        <w:rPr>
          <w:b/>
        </w:rPr>
        <w:t xml:space="preserve">Entidad: </w:t>
      </w:r>
      <w:r w:rsidRPr="00B36CC4">
        <w:rPr>
          <w:u w:val="single"/>
        </w:rPr>
        <w:t>Instituto de la Función Registral del Estado de México</w:t>
      </w:r>
      <w:r w:rsidRPr="00B36CC4">
        <w:t xml:space="preserve"> (IFREM).</w:t>
      </w:r>
    </w:p>
    <w:p w:rsidR="006E7E9B" w:rsidRPr="00B36CC4" w:rsidRDefault="006E7E9B" w:rsidP="006E7E9B">
      <w:pPr>
        <w:spacing w:line="276" w:lineRule="auto"/>
        <w:ind w:right="-1"/>
        <w:jc w:val="center"/>
        <w:outlineLvl w:val="0"/>
        <w:rPr>
          <w:u w:val="single"/>
        </w:rPr>
      </w:pPr>
      <w:r w:rsidRPr="00B36CC4">
        <w:rPr>
          <w:b/>
        </w:rPr>
        <w:t xml:space="preserve">Mes: </w:t>
      </w:r>
      <w:r>
        <w:rPr>
          <w:u w:val="single"/>
        </w:rPr>
        <w:t>Diciembre</w:t>
      </w:r>
      <w:r w:rsidRPr="00B36CC4">
        <w:t xml:space="preserve"> </w:t>
      </w:r>
      <w:r w:rsidRPr="00B36CC4">
        <w:rPr>
          <w:b/>
        </w:rPr>
        <w:t>de</w:t>
      </w:r>
      <w:r w:rsidRPr="00B36CC4">
        <w:t xml:space="preserve"> </w:t>
      </w:r>
      <w:r w:rsidRPr="00B36CC4">
        <w:rPr>
          <w:u w:val="single"/>
        </w:rPr>
        <w:t>2018.</w:t>
      </w:r>
    </w:p>
    <w:p w:rsidR="006E7E9B" w:rsidRPr="00B36CC4" w:rsidRDefault="006E7E9B" w:rsidP="006E7E9B">
      <w:pPr>
        <w:numPr>
          <w:ilvl w:val="0"/>
          <w:numId w:val="15"/>
        </w:numPr>
        <w:tabs>
          <w:tab w:val="left" w:pos="3836"/>
        </w:tabs>
        <w:spacing w:after="0" w:line="276" w:lineRule="auto"/>
        <w:ind w:left="714" w:right="-1" w:hanging="357"/>
        <w:contextualSpacing/>
        <w:outlineLvl w:val="0"/>
        <w:rPr>
          <w:rFonts w:eastAsia="Times New Roman" w:cs="Arial"/>
          <w:b/>
          <w:lang w:eastAsia="es-MX"/>
        </w:rPr>
      </w:pPr>
      <w:r w:rsidRPr="00B36CC4">
        <w:rPr>
          <w:rFonts w:eastAsia="Times New Roman" w:cs="Arial"/>
          <w:b/>
          <w:lang w:eastAsia="es-MX"/>
        </w:rPr>
        <w:t>NOTAS DE DESGLOSE:</w:t>
      </w:r>
    </w:p>
    <w:p w:rsidR="006E7E9B" w:rsidRPr="00F4606C" w:rsidRDefault="006E7E9B" w:rsidP="006E7E9B">
      <w:pPr>
        <w:tabs>
          <w:tab w:val="left" w:pos="3836"/>
        </w:tabs>
        <w:spacing w:after="0" w:line="276" w:lineRule="auto"/>
        <w:ind w:left="714" w:right="-1"/>
        <w:contextualSpacing/>
        <w:outlineLvl w:val="0"/>
        <w:rPr>
          <w:rFonts w:eastAsia="Times New Roman" w:cs="Arial"/>
          <w:b/>
          <w:sz w:val="8"/>
          <w:lang w:eastAsia="es-MX"/>
        </w:rPr>
      </w:pPr>
    </w:p>
    <w:p w:rsidR="006E7E9B" w:rsidRPr="00B36CC4" w:rsidRDefault="006E7E9B" w:rsidP="006E7E9B">
      <w:pPr>
        <w:numPr>
          <w:ilvl w:val="0"/>
          <w:numId w:val="16"/>
        </w:numPr>
        <w:spacing w:before="240" w:after="240" w:line="276" w:lineRule="auto"/>
        <w:ind w:right="-1"/>
        <w:contextualSpacing/>
        <w:outlineLvl w:val="0"/>
        <w:rPr>
          <w:rFonts w:eastAsia="Times New Roman" w:cs="Arial"/>
          <w:b/>
          <w:lang w:eastAsia="es-MX"/>
        </w:rPr>
      </w:pPr>
      <w:r w:rsidRPr="00B36CC4">
        <w:rPr>
          <w:rFonts w:eastAsia="Times New Roman" w:cs="Arial"/>
          <w:b/>
          <w:lang w:eastAsia="es-MX"/>
        </w:rPr>
        <w:t>NOTAS AL ESTADO DE SITUACIÓN FINANCIERA</w:t>
      </w:r>
    </w:p>
    <w:p w:rsidR="006E7E9B" w:rsidRPr="00F4606C" w:rsidRDefault="006E7E9B" w:rsidP="006E7E9B">
      <w:pPr>
        <w:spacing w:before="240" w:after="240" w:line="276" w:lineRule="auto"/>
        <w:ind w:right="-1"/>
        <w:outlineLvl w:val="0"/>
        <w:rPr>
          <w:rFonts w:cs="Arial"/>
          <w:b/>
        </w:rPr>
      </w:pPr>
      <w:r w:rsidRPr="00F4606C">
        <w:rPr>
          <w:rFonts w:cs="Arial"/>
          <w:b/>
        </w:rPr>
        <w:t>Activo Circulante</w:t>
      </w:r>
    </w:p>
    <w:p w:rsidR="006E7E9B" w:rsidRPr="00B36CC4" w:rsidRDefault="006E7E9B" w:rsidP="006E7E9B">
      <w:pPr>
        <w:tabs>
          <w:tab w:val="left" w:pos="3836"/>
        </w:tabs>
        <w:spacing w:line="276" w:lineRule="auto"/>
        <w:ind w:right="-1"/>
        <w:jc w:val="both"/>
        <w:rPr>
          <w:rFonts w:cs="Arial"/>
        </w:rPr>
      </w:pPr>
      <w:r w:rsidRPr="00B36CC4">
        <w:rPr>
          <w:rFonts w:cs="Arial"/>
          <w:b/>
        </w:rPr>
        <w:t xml:space="preserve">Efectivo y Equivalentes. - </w:t>
      </w:r>
      <w:r>
        <w:rPr>
          <w:rFonts w:cs="Arial"/>
        </w:rPr>
        <w:t xml:space="preserve">El saldo de </w:t>
      </w:r>
      <w:r w:rsidR="00BA5651" w:rsidRPr="003807BD">
        <w:rPr>
          <w:rFonts w:cs="Arial"/>
        </w:rPr>
        <w:t>185 millones 633.5</w:t>
      </w:r>
      <w:r w:rsidRPr="00B36CC4">
        <w:rPr>
          <w:rFonts w:cs="Arial"/>
        </w:rPr>
        <w:t xml:space="preserve"> mil</w:t>
      </w:r>
      <w:r>
        <w:rPr>
          <w:rFonts w:cs="Arial"/>
        </w:rPr>
        <w:t>es de</w:t>
      </w:r>
      <w:r w:rsidRPr="00B36CC4">
        <w:rPr>
          <w:rFonts w:cs="Arial"/>
        </w:rPr>
        <w:t xml:space="preserve"> pesos, se integra con las siguientes cuentas:</w:t>
      </w:r>
    </w:p>
    <w:p w:rsidR="006E7E9B" w:rsidRPr="00B36CC4" w:rsidRDefault="006E7E9B" w:rsidP="006E7E9B">
      <w:pPr>
        <w:numPr>
          <w:ilvl w:val="0"/>
          <w:numId w:val="1"/>
        </w:numPr>
        <w:spacing w:line="276" w:lineRule="auto"/>
        <w:ind w:right="-1"/>
        <w:jc w:val="both"/>
        <w:rPr>
          <w:rFonts w:cs="Arial"/>
        </w:rPr>
      </w:pPr>
      <w:r w:rsidRPr="00B36CC4">
        <w:rPr>
          <w:rFonts w:cs="Arial"/>
          <w:b/>
        </w:rPr>
        <w:t xml:space="preserve">Efectivo. - </w:t>
      </w:r>
      <w:r w:rsidRPr="00B36CC4">
        <w:rPr>
          <w:rFonts w:cs="Arial"/>
        </w:rPr>
        <w:t>El saldo de 33 mil pesos, es el importe de efectivo disponible para solventar gastos menores y cubrir necesidades urgentes de gasto corriente que se requieran en las oficinas administrativas de la Dirección General.</w:t>
      </w:r>
      <w:r w:rsidRPr="00CA4209">
        <w:t xml:space="preserve"> </w:t>
      </w:r>
    </w:p>
    <w:p w:rsidR="006E7E9B" w:rsidRPr="008115EC" w:rsidRDefault="006E7E9B" w:rsidP="006E7E9B">
      <w:pPr>
        <w:numPr>
          <w:ilvl w:val="0"/>
          <w:numId w:val="1"/>
        </w:numPr>
        <w:spacing w:after="0" w:line="276" w:lineRule="auto"/>
        <w:ind w:right="-1"/>
        <w:jc w:val="both"/>
        <w:rPr>
          <w:rFonts w:cs="Arial"/>
          <w:b/>
        </w:rPr>
      </w:pPr>
      <w:r w:rsidRPr="00B36CC4">
        <w:rPr>
          <w:rFonts w:cs="Arial"/>
          <w:b/>
        </w:rPr>
        <w:t xml:space="preserve">Bancos/Tesorería. - </w:t>
      </w:r>
      <w:r>
        <w:rPr>
          <w:rFonts w:cs="Arial"/>
        </w:rPr>
        <w:t>El saldo de 10 millones 260.3</w:t>
      </w:r>
      <w:r w:rsidRPr="00B36CC4">
        <w:rPr>
          <w:rFonts w:cs="Arial"/>
        </w:rPr>
        <w:t xml:space="preserve"> mil</w:t>
      </w:r>
      <w:r>
        <w:rPr>
          <w:rFonts w:cs="Arial"/>
        </w:rPr>
        <w:t>es de</w:t>
      </w:r>
      <w:r w:rsidRPr="00B36CC4">
        <w:rPr>
          <w:rFonts w:cs="Arial"/>
        </w:rPr>
        <w:t xml:space="preserve"> pesos, refleja la disponibilidad financiera, para cubrir los gastos por las necesidades de la operación y de inversión, con la finalidad de cumplir con los compromisos de pago en tiempo y forma. La relación de cuentas productivas especificas es la siguiente:</w:t>
      </w:r>
    </w:p>
    <w:p w:rsidR="00F4606C" w:rsidRDefault="009142E1" w:rsidP="009142E1">
      <w:pPr>
        <w:spacing w:after="0" w:line="276" w:lineRule="auto"/>
        <w:ind w:left="360" w:right="-1"/>
        <w:contextualSpacing/>
        <w:rPr>
          <w:rFonts w:eastAsia="Times New Roman" w:cs="Arial"/>
          <w:b/>
          <w:sz w:val="24"/>
          <w:szCs w:val="24"/>
          <w:lang w:eastAsia="es-MX"/>
        </w:rPr>
      </w:pPr>
      <w:r>
        <w:rPr>
          <w:rFonts w:eastAsia="Times New Roman" w:cs="Arial"/>
          <w:b/>
          <w:noProof/>
          <w:sz w:val="24"/>
          <w:szCs w:val="24"/>
          <w:lang w:eastAsia="es-MX"/>
        </w:rPr>
        <w:drawing>
          <wp:anchor distT="0" distB="0" distL="114300" distR="114300" simplePos="0" relativeHeight="251678208" behindDoc="1" locked="0" layoutInCell="1" allowOverlap="1" wp14:anchorId="30AC81D8" wp14:editId="64FE02F3">
            <wp:simplePos x="0" y="0"/>
            <wp:positionH relativeFrom="column">
              <wp:posOffset>256540</wp:posOffset>
            </wp:positionH>
            <wp:positionV relativeFrom="paragraph">
              <wp:posOffset>64770</wp:posOffset>
            </wp:positionV>
            <wp:extent cx="6048375" cy="43243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JPG"/>
                    <pic:cNvPicPr/>
                  </pic:nvPicPr>
                  <pic:blipFill>
                    <a:blip r:embed="rId8">
                      <a:extLst>
                        <a:ext uri="{28A0092B-C50C-407E-A947-70E740481C1C}">
                          <a14:useLocalDpi xmlns:a14="http://schemas.microsoft.com/office/drawing/2010/main" val="0"/>
                        </a:ext>
                      </a:extLst>
                    </a:blip>
                    <a:stretch>
                      <a:fillRect/>
                    </a:stretch>
                  </pic:blipFill>
                  <pic:spPr>
                    <a:xfrm>
                      <a:off x="0" y="0"/>
                      <a:ext cx="6048375" cy="4324350"/>
                    </a:xfrm>
                    <a:prstGeom prst="rect">
                      <a:avLst/>
                    </a:prstGeom>
                  </pic:spPr>
                </pic:pic>
              </a:graphicData>
            </a:graphic>
            <wp14:sizeRelH relativeFrom="page">
              <wp14:pctWidth>0</wp14:pctWidth>
            </wp14:sizeRelH>
            <wp14:sizeRelV relativeFrom="page">
              <wp14:pctHeight>0</wp14:pctHeight>
            </wp14:sizeRelV>
          </wp:anchor>
        </w:drawing>
      </w: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9142E1" w:rsidRDefault="009142E1" w:rsidP="00F11549">
      <w:pPr>
        <w:spacing w:after="0" w:line="276" w:lineRule="auto"/>
        <w:ind w:right="-1"/>
        <w:contextualSpacing/>
        <w:rPr>
          <w:rFonts w:eastAsia="Times New Roman" w:cs="Arial"/>
          <w:b/>
          <w:sz w:val="24"/>
          <w:szCs w:val="24"/>
          <w:lang w:eastAsia="es-MX"/>
        </w:rPr>
      </w:pPr>
    </w:p>
    <w:p w:rsidR="00276066" w:rsidRPr="00B36CC4" w:rsidRDefault="00276066" w:rsidP="00F11549">
      <w:pPr>
        <w:spacing w:after="0" w:line="276" w:lineRule="auto"/>
        <w:ind w:right="-1"/>
        <w:contextualSpacing/>
        <w:rPr>
          <w:rFonts w:eastAsia="Times New Roman" w:cs="Arial"/>
          <w:b/>
          <w:sz w:val="24"/>
          <w:szCs w:val="24"/>
          <w:lang w:eastAsia="es-MX"/>
        </w:rPr>
      </w:pPr>
    </w:p>
    <w:p w:rsidR="000A3DA3" w:rsidRPr="00276066" w:rsidRDefault="006E7E9B" w:rsidP="00276066">
      <w:pPr>
        <w:numPr>
          <w:ilvl w:val="0"/>
          <w:numId w:val="1"/>
        </w:numPr>
        <w:spacing w:after="0" w:line="276" w:lineRule="auto"/>
        <w:ind w:right="-1"/>
        <w:jc w:val="both"/>
        <w:rPr>
          <w:rFonts w:cs="Arial"/>
          <w:b/>
        </w:rPr>
      </w:pPr>
      <w:r w:rsidRPr="00B36CC4">
        <w:rPr>
          <w:rFonts w:cs="Arial"/>
          <w:b/>
        </w:rPr>
        <w:t>Inversiones Temporales (Hasta 3 meses).-</w:t>
      </w:r>
      <w:r>
        <w:rPr>
          <w:rFonts w:cs="Arial"/>
        </w:rPr>
        <w:t xml:space="preserve"> El saldo es por 175 millones 340.</w:t>
      </w:r>
      <w:r w:rsidR="00C67D65">
        <w:rPr>
          <w:rFonts w:cs="Arial"/>
        </w:rPr>
        <w:t>2</w:t>
      </w:r>
      <w:r w:rsidRPr="00B36CC4">
        <w:rPr>
          <w:rFonts w:cs="Arial"/>
        </w:rPr>
        <w:t xml:space="preserve"> mil</w:t>
      </w:r>
      <w:r>
        <w:rPr>
          <w:rFonts w:cs="Arial"/>
        </w:rPr>
        <w:t>es de</w:t>
      </w:r>
      <w:r w:rsidRPr="00B36CC4">
        <w:rPr>
          <w:rFonts w:cs="Arial"/>
        </w:rPr>
        <w:t xml:space="preserve"> pesos, refleja los depósitos bancarios a la vista para tener disponibilidades financieras en instrumentos de renta fija y poder cubrir con oportunidad los gastos de operación y de inversión del Instituto. Los intereses se registran en Otros Ingresos Financieros.</w:t>
      </w:r>
    </w:p>
    <w:p w:rsidR="000A3DA3" w:rsidRDefault="000A3DA3" w:rsidP="002D109B">
      <w:pPr>
        <w:spacing w:after="0" w:line="276" w:lineRule="auto"/>
        <w:ind w:left="360" w:right="-1"/>
        <w:jc w:val="center"/>
        <w:rPr>
          <w:rFonts w:cs="Arial"/>
          <w:b/>
        </w:rPr>
      </w:pPr>
    </w:p>
    <w:p w:rsidR="002D109B" w:rsidRPr="00B36CC4" w:rsidRDefault="00CB539C" w:rsidP="002D109B">
      <w:pPr>
        <w:spacing w:after="0" w:line="276" w:lineRule="auto"/>
        <w:ind w:left="360" w:right="-1"/>
        <w:jc w:val="center"/>
        <w:rPr>
          <w:rFonts w:cs="Arial"/>
          <w:b/>
        </w:rPr>
      </w:pPr>
      <w:r w:rsidRPr="00CB539C">
        <w:rPr>
          <w:noProof/>
          <w:lang w:eastAsia="es-MX"/>
        </w:rPr>
        <w:drawing>
          <wp:inline distT="0" distB="0" distL="0" distR="0">
            <wp:extent cx="5017135" cy="962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135" cy="962025"/>
                    </a:xfrm>
                    <a:prstGeom prst="rect">
                      <a:avLst/>
                    </a:prstGeom>
                    <a:noFill/>
                    <a:ln>
                      <a:noFill/>
                    </a:ln>
                  </pic:spPr>
                </pic:pic>
              </a:graphicData>
            </a:graphic>
          </wp:inline>
        </w:drawing>
      </w:r>
    </w:p>
    <w:p w:rsidR="002D109B" w:rsidRDefault="002D109B" w:rsidP="002D109B">
      <w:pPr>
        <w:tabs>
          <w:tab w:val="left" w:pos="639"/>
          <w:tab w:val="left" w:pos="3836"/>
        </w:tabs>
        <w:spacing w:before="240" w:line="276" w:lineRule="auto"/>
        <w:ind w:right="-1"/>
        <w:jc w:val="both"/>
        <w:rPr>
          <w:rFonts w:cs="Arial"/>
        </w:rPr>
      </w:pPr>
      <w:r w:rsidRPr="00064186">
        <w:rPr>
          <w:rFonts w:cs="Arial"/>
          <w:b/>
        </w:rPr>
        <w:t>Derecho a Recibir Efectivo o Equivalentes</w:t>
      </w:r>
      <w:r w:rsidRPr="00B36CC4">
        <w:rPr>
          <w:rFonts w:cs="Arial"/>
          <w:b/>
        </w:rPr>
        <w:t xml:space="preserve">. - </w:t>
      </w:r>
      <w:r>
        <w:rPr>
          <w:rFonts w:cs="Arial"/>
        </w:rPr>
        <w:t>El saldo de mil</w:t>
      </w:r>
      <w:r w:rsidRPr="00B36CC4">
        <w:rPr>
          <w:rFonts w:cs="Arial"/>
        </w:rPr>
        <w:t xml:space="preserve"> pesos se integra de las siguientes cuentas:</w:t>
      </w:r>
    </w:p>
    <w:p w:rsidR="002D109B" w:rsidRPr="00026EBB" w:rsidRDefault="002D109B" w:rsidP="00026EBB">
      <w:pPr>
        <w:pStyle w:val="Prrafodelista"/>
        <w:numPr>
          <w:ilvl w:val="0"/>
          <w:numId w:val="1"/>
        </w:numPr>
        <w:tabs>
          <w:tab w:val="left" w:pos="639"/>
          <w:tab w:val="left" w:pos="3836"/>
        </w:tabs>
        <w:spacing w:before="240" w:line="276" w:lineRule="auto"/>
        <w:ind w:right="-1"/>
        <w:jc w:val="both"/>
        <w:rPr>
          <w:rFonts w:ascii="HelveticaNeueLT Std" w:eastAsiaTheme="minorHAnsi" w:hAnsi="HelveticaNeueLT Std" w:cs="Arial"/>
          <w:sz w:val="20"/>
          <w:szCs w:val="20"/>
          <w:lang w:eastAsia="en-US"/>
        </w:rPr>
      </w:pPr>
      <w:r w:rsidRPr="009A3A01">
        <w:rPr>
          <w:rFonts w:ascii="HelveticaNeueLT Std" w:eastAsiaTheme="minorHAnsi" w:hAnsi="HelveticaNeueLT Std" w:cs="Arial"/>
          <w:b/>
          <w:sz w:val="20"/>
          <w:szCs w:val="20"/>
          <w:lang w:eastAsia="en-US"/>
        </w:rPr>
        <w:t xml:space="preserve">Cuentas por Cobrar a Corto Plazo. </w:t>
      </w:r>
      <w:r w:rsidR="00026EBB">
        <w:rPr>
          <w:rFonts w:ascii="HelveticaNeueLT Std" w:eastAsiaTheme="minorHAnsi" w:hAnsi="HelveticaNeueLT Std" w:cs="Arial"/>
          <w:b/>
          <w:sz w:val="20"/>
          <w:szCs w:val="20"/>
          <w:lang w:eastAsia="en-US"/>
        </w:rPr>
        <w:t>–</w:t>
      </w:r>
      <w:r w:rsidRPr="009A3A01">
        <w:rPr>
          <w:rFonts w:ascii="HelveticaNeueLT Std" w:eastAsiaTheme="minorHAnsi" w:hAnsi="HelveticaNeueLT Std" w:cs="Arial"/>
          <w:sz w:val="20"/>
          <w:szCs w:val="20"/>
          <w:lang w:eastAsia="en-US"/>
        </w:rPr>
        <w:t xml:space="preserve"> </w:t>
      </w:r>
      <w:r w:rsidR="00BA5651">
        <w:rPr>
          <w:rFonts w:ascii="HelveticaNeueLT Std" w:eastAsiaTheme="minorHAnsi" w:hAnsi="HelveticaNeueLT Std" w:cs="Arial"/>
          <w:sz w:val="20"/>
          <w:szCs w:val="20"/>
          <w:lang w:eastAsia="en-US"/>
        </w:rPr>
        <w:t>El saldo de esta cuenta esta en “0”, l</w:t>
      </w:r>
      <w:r w:rsidR="00026EBB">
        <w:rPr>
          <w:rFonts w:ascii="HelveticaNeueLT Std" w:eastAsiaTheme="minorHAnsi" w:hAnsi="HelveticaNeueLT Std" w:cs="Arial"/>
          <w:sz w:val="20"/>
          <w:szCs w:val="20"/>
          <w:lang w:eastAsia="en-US"/>
        </w:rPr>
        <w:t xml:space="preserve">a variación de 2 millones 761.6 miles de pesos corresponde al depósito del GEM, por el </w:t>
      </w:r>
      <w:r w:rsidR="00026EBB" w:rsidRPr="009A3A01">
        <w:rPr>
          <w:rFonts w:ascii="HelveticaNeueLT Std" w:eastAsiaTheme="minorHAnsi" w:hAnsi="HelveticaNeueLT Std" w:cs="Arial"/>
          <w:sz w:val="20"/>
          <w:szCs w:val="20"/>
          <w:lang w:eastAsia="en-US"/>
        </w:rPr>
        <w:t xml:space="preserve">por el Programa de Regularización de Tenencia de la Tierra cuya fuente de financiamiento </w:t>
      </w:r>
      <w:r w:rsidR="00DC3551">
        <w:rPr>
          <w:rFonts w:ascii="HelveticaNeueLT Std" w:eastAsiaTheme="minorHAnsi" w:hAnsi="HelveticaNeueLT Std" w:cs="Arial"/>
          <w:sz w:val="20"/>
          <w:szCs w:val="20"/>
          <w:lang w:eastAsia="en-US"/>
        </w:rPr>
        <w:t xml:space="preserve">corresponde al </w:t>
      </w:r>
      <w:r w:rsidR="00026EBB" w:rsidRPr="009A3A01">
        <w:rPr>
          <w:rFonts w:ascii="HelveticaNeueLT Std" w:eastAsiaTheme="minorHAnsi" w:hAnsi="HelveticaNeueLT Std" w:cs="Arial"/>
          <w:sz w:val="20"/>
          <w:szCs w:val="20"/>
          <w:lang w:eastAsia="en-US"/>
        </w:rPr>
        <w:t>Programa de Acciones para el Desarrollo (PAD).</w:t>
      </w:r>
    </w:p>
    <w:p w:rsidR="002D109B" w:rsidRPr="00B36CC4" w:rsidRDefault="002D109B" w:rsidP="002D109B">
      <w:pPr>
        <w:spacing w:after="0" w:line="276" w:lineRule="auto"/>
        <w:ind w:left="360" w:right="-1"/>
        <w:jc w:val="both"/>
        <w:rPr>
          <w:rFonts w:cs="Arial"/>
          <w:b/>
        </w:rPr>
      </w:pPr>
    </w:p>
    <w:p w:rsidR="002D109B" w:rsidRPr="0069079F" w:rsidRDefault="002D109B" w:rsidP="002D109B">
      <w:pPr>
        <w:numPr>
          <w:ilvl w:val="0"/>
          <w:numId w:val="1"/>
        </w:numPr>
        <w:spacing w:after="0" w:line="276" w:lineRule="auto"/>
        <w:ind w:right="-1"/>
        <w:jc w:val="both"/>
        <w:rPr>
          <w:rFonts w:cs="Arial"/>
          <w:b/>
        </w:rPr>
      </w:pPr>
      <w:r w:rsidRPr="00180232">
        <w:rPr>
          <w:rFonts w:cs="Arial"/>
          <w:b/>
        </w:rPr>
        <w:t>Deudores Diversos. -</w:t>
      </w:r>
      <w:r w:rsidRPr="00180232">
        <w:rPr>
          <w:rFonts w:cs="Arial"/>
        </w:rPr>
        <w:t xml:space="preserve"> El saldo de</w:t>
      </w:r>
      <w:r>
        <w:rPr>
          <w:rFonts w:cs="Arial"/>
        </w:rPr>
        <w:t xml:space="preserve"> mil</w:t>
      </w:r>
      <w:r w:rsidRPr="00180232">
        <w:rPr>
          <w:rFonts w:cs="Arial"/>
        </w:rPr>
        <w:t xml:space="preserve"> pesos, correspondientes a las solicitudes de gastos a comprobar de los Servidores Públicos por los gastos a realizar en cumplimiento de sus actividades</w:t>
      </w:r>
      <w:r>
        <w:rPr>
          <w:rFonts w:cs="Arial"/>
        </w:rPr>
        <w:t>.</w:t>
      </w:r>
    </w:p>
    <w:p w:rsidR="0069079F" w:rsidRDefault="0069079F" w:rsidP="0069079F">
      <w:pPr>
        <w:pStyle w:val="Prrafodelista"/>
        <w:rPr>
          <w:rFonts w:cs="Arial"/>
          <w:b/>
        </w:rPr>
      </w:pPr>
    </w:p>
    <w:p w:rsidR="002D109B" w:rsidRDefault="00026EBB" w:rsidP="00026EBB">
      <w:pPr>
        <w:pStyle w:val="Prrafodelista"/>
        <w:jc w:val="center"/>
        <w:rPr>
          <w:rFonts w:cs="Arial"/>
          <w:b/>
        </w:rPr>
      </w:pPr>
      <w:r w:rsidRPr="00026EBB">
        <w:rPr>
          <w:noProof/>
        </w:rPr>
        <w:drawing>
          <wp:inline distT="0" distB="0" distL="0" distR="0">
            <wp:extent cx="5341620" cy="1137102"/>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051" cy="1149115"/>
                    </a:xfrm>
                    <a:prstGeom prst="rect">
                      <a:avLst/>
                    </a:prstGeom>
                    <a:noFill/>
                    <a:ln>
                      <a:noFill/>
                    </a:ln>
                  </pic:spPr>
                </pic:pic>
              </a:graphicData>
            </a:graphic>
          </wp:inline>
        </w:drawing>
      </w:r>
    </w:p>
    <w:p w:rsidR="002D109B" w:rsidRPr="000C08D7" w:rsidRDefault="002D109B" w:rsidP="002D109B">
      <w:pPr>
        <w:spacing w:after="0" w:line="276" w:lineRule="auto"/>
        <w:ind w:left="360" w:right="-1"/>
        <w:jc w:val="center"/>
        <w:rPr>
          <w:rFonts w:cs="Arial"/>
          <w:b/>
        </w:rPr>
      </w:pPr>
    </w:p>
    <w:p w:rsidR="002D109B" w:rsidRPr="00896138" w:rsidRDefault="002D109B" w:rsidP="002D109B">
      <w:pPr>
        <w:tabs>
          <w:tab w:val="left" w:pos="639"/>
          <w:tab w:val="left" w:pos="3836"/>
        </w:tabs>
        <w:spacing w:before="240" w:line="276" w:lineRule="auto"/>
        <w:ind w:right="-1"/>
        <w:jc w:val="both"/>
        <w:rPr>
          <w:rFonts w:cs="Arial"/>
        </w:rPr>
      </w:pPr>
      <w:r w:rsidRPr="00896138">
        <w:rPr>
          <w:rFonts w:cs="Arial"/>
          <w:b/>
        </w:rPr>
        <w:t>Derecho a Recibir Bienes o Servicios</w:t>
      </w:r>
      <w:r w:rsidRPr="00896138">
        <w:rPr>
          <w:rFonts w:cs="Arial"/>
        </w:rPr>
        <w:t xml:space="preserve">. </w:t>
      </w:r>
      <w:r w:rsidR="00753983">
        <w:rPr>
          <w:rFonts w:cs="Arial"/>
        </w:rPr>
        <w:t>–</w:t>
      </w:r>
      <w:r w:rsidRPr="00896138">
        <w:rPr>
          <w:rFonts w:cs="Arial"/>
        </w:rPr>
        <w:t xml:space="preserve"> </w:t>
      </w:r>
      <w:r w:rsidR="00753983">
        <w:rPr>
          <w:rFonts w:cs="Arial"/>
        </w:rPr>
        <w:t xml:space="preserve">La variación de </w:t>
      </w:r>
      <w:r w:rsidR="00F44CB5">
        <w:rPr>
          <w:rFonts w:cs="Arial"/>
        </w:rPr>
        <w:t>7 millones 670.2 miles de pesos</w:t>
      </w:r>
      <w:r>
        <w:rPr>
          <w:rFonts w:cs="Arial"/>
        </w:rPr>
        <w:t xml:space="preserve">, </w:t>
      </w:r>
      <w:r w:rsidR="00F44CB5">
        <w:rPr>
          <w:rFonts w:cs="Arial"/>
        </w:rPr>
        <w:t xml:space="preserve">se refleja en la </w:t>
      </w:r>
      <w:r w:rsidR="00F44CB5" w:rsidRPr="00896138">
        <w:rPr>
          <w:rFonts w:cs="Arial"/>
        </w:rPr>
        <w:t>siguiente</w:t>
      </w:r>
      <w:r w:rsidRPr="00896138">
        <w:rPr>
          <w:rFonts w:cs="Arial"/>
        </w:rPr>
        <w:t xml:space="preserve"> cuenta:</w:t>
      </w:r>
    </w:p>
    <w:p w:rsidR="002D109B" w:rsidRPr="00896138" w:rsidRDefault="002D109B" w:rsidP="002D109B">
      <w:pPr>
        <w:numPr>
          <w:ilvl w:val="0"/>
          <w:numId w:val="1"/>
        </w:numPr>
        <w:spacing w:after="0" w:line="276" w:lineRule="auto"/>
        <w:ind w:right="-1"/>
        <w:jc w:val="both"/>
        <w:rPr>
          <w:rFonts w:cs="Arial"/>
          <w:b/>
        </w:rPr>
      </w:pPr>
      <w:r w:rsidRPr="00896138">
        <w:rPr>
          <w:rFonts w:cs="Arial"/>
          <w:b/>
        </w:rPr>
        <w:t xml:space="preserve">Anticipo a Contratistas por Obras Públicas. </w:t>
      </w:r>
      <w:r w:rsidR="00F44CB5">
        <w:rPr>
          <w:rFonts w:cs="Arial"/>
        </w:rPr>
        <w:t xml:space="preserve">En este mes que se analiza se realizó la aplicación total de la amortización del </w:t>
      </w:r>
      <w:r w:rsidRPr="00896138">
        <w:rPr>
          <w:rFonts w:cs="Arial"/>
        </w:rPr>
        <w:t xml:space="preserve">anticipo </w:t>
      </w:r>
      <w:r w:rsidR="00F44CB5">
        <w:rPr>
          <w:rFonts w:cs="Arial"/>
        </w:rPr>
        <w:t>por el</w:t>
      </w:r>
      <w:r w:rsidRPr="00896138">
        <w:rPr>
          <w:rFonts w:cs="Arial"/>
        </w:rPr>
        <w:t xml:space="preserve"> proyecto “Construcción y Equipamiento de la Segunda Etapa del Archivo General de Notarías (Obra Nueva)</w:t>
      </w:r>
      <w:r w:rsidR="00F44CB5">
        <w:rPr>
          <w:rFonts w:cs="Arial"/>
        </w:rPr>
        <w:t>”</w:t>
      </w:r>
      <w:r w:rsidRPr="00896138">
        <w:rPr>
          <w:rFonts w:cs="Arial"/>
        </w:rPr>
        <w:t>.</w:t>
      </w:r>
    </w:p>
    <w:p w:rsidR="00DC3551" w:rsidRDefault="00DC3551" w:rsidP="002D109B">
      <w:pPr>
        <w:spacing w:after="0" w:line="276" w:lineRule="auto"/>
        <w:ind w:right="-1"/>
        <w:jc w:val="both"/>
        <w:rPr>
          <w:rFonts w:cs="Arial"/>
          <w:b/>
        </w:rPr>
      </w:pPr>
    </w:p>
    <w:p w:rsidR="003042BB" w:rsidRDefault="003042BB" w:rsidP="002D109B">
      <w:pPr>
        <w:spacing w:after="0" w:line="276" w:lineRule="auto"/>
        <w:ind w:right="-1"/>
        <w:jc w:val="both"/>
        <w:rPr>
          <w:rFonts w:cs="Arial"/>
          <w:b/>
        </w:rPr>
      </w:pPr>
    </w:p>
    <w:p w:rsidR="00F11549" w:rsidRDefault="00F11549" w:rsidP="002D109B">
      <w:pPr>
        <w:spacing w:after="0" w:line="276" w:lineRule="auto"/>
        <w:ind w:right="-1"/>
        <w:jc w:val="both"/>
        <w:rPr>
          <w:rFonts w:cs="Arial"/>
          <w:b/>
        </w:rPr>
      </w:pPr>
    </w:p>
    <w:p w:rsidR="00F11549" w:rsidRDefault="00F11549" w:rsidP="002D109B">
      <w:pPr>
        <w:spacing w:after="0" w:line="276" w:lineRule="auto"/>
        <w:ind w:right="-1"/>
        <w:jc w:val="both"/>
        <w:rPr>
          <w:rFonts w:cs="Arial"/>
          <w:b/>
        </w:rPr>
      </w:pPr>
    </w:p>
    <w:p w:rsidR="00F11549" w:rsidRDefault="00F11549" w:rsidP="002D109B">
      <w:pPr>
        <w:spacing w:after="0" w:line="276" w:lineRule="auto"/>
        <w:ind w:right="-1"/>
        <w:jc w:val="both"/>
        <w:rPr>
          <w:rFonts w:cs="Arial"/>
          <w:b/>
        </w:rPr>
      </w:pPr>
    </w:p>
    <w:p w:rsidR="00F11549" w:rsidRDefault="00F11549" w:rsidP="002D109B">
      <w:pPr>
        <w:spacing w:after="0" w:line="276" w:lineRule="auto"/>
        <w:ind w:right="-1"/>
        <w:jc w:val="both"/>
        <w:rPr>
          <w:rFonts w:cs="Arial"/>
          <w:b/>
        </w:rPr>
      </w:pPr>
    </w:p>
    <w:p w:rsidR="00FD4233" w:rsidRDefault="00FD4233" w:rsidP="002D109B">
      <w:pPr>
        <w:spacing w:after="0" w:line="276" w:lineRule="auto"/>
        <w:ind w:right="-1"/>
        <w:jc w:val="both"/>
        <w:rPr>
          <w:rFonts w:cs="Arial"/>
          <w:b/>
        </w:rPr>
      </w:pPr>
    </w:p>
    <w:p w:rsidR="00F11549" w:rsidRDefault="00F11549" w:rsidP="002D109B">
      <w:pPr>
        <w:spacing w:after="0" w:line="276" w:lineRule="auto"/>
        <w:ind w:right="-1"/>
        <w:jc w:val="both"/>
        <w:rPr>
          <w:rFonts w:cs="Arial"/>
          <w:b/>
        </w:rPr>
      </w:pPr>
    </w:p>
    <w:p w:rsidR="00F44CB5" w:rsidRDefault="00F44CB5" w:rsidP="002D109B">
      <w:pPr>
        <w:spacing w:after="0" w:line="276" w:lineRule="auto"/>
        <w:ind w:right="-1"/>
        <w:jc w:val="both"/>
        <w:rPr>
          <w:rFonts w:cs="Arial"/>
          <w:b/>
        </w:rPr>
      </w:pPr>
    </w:p>
    <w:p w:rsidR="00F4606C" w:rsidRDefault="00F4606C" w:rsidP="002D109B">
      <w:pPr>
        <w:spacing w:after="0" w:line="276" w:lineRule="auto"/>
        <w:ind w:right="-1"/>
        <w:jc w:val="both"/>
        <w:rPr>
          <w:rFonts w:cs="Arial"/>
          <w:b/>
        </w:rPr>
      </w:pPr>
    </w:p>
    <w:p w:rsidR="002D109B" w:rsidRDefault="002D109B" w:rsidP="002D109B">
      <w:pPr>
        <w:spacing w:after="0" w:line="276" w:lineRule="auto"/>
        <w:ind w:right="-1"/>
        <w:jc w:val="both"/>
        <w:rPr>
          <w:rFonts w:cs="Arial"/>
          <w:b/>
        </w:rPr>
      </w:pPr>
      <w:r w:rsidRPr="00B36CC4">
        <w:rPr>
          <w:rFonts w:cs="Arial"/>
          <w:b/>
        </w:rPr>
        <w:t>Activo No Circulante</w:t>
      </w:r>
    </w:p>
    <w:p w:rsidR="002D109B" w:rsidRPr="00B36CC4" w:rsidRDefault="002D109B" w:rsidP="002D109B">
      <w:pPr>
        <w:spacing w:after="0" w:line="276" w:lineRule="auto"/>
        <w:ind w:right="-1"/>
        <w:jc w:val="both"/>
        <w:rPr>
          <w:rFonts w:cs="Arial"/>
          <w:b/>
        </w:rPr>
      </w:pPr>
    </w:p>
    <w:p w:rsidR="002D109B" w:rsidRPr="00B36CC4" w:rsidRDefault="002D109B" w:rsidP="002D109B">
      <w:pPr>
        <w:tabs>
          <w:tab w:val="left" w:pos="3836"/>
        </w:tabs>
        <w:spacing w:line="276" w:lineRule="auto"/>
        <w:ind w:right="-1"/>
        <w:jc w:val="both"/>
        <w:rPr>
          <w:rFonts w:cs="Arial"/>
          <w:b/>
        </w:rPr>
      </w:pPr>
      <w:r w:rsidRPr="00B36CC4">
        <w:rPr>
          <w:rFonts w:cs="Arial"/>
          <w:b/>
        </w:rPr>
        <w:t xml:space="preserve">Inversiones Financieras a Largo Plazo. - </w:t>
      </w:r>
      <w:r w:rsidRPr="00B36CC4">
        <w:rPr>
          <w:rFonts w:cs="Arial"/>
        </w:rPr>
        <w:t>El saldo se integra con la siguiente cuenta</w:t>
      </w:r>
      <w:r w:rsidRPr="00B36CC4">
        <w:rPr>
          <w:rFonts w:cs="Arial"/>
          <w:b/>
        </w:rPr>
        <w:t>:</w:t>
      </w:r>
    </w:p>
    <w:p w:rsidR="002D109B" w:rsidRPr="00530C8F" w:rsidRDefault="002D109B" w:rsidP="002D109B">
      <w:pPr>
        <w:numPr>
          <w:ilvl w:val="0"/>
          <w:numId w:val="1"/>
        </w:numPr>
        <w:spacing w:after="0" w:line="276" w:lineRule="auto"/>
        <w:ind w:right="-1"/>
        <w:jc w:val="both"/>
        <w:rPr>
          <w:rFonts w:cs="Arial"/>
          <w:b/>
        </w:rPr>
      </w:pPr>
      <w:r w:rsidRPr="00530C8F">
        <w:rPr>
          <w:rFonts w:cs="Arial"/>
          <w:b/>
        </w:rPr>
        <w:t>Fideicomisos, Mandatos y Contratos Análogos. -</w:t>
      </w:r>
      <w:r w:rsidRPr="00530C8F">
        <w:rPr>
          <w:rFonts w:cs="Arial"/>
        </w:rPr>
        <w:t xml:space="preserve"> El s</w:t>
      </w:r>
      <w:r>
        <w:rPr>
          <w:rFonts w:cs="Arial"/>
        </w:rPr>
        <w:t>aldo de esta cuenta al mes que se analiza es por 4 mil 342 millones 607.4 miles de pesos, que</w:t>
      </w:r>
      <w:r w:rsidRPr="00530C8F">
        <w:rPr>
          <w:rFonts w:cs="Arial"/>
        </w:rPr>
        <w:t xml:space="preserve"> refleja los recursos en el Fideicomiso de </w:t>
      </w:r>
      <w:r w:rsidRPr="009A3A01">
        <w:rPr>
          <w:rFonts w:cs="Arial"/>
        </w:rPr>
        <w:t>Cob</w:t>
      </w:r>
      <w:r>
        <w:rPr>
          <w:rFonts w:cs="Arial"/>
        </w:rPr>
        <w:t>ranza</w:t>
      </w:r>
      <w:r w:rsidRPr="009A3A01">
        <w:rPr>
          <w:rFonts w:cs="Arial"/>
        </w:rPr>
        <w:t xml:space="preserve"> transferidos</w:t>
      </w:r>
      <w:r>
        <w:rPr>
          <w:rFonts w:cs="Arial"/>
        </w:rPr>
        <w:t xml:space="preserve"> que corresponden al </w:t>
      </w:r>
      <w:r w:rsidRPr="009A3A01">
        <w:rPr>
          <w:rFonts w:cs="Arial"/>
        </w:rPr>
        <w:t xml:space="preserve">RPP por 4 mil </w:t>
      </w:r>
      <w:r>
        <w:rPr>
          <w:rFonts w:cs="Arial"/>
        </w:rPr>
        <w:t>338 millones 660.1</w:t>
      </w:r>
      <w:r w:rsidRPr="009A3A01">
        <w:rPr>
          <w:rFonts w:cs="Arial"/>
        </w:rPr>
        <w:t xml:space="preserve"> mil</w:t>
      </w:r>
      <w:r>
        <w:rPr>
          <w:rFonts w:cs="Arial"/>
        </w:rPr>
        <w:t>es de</w:t>
      </w:r>
      <w:r w:rsidRPr="009A3A01">
        <w:rPr>
          <w:rFonts w:cs="Arial"/>
        </w:rPr>
        <w:t xml:space="preserve"> pesos y </w:t>
      </w:r>
      <w:r>
        <w:rPr>
          <w:rFonts w:cs="Arial"/>
        </w:rPr>
        <w:t>al</w:t>
      </w:r>
      <w:r w:rsidRPr="009A3A01">
        <w:rPr>
          <w:rFonts w:cs="Arial"/>
        </w:rPr>
        <w:t xml:space="preserve"> RPC </w:t>
      </w:r>
      <w:r>
        <w:rPr>
          <w:rFonts w:cs="Arial"/>
        </w:rPr>
        <w:t>por 3 millones 947.3</w:t>
      </w:r>
      <w:r w:rsidRPr="009A3A01">
        <w:rPr>
          <w:rFonts w:cs="Arial"/>
        </w:rPr>
        <w:t xml:space="preserve"> miles de pesos.</w:t>
      </w:r>
    </w:p>
    <w:p w:rsidR="002D109B" w:rsidRPr="00530C8F" w:rsidRDefault="002D109B" w:rsidP="002D109B">
      <w:pPr>
        <w:spacing w:after="0" w:line="276" w:lineRule="auto"/>
        <w:ind w:left="360" w:right="-1"/>
        <w:jc w:val="both"/>
        <w:rPr>
          <w:rFonts w:cs="Arial"/>
          <w:b/>
        </w:rPr>
      </w:pPr>
    </w:p>
    <w:p w:rsidR="002D109B" w:rsidRPr="00BF526C" w:rsidRDefault="002D109B" w:rsidP="002D109B">
      <w:pPr>
        <w:spacing w:line="276" w:lineRule="auto"/>
        <w:ind w:right="-1"/>
        <w:jc w:val="both"/>
        <w:rPr>
          <w:rFonts w:cs="Arial"/>
          <w:b/>
        </w:rPr>
      </w:pPr>
      <w:r w:rsidRPr="00BF526C">
        <w:rPr>
          <w:rFonts w:cs="Arial"/>
          <w:b/>
        </w:rPr>
        <w:t>Bienes Muebles, Inmuebles e Intangibles</w:t>
      </w:r>
    </w:p>
    <w:p w:rsidR="002D109B" w:rsidRPr="00BF526C" w:rsidRDefault="002D109B" w:rsidP="002D109B">
      <w:pPr>
        <w:numPr>
          <w:ilvl w:val="0"/>
          <w:numId w:val="1"/>
        </w:numPr>
        <w:spacing w:after="0" w:line="276" w:lineRule="auto"/>
        <w:ind w:right="-1"/>
        <w:jc w:val="both"/>
        <w:rPr>
          <w:rFonts w:cs="Arial"/>
          <w:b/>
        </w:rPr>
      </w:pPr>
      <w:r w:rsidRPr="00BF526C">
        <w:rPr>
          <w:rFonts w:cs="Arial"/>
          <w:b/>
        </w:rPr>
        <w:t>Los bienes muebles e inmuebles.</w:t>
      </w:r>
      <w:r w:rsidRPr="00BF526C">
        <w:rPr>
          <w:rFonts w:cs="Arial"/>
        </w:rPr>
        <w:t xml:space="preserve"> -</w:t>
      </w:r>
      <w:r w:rsidRPr="00BF526C">
        <w:rPr>
          <w:rFonts w:cs="Arial"/>
          <w:b/>
        </w:rPr>
        <w:t xml:space="preserve"> </w:t>
      </w:r>
      <w:r w:rsidRPr="00BF526C">
        <w:rPr>
          <w:rFonts w:cs="Arial"/>
        </w:rPr>
        <w:t>A la fecha de estas notas presentaron un valor</w:t>
      </w:r>
      <w:r w:rsidR="005B3276">
        <w:rPr>
          <w:rFonts w:cs="Arial"/>
        </w:rPr>
        <w:t xml:space="preserve"> histórico de 272 millones 166.6</w:t>
      </w:r>
      <w:r w:rsidRPr="00BF526C">
        <w:rPr>
          <w:rFonts w:cs="Arial"/>
        </w:rPr>
        <w:t xml:space="preserve"> miles de pesos, cabe precisar que en septiembre se realizó la </w:t>
      </w:r>
      <w:r w:rsidR="005B3276" w:rsidRPr="00BF526C">
        <w:rPr>
          <w:rFonts w:cs="Arial"/>
        </w:rPr>
        <w:t>baja de</w:t>
      </w:r>
      <w:r w:rsidRPr="00BF526C">
        <w:rPr>
          <w:rFonts w:cs="Arial"/>
        </w:rPr>
        <w:t xml:space="preserve"> 7 millones 776.2 miles de pesos, la depreciación acumulada al mes actual fue de 126 millones 444.3 miles de pesos y se afecta contra el resultado del ejercicio por la modificación de la aportación patrimonial, por lo que se determinó un valor neto</w:t>
      </w:r>
      <w:r w:rsidR="005B3276">
        <w:rPr>
          <w:rFonts w:cs="Arial"/>
        </w:rPr>
        <w:t xml:space="preserve"> en libros de 145 millones 722.3</w:t>
      </w:r>
      <w:r w:rsidRPr="00BF526C">
        <w:rPr>
          <w:rFonts w:cs="Arial"/>
        </w:rPr>
        <w:t xml:space="preserve"> miles de pesos, de acuerdo al siguiente:</w:t>
      </w:r>
    </w:p>
    <w:p w:rsidR="002D109B" w:rsidRPr="00BF526C" w:rsidRDefault="002D109B" w:rsidP="002D109B">
      <w:pPr>
        <w:spacing w:after="0" w:line="276" w:lineRule="auto"/>
        <w:ind w:right="-1"/>
        <w:jc w:val="both"/>
        <w:rPr>
          <w:rFonts w:cs="Arial"/>
          <w:b/>
        </w:rPr>
      </w:pPr>
    </w:p>
    <w:p w:rsidR="002D109B" w:rsidRPr="00EE7CAA" w:rsidRDefault="002D109B" w:rsidP="002D109B">
      <w:pPr>
        <w:spacing w:after="0" w:line="276" w:lineRule="auto"/>
        <w:ind w:right="-1"/>
        <w:jc w:val="both"/>
        <w:rPr>
          <w:rFonts w:cs="Arial"/>
          <w:b/>
        </w:rPr>
      </w:pPr>
      <w:r w:rsidRPr="00EE7CAA">
        <w:rPr>
          <w:rFonts w:cs="Arial"/>
        </w:rPr>
        <w:t xml:space="preserve"> Análisis de Movimientos del Activo No Circulante y su Depreciación:</w:t>
      </w:r>
    </w:p>
    <w:p w:rsidR="002D109B" w:rsidRPr="00EE7CAA" w:rsidRDefault="002D109B" w:rsidP="002D109B">
      <w:pPr>
        <w:spacing w:after="0" w:line="276" w:lineRule="auto"/>
        <w:ind w:left="360" w:right="-1"/>
        <w:jc w:val="both"/>
        <w:rPr>
          <w:rFonts w:cs="Arial"/>
          <w:b/>
        </w:rPr>
      </w:pPr>
    </w:p>
    <w:p w:rsidR="00B53B61" w:rsidRDefault="005B3276" w:rsidP="00FD4233">
      <w:pPr>
        <w:spacing w:after="0" w:line="276" w:lineRule="auto"/>
        <w:ind w:left="360" w:right="-1" w:hanging="360"/>
        <w:rPr>
          <w:rFonts w:cs="Arial"/>
          <w:b/>
        </w:rPr>
      </w:pPr>
      <w:r w:rsidRPr="005B3276">
        <w:rPr>
          <w:noProof/>
          <w:lang w:eastAsia="es-MX"/>
        </w:rPr>
        <w:drawing>
          <wp:inline distT="0" distB="0" distL="0" distR="0">
            <wp:extent cx="6388100" cy="32194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666" cy="3220239"/>
                    </a:xfrm>
                    <a:prstGeom prst="rect">
                      <a:avLst/>
                    </a:prstGeom>
                    <a:noFill/>
                    <a:ln>
                      <a:noFill/>
                    </a:ln>
                  </pic:spPr>
                </pic:pic>
              </a:graphicData>
            </a:graphic>
          </wp:inline>
        </w:drawing>
      </w:r>
    </w:p>
    <w:p w:rsidR="00FD4233" w:rsidRDefault="00FD4233" w:rsidP="00FD4233">
      <w:pPr>
        <w:spacing w:after="0" w:line="276" w:lineRule="auto"/>
        <w:ind w:left="360" w:right="-1" w:hanging="360"/>
        <w:rPr>
          <w:rFonts w:cs="Arial"/>
          <w:b/>
        </w:rPr>
      </w:pPr>
    </w:p>
    <w:p w:rsidR="002D109B" w:rsidRPr="00B455C0" w:rsidRDefault="002D109B" w:rsidP="002D109B">
      <w:pPr>
        <w:spacing w:line="276" w:lineRule="auto"/>
        <w:ind w:right="-1"/>
        <w:jc w:val="both"/>
        <w:outlineLvl w:val="0"/>
        <w:rPr>
          <w:rFonts w:cs="Arial"/>
        </w:rPr>
      </w:pPr>
      <w:r>
        <w:rPr>
          <w:rFonts w:cs="Arial"/>
          <w:b/>
        </w:rPr>
        <w:t xml:space="preserve">Otros Activos Diferidos. - </w:t>
      </w:r>
      <w:r w:rsidRPr="00B455C0">
        <w:rPr>
          <w:rFonts w:cs="Arial"/>
        </w:rPr>
        <w:t>El saldo de 79.8 miles de pesos, se integra por la siguiente cuenta:</w:t>
      </w:r>
    </w:p>
    <w:p w:rsidR="00CA4EC6" w:rsidRPr="00B53B61" w:rsidRDefault="002D109B" w:rsidP="00B53B61">
      <w:pPr>
        <w:numPr>
          <w:ilvl w:val="0"/>
          <w:numId w:val="1"/>
        </w:numPr>
        <w:spacing w:after="0" w:line="276" w:lineRule="auto"/>
        <w:ind w:right="-1"/>
        <w:jc w:val="both"/>
        <w:rPr>
          <w:rFonts w:cs="Arial"/>
          <w:b/>
        </w:rPr>
      </w:pPr>
      <w:r>
        <w:rPr>
          <w:rFonts w:cs="Arial"/>
          <w:b/>
        </w:rPr>
        <w:t xml:space="preserve">Depósitos en Garantía.- </w:t>
      </w:r>
      <w:r w:rsidRPr="00B455C0">
        <w:rPr>
          <w:rFonts w:cs="Arial"/>
        </w:rPr>
        <w:t>Su saldo representa principalmente los depósitos que se han otorgado a la Compañía de Luz (CFE), para otorgar el servicio de energía eléctrica</w:t>
      </w:r>
      <w:r>
        <w:rPr>
          <w:rFonts w:cs="Arial"/>
        </w:rPr>
        <w:t>.</w:t>
      </w:r>
    </w:p>
    <w:p w:rsidR="00B53B61" w:rsidRDefault="00B53B61" w:rsidP="00B53B61">
      <w:pPr>
        <w:spacing w:after="0" w:line="276" w:lineRule="auto"/>
        <w:ind w:left="360" w:right="-1"/>
        <w:jc w:val="both"/>
        <w:rPr>
          <w:rFonts w:cs="Arial"/>
          <w:b/>
        </w:rPr>
      </w:pPr>
    </w:p>
    <w:p w:rsidR="00FD4233" w:rsidRDefault="00FD4233" w:rsidP="00B53B61">
      <w:pPr>
        <w:spacing w:after="0" w:line="276" w:lineRule="auto"/>
        <w:ind w:left="360" w:right="-1"/>
        <w:jc w:val="both"/>
        <w:rPr>
          <w:rFonts w:cs="Arial"/>
          <w:b/>
        </w:rPr>
      </w:pPr>
    </w:p>
    <w:p w:rsidR="00FD4233" w:rsidRPr="00B53B61" w:rsidRDefault="00FD4233" w:rsidP="00276066">
      <w:pPr>
        <w:spacing w:after="0" w:line="276" w:lineRule="auto"/>
        <w:ind w:right="-1"/>
        <w:jc w:val="both"/>
        <w:rPr>
          <w:rFonts w:cs="Arial"/>
          <w:b/>
        </w:rPr>
      </w:pPr>
    </w:p>
    <w:p w:rsidR="002D109B" w:rsidRPr="00B36CC4" w:rsidRDefault="002D109B" w:rsidP="002D109B">
      <w:pPr>
        <w:spacing w:line="276" w:lineRule="auto"/>
        <w:ind w:right="-1"/>
        <w:jc w:val="both"/>
        <w:outlineLvl w:val="0"/>
        <w:rPr>
          <w:rFonts w:cs="Arial"/>
          <w:b/>
        </w:rPr>
      </w:pPr>
      <w:r w:rsidRPr="00B36CC4">
        <w:rPr>
          <w:rFonts w:cs="Arial"/>
          <w:b/>
        </w:rPr>
        <w:t>Pasivo Circulante</w:t>
      </w:r>
    </w:p>
    <w:p w:rsidR="00B53B61" w:rsidRPr="008F0D9F" w:rsidRDefault="002D109B" w:rsidP="002D109B">
      <w:pPr>
        <w:spacing w:line="276" w:lineRule="auto"/>
        <w:ind w:right="-1"/>
        <w:jc w:val="both"/>
        <w:outlineLvl w:val="0"/>
        <w:rPr>
          <w:rFonts w:cs="Arial"/>
        </w:rPr>
      </w:pPr>
      <w:r w:rsidRPr="008F0D9F">
        <w:rPr>
          <w:rFonts w:cs="Arial"/>
          <w:b/>
        </w:rPr>
        <w:t xml:space="preserve">Cuentas por Pagar a Corto Plazo: </w:t>
      </w:r>
      <w:r>
        <w:rPr>
          <w:rFonts w:cs="Arial"/>
        </w:rPr>
        <w:t xml:space="preserve">El saldo de este rubro por </w:t>
      </w:r>
      <w:r w:rsidR="00792CCB">
        <w:rPr>
          <w:rFonts w:cs="Arial"/>
        </w:rPr>
        <w:t>18</w:t>
      </w:r>
      <w:r w:rsidRPr="008F0D9F">
        <w:rPr>
          <w:rFonts w:cs="Arial"/>
        </w:rPr>
        <w:t xml:space="preserve"> millones</w:t>
      </w:r>
      <w:r>
        <w:rPr>
          <w:rFonts w:cs="Arial"/>
        </w:rPr>
        <w:t xml:space="preserve"> </w:t>
      </w:r>
      <w:r w:rsidR="00792CCB">
        <w:rPr>
          <w:rFonts w:cs="Arial"/>
        </w:rPr>
        <w:t>361.9</w:t>
      </w:r>
      <w:r w:rsidRPr="008F0D9F">
        <w:rPr>
          <w:rFonts w:cs="Arial"/>
        </w:rPr>
        <w:t xml:space="preserve"> miles de pesos, se integra de la forma y con la antigüedad de saldos siguientes:</w:t>
      </w:r>
    </w:p>
    <w:p w:rsidR="00B53B61" w:rsidRPr="00B36CC4" w:rsidRDefault="00F44CB5" w:rsidP="00276066">
      <w:pPr>
        <w:spacing w:line="276" w:lineRule="auto"/>
        <w:ind w:right="-1"/>
        <w:jc w:val="center"/>
        <w:outlineLvl w:val="0"/>
        <w:rPr>
          <w:rFonts w:cs="Arial"/>
        </w:rPr>
      </w:pPr>
      <w:r w:rsidRPr="00F44CB5">
        <w:rPr>
          <w:noProof/>
          <w:lang w:eastAsia="es-MX"/>
        </w:rPr>
        <w:drawing>
          <wp:inline distT="0" distB="0" distL="0" distR="0">
            <wp:extent cx="4695825" cy="7334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825" cy="733425"/>
                    </a:xfrm>
                    <a:prstGeom prst="rect">
                      <a:avLst/>
                    </a:prstGeom>
                    <a:noFill/>
                    <a:ln>
                      <a:noFill/>
                    </a:ln>
                  </pic:spPr>
                </pic:pic>
              </a:graphicData>
            </a:graphic>
          </wp:inline>
        </w:drawing>
      </w:r>
    </w:p>
    <w:p w:rsidR="002D109B" w:rsidRDefault="002D109B" w:rsidP="002D109B">
      <w:pPr>
        <w:numPr>
          <w:ilvl w:val="0"/>
          <w:numId w:val="1"/>
        </w:numPr>
        <w:spacing w:after="0" w:line="240" w:lineRule="auto"/>
        <w:contextualSpacing/>
        <w:jc w:val="both"/>
        <w:rPr>
          <w:rFonts w:eastAsia="Times New Roman" w:cs="Times New Roman"/>
          <w:color w:val="000000"/>
          <w:lang w:eastAsia="es-MX"/>
        </w:rPr>
      </w:pPr>
      <w:r w:rsidRPr="00B36CC4">
        <w:rPr>
          <w:rFonts w:eastAsia="Times New Roman" w:cs="Arial"/>
          <w:b/>
          <w:lang w:eastAsia="es-MX"/>
        </w:rPr>
        <w:t>Proveedores por Pagar a Corto Plazo. -</w:t>
      </w:r>
      <w:r>
        <w:rPr>
          <w:rFonts w:eastAsia="Times New Roman" w:cs="Arial"/>
          <w:lang w:eastAsia="es-MX"/>
        </w:rPr>
        <w:t xml:space="preserve"> El saldo de </w:t>
      </w:r>
      <w:r w:rsidR="00792CCB">
        <w:rPr>
          <w:rFonts w:eastAsia="Times New Roman" w:cs="Arial"/>
          <w:lang w:eastAsia="es-MX"/>
        </w:rPr>
        <w:t>2</w:t>
      </w:r>
      <w:r>
        <w:rPr>
          <w:rFonts w:eastAsia="Times New Roman" w:cs="Arial"/>
          <w:lang w:eastAsia="es-MX"/>
        </w:rPr>
        <w:t xml:space="preserve"> millones </w:t>
      </w:r>
      <w:r w:rsidR="00792CCB">
        <w:rPr>
          <w:rFonts w:eastAsia="Times New Roman" w:cs="Arial"/>
          <w:lang w:eastAsia="es-MX"/>
        </w:rPr>
        <w:t>366.9</w:t>
      </w:r>
      <w:r w:rsidRPr="00B36CC4">
        <w:rPr>
          <w:rFonts w:eastAsia="Times New Roman" w:cs="Arial"/>
          <w:lang w:eastAsia="es-MX"/>
        </w:rPr>
        <w:t xml:space="preserve"> miles de pesos, representa el importe de las obligaciones de pago, principalmente en los rubros de: “Servicios Adm</w:t>
      </w:r>
      <w:r>
        <w:rPr>
          <w:rFonts w:eastAsia="Times New Roman" w:cs="Arial"/>
          <w:lang w:eastAsia="es-MX"/>
        </w:rPr>
        <w:t>inistrativos Básicos” (</w:t>
      </w:r>
      <w:proofErr w:type="spellStart"/>
      <w:r>
        <w:rPr>
          <w:rFonts w:eastAsia="Times New Roman" w:cs="Arial"/>
          <w:lang w:eastAsia="es-MX"/>
        </w:rPr>
        <w:t>Alestra</w:t>
      </w:r>
      <w:proofErr w:type="spellEnd"/>
      <w:r>
        <w:rPr>
          <w:rFonts w:eastAsia="Times New Roman" w:cs="Arial"/>
          <w:lang w:eastAsia="es-MX"/>
        </w:rPr>
        <w:t xml:space="preserve"> S. de R.L de C.V</w:t>
      </w:r>
      <w:r w:rsidRPr="00B36CC4">
        <w:rPr>
          <w:rFonts w:eastAsia="Times New Roman" w:cs="Arial"/>
          <w:lang w:eastAsia="es-MX"/>
        </w:rPr>
        <w:t>, Axtel, S.A.B de C.V</w:t>
      </w:r>
      <w:r>
        <w:rPr>
          <w:rFonts w:eastAsia="Times New Roman" w:cs="Arial"/>
          <w:lang w:eastAsia="es-MX"/>
        </w:rPr>
        <w:t xml:space="preserve"> y CFE Suministrador de Servicios Básicos)</w:t>
      </w:r>
      <w:r w:rsidRPr="00B36CC4">
        <w:rPr>
          <w:rFonts w:eastAsia="Times New Roman" w:cs="Times New Roman"/>
          <w:color w:val="000000"/>
          <w:lang w:eastAsia="es-MX"/>
        </w:rPr>
        <w:t>.</w:t>
      </w:r>
    </w:p>
    <w:p w:rsidR="00753983" w:rsidRDefault="00753983" w:rsidP="00753983">
      <w:pPr>
        <w:spacing w:after="0" w:line="240" w:lineRule="auto"/>
        <w:ind w:left="360"/>
        <w:contextualSpacing/>
        <w:jc w:val="both"/>
        <w:rPr>
          <w:rFonts w:eastAsia="Times New Roman" w:cs="Times New Roman"/>
          <w:color w:val="000000"/>
          <w:lang w:eastAsia="es-MX"/>
        </w:rPr>
      </w:pPr>
    </w:p>
    <w:p w:rsidR="00753983" w:rsidRPr="00753983" w:rsidRDefault="00753983" w:rsidP="00753983">
      <w:pPr>
        <w:numPr>
          <w:ilvl w:val="0"/>
          <w:numId w:val="1"/>
        </w:numPr>
        <w:spacing w:after="0" w:line="240" w:lineRule="auto"/>
        <w:contextualSpacing/>
        <w:jc w:val="both"/>
        <w:rPr>
          <w:rFonts w:eastAsia="Times New Roman" w:cs="Times New Roman"/>
          <w:color w:val="000000"/>
          <w:lang w:eastAsia="es-MX"/>
        </w:rPr>
      </w:pPr>
      <w:r w:rsidRPr="00753983">
        <w:rPr>
          <w:rFonts w:eastAsia="Times New Roman" w:cs="Times New Roman"/>
          <w:b/>
          <w:color w:val="000000"/>
          <w:lang w:eastAsia="es-MX"/>
        </w:rPr>
        <w:t xml:space="preserve">Contratistas por Obras Públicas por Pagar a Corto Plazo.- </w:t>
      </w:r>
      <w:r w:rsidRPr="00753983">
        <w:rPr>
          <w:rFonts w:eastAsia="Times New Roman" w:cs="Times New Roman"/>
          <w:color w:val="000000"/>
          <w:lang w:eastAsia="es-MX"/>
        </w:rPr>
        <w:t xml:space="preserve">El saldo de 11 millones 311.8 miles de pesos, corresponde a la obra en proceso de la “Construcción y Equipamiento de la Segunda Etapa del Archivo General de Notaría (Obra Nueva)” </w:t>
      </w:r>
    </w:p>
    <w:p w:rsidR="00753983" w:rsidRDefault="00753983" w:rsidP="00753983">
      <w:pPr>
        <w:spacing w:after="0" w:line="240" w:lineRule="auto"/>
        <w:contextualSpacing/>
        <w:jc w:val="both"/>
        <w:rPr>
          <w:rFonts w:eastAsia="Times New Roman" w:cs="Times New Roman"/>
          <w:color w:val="000000"/>
          <w:lang w:eastAsia="es-MX"/>
        </w:rPr>
      </w:pPr>
    </w:p>
    <w:p w:rsidR="002D109B" w:rsidRPr="00B36CC4" w:rsidRDefault="002D109B" w:rsidP="002D109B">
      <w:pPr>
        <w:numPr>
          <w:ilvl w:val="0"/>
          <w:numId w:val="1"/>
        </w:numPr>
        <w:spacing w:after="0" w:line="276" w:lineRule="auto"/>
        <w:ind w:right="-1"/>
        <w:contextualSpacing/>
        <w:jc w:val="both"/>
        <w:rPr>
          <w:rFonts w:eastAsia="Times New Roman" w:cs="Arial"/>
          <w:lang w:eastAsia="es-MX"/>
        </w:rPr>
      </w:pPr>
      <w:r w:rsidRPr="00B36CC4">
        <w:rPr>
          <w:rFonts w:eastAsia="Times New Roman" w:cs="Arial"/>
          <w:b/>
          <w:lang w:eastAsia="es-MX"/>
        </w:rPr>
        <w:t>Retenciones y Contribuciones por Pagar a Corto Plazo. -</w:t>
      </w:r>
      <w:r>
        <w:rPr>
          <w:rFonts w:eastAsia="Times New Roman" w:cs="Arial"/>
          <w:lang w:eastAsia="es-MX"/>
        </w:rPr>
        <w:t xml:space="preserve"> El saldo de </w:t>
      </w:r>
      <w:r w:rsidR="00F44CB5">
        <w:rPr>
          <w:rFonts w:eastAsia="Times New Roman" w:cs="Arial"/>
          <w:lang w:eastAsia="es-MX"/>
        </w:rPr>
        <w:t>752</w:t>
      </w:r>
      <w:r w:rsidRPr="00586800">
        <w:rPr>
          <w:rFonts w:eastAsia="Times New Roman" w:cs="Arial"/>
          <w:lang w:eastAsia="es-MX"/>
        </w:rPr>
        <w:t>.1 miles de pesos, representa el importe de las retenciones pendientes de pago principalmente por las retenciones</w:t>
      </w:r>
      <w:r w:rsidRPr="00B36CC4">
        <w:rPr>
          <w:rFonts w:eastAsia="Times New Roman" w:cs="Arial"/>
          <w:lang w:eastAsia="es-MX"/>
        </w:rPr>
        <w:t xml:space="preserve"> de</w:t>
      </w:r>
      <w:r w:rsidR="00F44CB5">
        <w:rPr>
          <w:rFonts w:eastAsia="Times New Roman" w:cs="Arial"/>
          <w:lang w:eastAsia="es-MX"/>
        </w:rPr>
        <w:t xml:space="preserve"> las obras en proceso</w:t>
      </w:r>
      <w:r w:rsidRPr="00B36CC4">
        <w:rPr>
          <w:rFonts w:eastAsia="Times New Roman" w:cs="Arial"/>
          <w:lang w:eastAsia="es-MX"/>
        </w:rPr>
        <w:t>.</w:t>
      </w:r>
    </w:p>
    <w:p w:rsidR="002D109B" w:rsidRPr="00B36CC4" w:rsidRDefault="002D109B" w:rsidP="002D109B">
      <w:pPr>
        <w:spacing w:after="0" w:line="240" w:lineRule="auto"/>
        <w:contextualSpacing/>
        <w:jc w:val="both"/>
        <w:rPr>
          <w:rFonts w:eastAsia="Times New Roman" w:cs="Arial"/>
          <w:sz w:val="24"/>
          <w:szCs w:val="24"/>
          <w:lang w:eastAsia="es-MX"/>
        </w:rPr>
      </w:pPr>
    </w:p>
    <w:p w:rsidR="002D109B" w:rsidRPr="00ED1901" w:rsidRDefault="002D109B" w:rsidP="002D109B">
      <w:pPr>
        <w:numPr>
          <w:ilvl w:val="0"/>
          <w:numId w:val="1"/>
        </w:numPr>
        <w:spacing w:after="0" w:line="276" w:lineRule="auto"/>
        <w:ind w:right="-1"/>
        <w:jc w:val="both"/>
        <w:rPr>
          <w:rFonts w:cs="Arial"/>
        </w:rPr>
      </w:pPr>
      <w:r w:rsidRPr="00B36CC4">
        <w:rPr>
          <w:rFonts w:cs="Arial"/>
          <w:b/>
        </w:rPr>
        <w:t>Otras Cuentas por Pagar a Corto Plazo. -</w:t>
      </w:r>
      <w:r>
        <w:rPr>
          <w:rFonts w:cs="Arial"/>
        </w:rPr>
        <w:t xml:space="preserve"> El saldo </w:t>
      </w:r>
      <w:r w:rsidRPr="00A02A3D">
        <w:rPr>
          <w:rFonts w:cs="Arial"/>
        </w:rPr>
        <w:t xml:space="preserve">de 3 millones </w:t>
      </w:r>
      <w:r w:rsidR="001F1FF9">
        <w:rPr>
          <w:rFonts w:cs="Arial"/>
        </w:rPr>
        <w:t>931</w:t>
      </w:r>
      <w:r w:rsidRPr="00A02A3D">
        <w:rPr>
          <w:rFonts w:cs="Arial"/>
        </w:rPr>
        <w:t>.</w:t>
      </w:r>
      <w:r w:rsidR="001F1FF9">
        <w:rPr>
          <w:rFonts w:cs="Arial"/>
        </w:rPr>
        <w:t>1</w:t>
      </w:r>
      <w:r w:rsidRPr="00A02A3D">
        <w:rPr>
          <w:rFonts w:cs="Arial"/>
        </w:rPr>
        <w:t xml:space="preserve"> miles</w:t>
      </w:r>
      <w:r w:rsidRPr="00ED1901">
        <w:rPr>
          <w:rFonts w:cs="Arial"/>
        </w:rPr>
        <w:t xml:space="preserve"> de pesos en este mes, representa principalmente finiquitos al personal y retenciones de pago, devolución de ingresos indebidos</w:t>
      </w:r>
      <w:r w:rsidR="001F1FF9">
        <w:rPr>
          <w:rFonts w:cs="Arial"/>
        </w:rPr>
        <w:t xml:space="preserve"> y el saldo por pagar al Gobierno del Estado por 715.7 miles de pesos</w:t>
      </w:r>
      <w:r w:rsidRPr="00ED1901">
        <w:rPr>
          <w:rFonts w:cs="Arial"/>
        </w:rPr>
        <w:t>.</w:t>
      </w:r>
    </w:p>
    <w:p w:rsidR="002D109B" w:rsidRPr="00B36CC4" w:rsidRDefault="002D109B" w:rsidP="002D109B">
      <w:pPr>
        <w:spacing w:after="0" w:line="276" w:lineRule="auto"/>
        <w:ind w:right="-1"/>
        <w:jc w:val="both"/>
        <w:rPr>
          <w:rFonts w:cs="Arial"/>
          <w:b/>
        </w:rPr>
      </w:pPr>
    </w:p>
    <w:p w:rsidR="002D109B" w:rsidRPr="00B36CC4" w:rsidRDefault="002D109B" w:rsidP="002D109B">
      <w:pPr>
        <w:spacing w:line="276" w:lineRule="auto"/>
        <w:ind w:right="-1"/>
        <w:jc w:val="both"/>
        <w:outlineLvl w:val="0"/>
        <w:rPr>
          <w:rFonts w:cs="Arial"/>
          <w:b/>
        </w:rPr>
      </w:pPr>
      <w:r w:rsidRPr="00B36CC4">
        <w:rPr>
          <w:rFonts w:cs="Arial"/>
          <w:b/>
        </w:rPr>
        <w:t>Pasivo No Circulante</w:t>
      </w:r>
    </w:p>
    <w:p w:rsidR="002D109B" w:rsidRPr="00B36CC4" w:rsidRDefault="002D109B" w:rsidP="002D109B">
      <w:pPr>
        <w:numPr>
          <w:ilvl w:val="0"/>
          <w:numId w:val="1"/>
        </w:numPr>
        <w:spacing w:after="0" w:line="276" w:lineRule="auto"/>
        <w:ind w:right="-1"/>
        <w:contextualSpacing/>
        <w:jc w:val="both"/>
        <w:outlineLvl w:val="0"/>
        <w:rPr>
          <w:rFonts w:eastAsia="Times New Roman" w:cs="Arial"/>
          <w:lang w:eastAsia="es-MX"/>
        </w:rPr>
      </w:pPr>
      <w:r w:rsidRPr="00B36CC4">
        <w:rPr>
          <w:rFonts w:eastAsia="Times New Roman" w:cs="Arial"/>
          <w:b/>
          <w:lang w:eastAsia="es-MX"/>
        </w:rPr>
        <w:t>Documentos por Pagar a Largo Plazo</w:t>
      </w:r>
      <w:r w:rsidRPr="00B36CC4">
        <w:rPr>
          <w:rFonts w:eastAsia="Times New Roman" w:cs="Arial"/>
          <w:lang w:eastAsia="es-MX"/>
        </w:rPr>
        <w:t>. - Se integra por:</w:t>
      </w:r>
    </w:p>
    <w:p w:rsidR="002D109B" w:rsidRPr="00B36CC4" w:rsidRDefault="002D109B" w:rsidP="002D109B">
      <w:pPr>
        <w:spacing w:after="0" w:line="276" w:lineRule="auto"/>
        <w:ind w:left="360" w:right="-1"/>
        <w:contextualSpacing/>
        <w:jc w:val="both"/>
        <w:outlineLvl w:val="0"/>
        <w:rPr>
          <w:rFonts w:eastAsia="Times New Roman" w:cs="Arial"/>
          <w:sz w:val="24"/>
          <w:szCs w:val="24"/>
          <w:lang w:eastAsia="es-MX"/>
        </w:rPr>
      </w:pPr>
    </w:p>
    <w:p w:rsidR="003042BB" w:rsidRPr="006C38BA" w:rsidRDefault="002D109B" w:rsidP="006C38BA">
      <w:pPr>
        <w:spacing w:after="0" w:line="276" w:lineRule="auto"/>
        <w:ind w:right="-1"/>
        <w:jc w:val="both"/>
        <w:rPr>
          <w:rFonts w:cs="Arial"/>
        </w:rPr>
      </w:pPr>
      <w:r w:rsidRPr="00B36CC4">
        <w:rPr>
          <w:rFonts w:cs="Arial"/>
          <w:b/>
        </w:rPr>
        <w:t xml:space="preserve">Documentos Comerciales por Pagar a Largo Plazo.- </w:t>
      </w:r>
      <w:r>
        <w:rPr>
          <w:rFonts w:cs="Arial"/>
        </w:rPr>
        <w:t>El saldo de 5 mil 556 millones 394.4</w:t>
      </w:r>
      <w:r w:rsidRPr="00B36CC4">
        <w:rPr>
          <w:rFonts w:cs="Arial"/>
        </w:rPr>
        <w:t xml:space="preserve"> miles de pesos, corresponde al pasivo por el Fideicomiso de Cobranza con el contrato irrevocable número 80615, de fecha 29 de julio en el ejercicio 2010 y el contrato de Fideicomiso Irrevocable No. F/1426, de fecha 10 de marzo de 2011, en los que se comprometen los ingresos presentes y futuros por concepto de Registro Público de la Propiedad (RPP) del Instituto, de acuerdo al Decreto de Autorización No. 79 publicado en la Gaceta del Gobier</w:t>
      </w:r>
      <w:r w:rsidR="006C38BA">
        <w:rPr>
          <w:rFonts w:cs="Arial"/>
        </w:rPr>
        <w:t>no de fecha 12 de mayo del 2010.</w:t>
      </w:r>
    </w:p>
    <w:p w:rsidR="00B53B61" w:rsidRDefault="00B53B61" w:rsidP="002D109B">
      <w:pPr>
        <w:spacing w:after="240" w:line="276" w:lineRule="auto"/>
        <w:ind w:right="-1"/>
        <w:contextualSpacing/>
        <w:jc w:val="both"/>
        <w:outlineLvl w:val="0"/>
        <w:rPr>
          <w:rFonts w:eastAsia="Times New Roman" w:cs="Arial"/>
          <w:lang w:eastAsia="es-MX"/>
        </w:rPr>
      </w:pPr>
    </w:p>
    <w:p w:rsidR="00473507" w:rsidRDefault="00473507" w:rsidP="002D109B">
      <w:pPr>
        <w:spacing w:after="240" w:line="276" w:lineRule="auto"/>
        <w:ind w:right="-1"/>
        <w:contextualSpacing/>
        <w:jc w:val="both"/>
        <w:outlineLvl w:val="0"/>
        <w:rPr>
          <w:rFonts w:eastAsia="Times New Roman" w:cs="Arial"/>
          <w:lang w:eastAsia="es-MX"/>
        </w:rPr>
      </w:pPr>
    </w:p>
    <w:p w:rsidR="00B53B61" w:rsidRDefault="00B53B61" w:rsidP="002D109B">
      <w:pPr>
        <w:spacing w:after="240" w:line="276" w:lineRule="auto"/>
        <w:ind w:right="-1"/>
        <w:contextualSpacing/>
        <w:jc w:val="both"/>
        <w:outlineLvl w:val="0"/>
        <w:rPr>
          <w:rFonts w:eastAsia="Times New Roman" w:cs="Arial"/>
          <w:lang w:eastAsia="es-MX"/>
        </w:rPr>
      </w:pPr>
    </w:p>
    <w:p w:rsidR="00FD4233" w:rsidRDefault="00FD4233" w:rsidP="002D109B">
      <w:pPr>
        <w:spacing w:after="240" w:line="276" w:lineRule="auto"/>
        <w:ind w:right="-1"/>
        <w:contextualSpacing/>
        <w:jc w:val="both"/>
        <w:outlineLvl w:val="0"/>
        <w:rPr>
          <w:rFonts w:eastAsia="Times New Roman" w:cs="Arial"/>
          <w:lang w:eastAsia="es-MX"/>
        </w:rPr>
      </w:pPr>
    </w:p>
    <w:p w:rsidR="00FD4233" w:rsidRDefault="00FD4233" w:rsidP="002D109B">
      <w:pPr>
        <w:spacing w:after="240" w:line="276" w:lineRule="auto"/>
        <w:ind w:right="-1"/>
        <w:contextualSpacing/>
        <w:jc w:val="both"/>
        <w:outlineLvl w:val="0"/>
        <w:rPr>
          <w:rFonts w:eastAsia="Times New Roman" w:cs="Arial"/>
          <w:lang w:eastAsia="es-MX"/>
        </w:rPr>
      </w:pPr>
    </w:p>
    <w:p w:rsidR="00FD4233" w:rsidRDefault="00FD4233" w:rsidP="002D109B">
      <w:pPr>
        <w:spacing w:after="240" w:line="276" w:lineRule="auto"/>
        <w:ind w:right="-1"/>
        <w:contextualSpacing/>
        <w:jc w:val="both"/>
        <w:outlineLvl w:val="0"/>
        <w:rPr>
          <w:rFonts w:eastAsia="Times New Roman" w:cs="Arial"/>
          <w:lang w:eastAsia="es-MX"/>
        </w:rPr>
      </w:pPr>
    </w:p>
    <w:p w:rsidR="00FD4233" w:rsidRDefault="00FD4233" w:rsidP="002D109B">
      <w:pPr>
        <w:spacing w:after="240" w:line="276" w:lineRule="auto"/>
        <w:ind w:right="-1"/>
        <w:contextualSpacing/>
        <w:jc w:val="both"/>
        <w:outlineLvl w:val="0"/>
        <w:rPr>
          <w:rFonts w:eastAsia="Times New Roman" w:cs="Arial"/>
          <w:lang w:eastAsia="es-MX"/>
        </w:rPr>
      </w:pPr>
    </w:p>
    <w:p w:rsidR="00FD4233" w:rsidRDefault="00FD4233" w:rsidP="002D109B">
      <w:pPr>
        <w:spacing w:after="240" w:line="276" w:lineRule="auto"/>
        <w:ind w:right="-1"/>
        <w:contextualSpacing/>
        <w:jc w:val="both"/>
        <w:outlineLvl w:val="0"/>
        <w:rPr>
          <w:rFonts w:eastAsia="Times New Roman" w:cs="Arial"/>
          <w:lang w:eastAsia="es-MX"/>
        </w:rPr>
      </w:pPr>
    </w:p>
    <w:p w:rsidR="00276066" w:rsidRDefault="00276066" w:rsidP="002D109B">
      <w:pPr>
        <w:spacing w:after="240" w:line="276" w:lineRule="auto"/>
        <w:ind w:right="-1"/>
        <w:contextualSpacing/>
        <w:jc w:val="both"/>
        <w:outlineLvl w:val="0"/>
        <w:rPr>
          <w:rFonts w:eastAsia="Times New Roman" w:cs="Arial"/>
          <w:lang w:eastAsia="es-MX"/>
        </w:rPr>
      </w:pPr>
    </w:p>
    <w:p w:rsidR="00276066" w:rsidRDefault="00276066" w:rsidP="002D109B">
      <w:pPr>
        <w:spacing w:after="240" w:line="276" w:lineRule="auto"/>
        <w:ind w:right="-1"/>
        <w:contextualSpacing/>
        <w:jc w:val="both"/>
        <w:outlineLvl w:val="0"/>
        <w:rPr>
          <w:rFonts w:eastAsia="Times New Roman" w:cs="Arial"/>
          <w:lang w:eastAsia="es-MX"/>
        </w:rPr>
      </w:pPr>
    </w:p>
    <w:p w:rsidR="00FD4233" w:rsidRDefault="00FD4233" w:rsidP="002D109B">
      <w:pPr>
        <w:spacing w:after="240" w:line="276" w:lineRule="auto"/>
        <w:ind w:right="-1"/>
        <w:contextualSpacing/>
        <w:jc w:val="both"/>
        <w:outlineLvl w:val="0"/>
        <w:rPr>
          <w:rFonts w:eastAsia="Times New Roman" w:cs="Arial"/>
          <w:lang w:eastAsia="es-MX"/>
        </w:rPr>
      </w:pPr>
    </w:p>
    <w:p w:rsidR="00276066" w:rsidRDefault="00276066" w:rsidP="002D109B">
      <w:pPr>
        <w:spacing w:after="240" w:line="276" w:lineRule="auto"/>
        <w:ind w:right="-1"/>
        <w:contextualSpacing/>
        <w:jc w:val="both"/>
        <w:outlineLvl w:val="0"/>
        <w:rPr>
          <w:rFonts w:eastAsia="Times New Roman" w:cs="Arial"/>
          <w:lang w:eastAsia="es-MX"/>
        </w:rPr>
      </w:pPr>
    </w:p>
    <w:p w:rsidR="00FD4233" w:rsidRPr="00276066" w:rsidRDefault="00FD4233" w:rsidP="002D109B">
      <w:pPr>
        <w:spacing w:after="240" w:line="276" w:lineRule="auto"/>
        <w:ind w:right="-1"/>
        <w:contextualSpacing/>
        <w:jc w:val="both"/>
        <w:outlineLvl w:val="0"/>
        <w:rPr>
          <w:rFonts w:eastAsia="Times New Roman" w:cs="Arial"/>
          <w:sz w:val="2"/>
          <w:lang w:eastAsia="es-MX"/>
        </w:rPr>
      </w:pPr>
    </w:p>
    <w:p w:rsidR="00C67D65" w:rsidRPr="00450CF4" w:rsidRDefault="00C67D65" w:rsidP="00C67D65">
      <w:pPr>
        <w:numPr>
          <w:ilvl w:val="0"/>
          <w:numId w:val="16"/>
        </w:numPr>
        <w:spacing w:before="240" w:after="240" w:line="276" w:lineRule="auto"/>
        <w:ind w:right="-1"/>
        <w:contextualSpacing/>
        <w:outlineLvl w:val="0"/>
        <w:rPr>
          <w:rFonts w:eastAsia="Times New Roman" w:cs="Arial"/>
          <w:b/>
          <w:lang w:eastAsia="es-MX"/>
        </w:rPr>
      </w:pPr>
      <w:r w:rsidRPr="00450CF4">
        <w:rPr>
          <w:rFonts w:eastAsia="Times New Roman" w:cs="Arial"/>
          <w:b/>
          <w:lang w:eastAsia="es-MX"/>
        </w:rPr>
        <w:t>NOTAS AL ESTADO DE ACTIVIDADES</w:t>
      </w:r>
    </w:p>
    <w:p w:rsidR="00C67D65" w:rsidRPr="00FD4233" w:rsidRDefault="00C67D65" w:rsidP="00C67D65">
      <w:pPr>
        <w:spacing w:before="240" w:after="240" w:line="276" w:lineRule="auto"/>
        <w:ind w:left="1068" w:right="-1"/>
        <w:contextualSpacing/>
        <w:outlineLvl w:val="0"/>
        <w:rPr>
          <w:rFonts w:eastAsia="Times New Roman" w:cs="Arial"/>
          <w:b/>
          <w:sz w:val="4"/>
          <w:lang w:eastAsia="es-MX"/>
        </w:rPr>
      </w:pPr>
    </w:p>
    <w:p w:rsidR="00C67D65" w:rsidRDefault="00C67D65" w:rsidP="00C67D65">
      <w:pPr>
        <w:spacing w:line="276" w:lineRule="auto"/>
        <w:ind w:right="-1"/>
        <w:jc w:val="both"/>
        <w:outlineLvl w:val="0"/>
        <w:rPr>
          <w:rFonts w:cs="Arial"/>
          <w:b/>
        </w:rPr>
      </w:pPr>
      <w:r>
        <w:rPr>
          <w:rFonts w:cs="Arial"/>
          <w:b/>
        </w:rPr>
        <w:t>Ingresos de la Gestión:</w:t>
      </w:r>
    </w:p>
    <w:p w:rsidR="00C67D65" w:rsidRPr="00B53B61" w:rsidRDefault="00C67D65" w:rsidP="00C67D65">
      <w:pPr>
        <w:numPr>
          <w:ilvl w:val="0"/>
          <w:numId w:val="18"/>
        </w:numPr>
        <w:spacing w:after="0" w:line="276" w:lineRule="auto"/>
        <w:ind w:right="-1"/>
        <w:contextualSpacing/>
        <w:jc w:val="both"/>
        <w:rPr>
          <w:rFonts w:eastAsia="Times New Roman" w:cs="Arial"/>
          <w:b/>
          <w:lang w:eastAsia="es-MX"/>
        </w:rPr>
      </w:pPr>
      <w:r>
        <w:rPr>
          <w:rFonts w:eastAsia="Times New Roman" w:cs="Arial"/>
          <w:b/>
          <w:lang w:eastAsia="es-MX"/>
        </w:rPr>
        <w:t xml:space="preserve">Derechos. - </w:t>
      </w:r>
      <w:r>
        <w:rPr>
          <w:rFonts w:eastAsia="Times New Roman" w:cs="Arial"/>
          <w:lang w:eastAsia="es-MX"/>
        </w:rPr>
        <w:t>Los Ingresos de Gestión por los Derechos de los servicios prestados por el Instituto, en el mes fueron por la cantidad de 174 millones 844.6 miles de pesos, obteniendo una recaudación en los recursos del Registro Público de la Propiedad (RPP) por 172 millones 821.2 miles de pesos y los recursos del Registro Público del Comercio (RPC) por 2 millones 23.4 miles de pesos. Al mes se lleva un total acumulado por un mil 517</w:t>
      </w:r>
      <w:r w:rsidRPr="00B73D38">
        <w:rPr>
          <w:rFonts w:eastAsia="Times New Roman" w:cs="Arial"/>
          <w:lang w:eastAsia="es-MX"/>
        </w:rPr>
        <w:t xml:space="preserve"> </w:t>
      </w:r>
      <w:r>
        <w:rPr>
          <w:rFonts w:eastAsia="Times New Roman" w:cs="Arial"/>
          <w:lang w:eastAsia="es-MX"/>
        </w:rPr>
        <w:t xml:space="preserve">millones 911.3 </w:t>
      </w:r>
      <w:r w:rsidRPr="00B73D38">
        <w:rPr>
          <w:rFonts w:eastAsia="Times New Roman" w:cs="Arial"/>
          <w:lang w:eastAsia="es-MX"/>
        </w:rPr>
        <w:t>m</w:t>
      </w:r>
      <w:r>
        <w:rPr>
          <w:rFonts w:eastAsia="Times New Roman" w:cs="Arial"/>
          <w:lang w:eastAsia="es-MX"/>
        </w:rPr>
        <w:t>iles de pesos.</w:t>
      </w:r>
    </w:p>
    <w:p w:rsidR="00B53B61" w:rsidRPr="00276066" w:rsidRDefault="00B53B61" w:rsidP="00B53B61">
      <w:pPr>
        <w:spacing w:after="0" w:line="276" w:lineRule="auto"/>
        <w:ind w:left="644" w:right="-1"/>
        <w:contextualSpacing/>
        <w:jc w:val="both"/>
        <w:rPr>
          <w:rFonts w:eastAsia="Times New Roman" w:cs="Arial"/>
          <w:b/>
          <w:sz w:val="22"/>
          <w:lang w:eastAsia="es-MX"/>
        </w:rPr>
      </w:pPr>
    </w:p>
    <w:p w:rsidR="00C67D65" w:rsidRDefault="00C67D65" w:rsidP="00C67D65">
      <w:pPr>
        <w:numPr>
          <w:ilvl w:val="0"/>
          <w:numId w:val="18"/>
        </w:numPr>
        <w:spacing w:after="0" w:line="276" w:lineRule="auto"/>
        <w:ind w:right="-1"/>
        <w:contextualSpacing/>
        <w:jc w:val="both"/>
        <w:rPr>
          <w:rFonts w:eastAsia="Times New Roman" w:cs="Arial"/>
          <w:sz w:val="24"/>
          <w:szCs w:val="24"/>
          <w:lang w:eastAsia="es-MX"/>
        </w:rPr>
      </w:pPr>
      <w:r>
        <w:rPr>
          <w:rFonts w:eastAsia="Times New Roman" w:cs="Arial"/>
          <w:b/>
          <w:lang w:eastAsia="es-MX"/>
        </w:rPr>
        <w:t>Participaciones, Aportaciones, Transferencias, Asignaciones, Subsidios y Otras Ayudas</w:t>
      </w:r>
      <w:r>
        <w:rPr>
          <w:rFonts w:eastAsia="Times New Roman" w:cs="Arial"/>
          <w:lang w:eastAsia="es-MX"/>
        </w:rPr>
        <w:t>. - El saldo al mes es de 33 millones 138.7 miles de pesos, corresponden al Programa Regularización de la Tenencia de la Tierra del PAD</w:t>
      </w:r>
      <w:r>
        <w:rPr>
          <w:rFonts w:eastAsia="Times New Roman" w:cs="Arial"/>
          <w:sz w:val="24"/>
          <w:szCs w:val="24"/>
          <w:lang w:eastAsia="es-MX"/>
        </w:rPr>
        <w:t>.</w:t>
      </w:r>
    </w:p>
    <w:p w:rsidR="00C67D65" w:rsidRPr="00276066" w:rsidRDefault="00C67D65" w:rsidP="00C67D65">
      <w:pPr>
        <w:spacing w:after="0" w:line="276" w:lineRule="auto"/>
        <w:ind w:right="-1"/>
        <w:contextualSpacing/>
        <w:jc w:val="both"/>
        <w:rPr>
          <w:rFonts w:eastAsia="Times New Roman" w:cs="Arial"/>
          <w:szCs w:val="24"/>
          <w:lang w:eastAsia="es-MX"/>
        </w:rPr>
      </w:pPr>
    </w:p>
    <w:p w:rsidR="00C67D65" w:rsidRPr="00635397" w:rsidRDefault="00C67D65" w:rsidP="00C67D65">
      <w:pPr>
        <w:numPr>
          <w:ilvl w:val="0"/>
          <w:numId w:val="18"/>
        </w:numPr>
        <w:spacing w:after="0" w:line="276" w:lineRule="auto"/>
        <w:ind w:right="-1"/>
        <w:contextualSpacing/>
        <w:jc w:val="both"/>
        <w:rPr>
          <w:rFonts w:eastAsia="Times New Roman" w:cs="Arial"/>
          <w:b/>
          <w:lang w:eastAsia="es-MX"/>
        </w:rPr>
      </w:pPr>
      <w:r>
        <w:rPr>
          <w:rFonts w:eastAsia="Times New Roman" w:cs="Arial"/>
          <w:b/>
          <w:lang w:eastAsia="es-MX"/>
        </w:rPr>
        <w:t>Otros Ingresos y Beneficios:</w:t>
      </w:r>
      <w:r>
        <w:rPr>
          <w:rFonts w:eastAsia="Times New Roman" w:cs="Arial"/>
          <w:lang w:eastAsia="es-MX"/>
        </w:rPr>
        <w:t xml:space="preserve"> En el mes se observa un saldo de un millón 561.9 miles de pesos, y un acumulado </w:t>
      </w:r>
      <w:r w:rsidRPr="00635397">
        <w:rPr>
          <w:rFonts w:eastAsia="Times New Roman" w:cs="Arial"/>
          <w:lang w:eastAsia="es-MX"/>
        </w:rPr>
        <w:t xml:space="preserve">por </w:t>
      </w:r>
      <w:r>
        <w:rPr>
          <w:rFonts w:eastAsia="Times New Roman" w:cs="Arial"/>
          <w:lang w:eastAsia="es-MX"/>
        </w:rPr>
        <w:t>514 millones 593 mil pesos</w:t>
      </w:r>
      <w:r w:rsidRPr="00635397">
        <w:rPr>
          <w:rFonts w:eastAsia="Times New Roman" w:cs="Arial"/>
          <w:lang w:eastAsia="es-MX"/>
        </w:rPr>
        <w:t xml:space="preserve"> que corresponden a:</w:t>
      </w:r>
    </w:p>
    <w:p w:rsidR="00C67D65" w:rsidRPr="00276066" w:rsidRDefault="00C67D65" w:rsidP="00C67D65">
      <w:pPr>
        <w:spacing w:after="0" w:line="276" w:lineRule="auto"/>
        <w:ind w:right="-1"/>
        <w:jc w:val="both"/>
        <w:rPr>
          <w:rFonts w:cs="Arial"/>
          <w:sz w:val="22"/>
        </w:rPr>
      </w:pPr>
    </w:p>
    <w:p w:rsidR="00C67D65" w:rsidRDefault="00C67D65" w:rsidP="00C67D65">
      <w:pPr>
        <w:spacing w:line="276" w:lineRule="auto"/>
        <w:ind w:left="644" w:right="-1"/>
        <w:jc w:val="both"/>
        <w:outlineLvl w:val="0"/>
        <w:rPr>
          <w:rFonts w:cs="Arial"/>
        </w:rPr>
      </w:pPr>
      <w:r>
        <w:rPr>
          <w:rFonts w:cs="Arial"/>
          <w:b/>
        </w:rPr>
        <w:t>Otros Ingresos Financieros</w:t>
      </w:r>
      <w:r>
        <w:rPr>
          <w:rFonts w:cs="Arial"/>
        </w:rPr>
        <w:t>. - Se observa en el mes un saldo de un millón 311.5 miles de pesos</w:t>
      </w:r>
      <w:r w:rsidR="001F1FF9">
        <w:rPr>
          <w:rFonts w:cs="Arial"/>
        </w:rPr>
        <w:t>, que</w:t>
      </w:r>
      <w:r>
        <w:rPr>
          <w:rFonts w:cs="Arial"/>
        </w:rPr>
        <w:t xml:space="preserve"> corresponden</w:t>
      </w:r>
      <w:r>
        <w:t xml:space="preserve"> a </w:t>
      </w:r>
      <w:r>
        <w:rPr>
          <w:rFonts w:cs="Arial"/>
        </w:rPr>
        <w:t>los intereses de las cuentas bancarias productivas del Instituto. Al mes se tiene un acumulado de 508 millones 813.9</w:t>
      </w:r>
      <w:r w:rsidRPr="00635397">
        <w:rPr>
          <w:rFonts w:cs="Arial"/>
        </w:rPr>
        <w:t xml:space="preserve"> miles de pesos, principalmente para el pago a la fiduciaria de los (Bonos) intereses.</w:t>
      </w:r>
    </w:p>
    <w:p w:rsidR="00276066" w:rsidRPr="00276066" w:rsidRDefault="00276066" w:rsidP="00276066">
      <w:pPr>
        <w:spacing w:line="276" w:lineRule="auto"/>
        <w:ind w:right="-1"/>
        <w:jc w:val="both"/>
        <w:outlineLvl w:val="0"/>
        <w:rPr>
          <w:rFonts w:cs="Arial"/>
          <w:sz w:val="2"/>
        </w:rPr>
      </w:pPr>
    </w:p>
    <w:p w:rsidR="00C67D65" w:rsidRDefault="00C67D65" w:rsidP="00C67D65">
      <w:pPr>
        <w:spacing w:line="276" w:lineRule="auto"/>
        <w:ind w:left="644" w:right="-1"/>
        <w:jc w:val="both"/>
        <w:outlineLvl w:val="0"/>
        <w:rPr>
          <w:rFonts w:cs="Arial"/>
        </w:rPr>
      </w:pPr>
      <w:r>
        <w:rPr>
          <w:rFonts w:cs="Arial"/>
          <w:b/>
        </w:rPr>
        <w:t>Otros Ingresos y Beneficios Varios</w:t>
      </w:r>
      <w:r>
        <w:rPr>
          <w:rFonts w:cs="Arial"/>
        </w:rPr>
        <w:t>. - Se generaron en el mes, la cantidad de 250.4 miles de pesos. Presenta un saldo acumulado al mes por la cantidad de 5 millones 779.1 miles de pesos; principalmente por depósitos en efectivo no referenciados, llamadas telefónicas, venta de bases, así como rendimientos de la remesa de los ingresos por RPC, entre otros.</w:t>
      </w:r>
    </w:p>
    <w:p w:rsidR="00C67D65" w:rsidRDefault="00C67D65" w:rsidP="00C67D65">
      <w:pPr>
        <w:spacing w:line="276" w:lineRule="auto"/>
        <w:ind w:right="-1"/>
        <w:jc w:val="both"/>
        <w:outlineLvl w:val="0"/>
        <w:rPr>
          <w:rFonts w:cs="Arial"/>
          <w:b/>
        </w:rPr>
      </w:pPr>
      <w:r>
        <w:rPr>
          <w:rFonts w:cs="Arial"/>
          <w:b/>
        </w:rPr>
        <w:t>Gastos y Otras Pérdidas:</w:t>
      </w:r>
    </w:p>
    <w:p w:rsidR="00C67D65" w:rsidRDefault="00C67D65" w:rsidP="00C67D65">
      <w:pPr>
        <w:numPr>
          <w:ilvl w:val="0"/>
          <w:numId w:val="19"/>
        </w:numPr>
        <w:spacing w:after="0" w:line="276" w:lineRule="auto"/>
        <w:ind w:right="-1"/>
        <w:jc w:val="both"/>
        <w:rPr>
          <w:rFonts w:cs="Arial"/>
          <w:b/>
        </w:rPr>
      </w:pPr>
      <w:r>
        <w:rPr>
          <w:rFonts w:cs="Arial"/>
          <w:b/>
        </w:rPr>
        <w:t>Gastos de Funcionamiento</w:t>
      </w:r>
      <w:r>
        <w:rPr>
          <w:rFonts w:cs="Arial"/>
        </w:rPr>
        <w:t xml:space="preserve">.- Para la operación del Instituto, se han erogado en este mes la cantidad de 27 millones 439.9 miles de pesos, integrados por “Servicios Personales” (pagos de la nómina y sus colaterales),  16 millones </w:t>
      </w:r>
      <w:r w:rsidRPr="00635397">
        <w:rPr>
          <w:rFonts w:cs="Arial"/>
        </w:rPr>
        <w:t>638.</w:t>
      </w:r>
      <w:r>
        <w:rPr>
          <w:rFonts w:cs="Arial"/>
        </w:rPr>
        <w:t xml:space="preserve">3 miles de pesos, que representó el 60.64 por ciento; por concepto de los “Servicios Generales”, un importe de 8 millones 776.5 miles de pesos con el 31.98 por ciento; y por concepto de “Materiales y Suministros” el importe de 2 millones 25.1 miles pesos equivalente al 7.38 por ciento. Se tiene un acumulado al mes por 184 </w:t>
      </w:r>
      <w:r w:rsidRPr="00635397">
        <w:rPr>
          <w:rFonts w:cs="Arial"/>
        </w:rPr>
        <w:t>millones 6</w:t>
      </w:r>
      <w:r>
        <w:rPr>
          <w:rFonts w:cs="Arial"/>
        </w:rPr>
        <w:t>56</w:t>
      </w:r>
      <w:r w:rsidRPr="00635397">
        <w:rPr>
          <w:rFonts w:cs="Arial"/>
        </w:rPr>
        <w:t>.</w:t>
      </w:r>
      <w:r>
        <w:rPr>
          <w:rFonts w:cs="Arial"/>
        </w:rPr>
        <w:t>3 miles de pesos.</w:t>
      </w:r>
    </w:p>
    <w:p w:rsidR="00C67D65" w:rsidRPr="00FD4233" w:rsidRDefault="00C67D65" w:rsidP="00C67D65">
      <w:pPr>
        <w:spacing w:after="0" w:line="276" w:lineRule="auto"/>
        <w:ind w:left="644" w:right="-1"/>
        <w:jc w:val="both"/>
        <w:rPr>
          <w:rFonts w:cs="Arial"/>
          <w:color w:val="FF0000"/>
          <w:sz w:val="12"/>
        </w:rPr>
      </w:pPr>
    </w:p>
    <w:p w:rsidR="00F4606C" w:rsidRPr="00FD4233" w:rsidRDefault="00C67D65" w:rsidP="00C67D65">
      <w:pPr>
        <w:numPr>
          <w:ilvl w:val="0"/>
          <w:numId w:val="19"/>
        </w:numPr>
        <w:spacing w:after="0" w:line="276" w:lineRule="auto"/>
        <w:ind w:right="-1"/>
        <w:jc w:val="both"/>
        <w:rPr>
          <w:rFonts w:cs="Arial"/>
        </w:rPr>
      </w:pPr>
      <w:r>
        <w:rPr>
          <w:rFonts w:cs="Arial"/>
          <w:b/>
        </w:rPr>
        <w:t>Transferencias, Asignaciones, Subsidios y Otras Ayudas. -</w:t>
      </w:r>
      <w:r>
        <w:rPr>
          <w:rFonts w:cs="Arial"/>
        </w:rPr>
        <w:t xml:space="preserve"> Se observa en este mes la cantidad de 109.4 miles de pesos, correspondiente a devolución de ingresos indebidos; al mes presenta un saldo 374 millones 80.6 miles de pesos, correspondientes a la transferencia de los remanentes al GEM por 370 millones 647.5 miles de pesos y 3 millones 433.1 miles de pesos de las devo</w:t>
      </w:r>
      <w:r w:rsidR="00FD4233">
        <w:rPr>
          <w:rFonts w:cs="Arial"/>
        </w:rPr>
        <w:t>luciones por ingresos indebidos.</w:t>
      </w:r>
    </w:p>
    <w:p w:rsidR="00FD4233" w:rsidRDefault="00FD4233" w:rsidP="00FD4233">
      <w:pPr>
        <w:pStyle w:val="Prrafodelista"/>
        <w:rPr>
          <w:rFonts w:cs="Arial"/>
          <w:sz w:val="10"/>
        </w:rPr>
      </w:pPr>
    </w:p>
    <w:p w:rsidR="00276066" w:rsidRDefault="00276066" w:rsidP="00FD4233">
      <w:pPr>
        <w:pStyle w:val="Prrafodelista"/>
        <w:rPr>
          <w:rFonts w:cs="Arial"/>
          <w:sz w:val="10"/>
        </w:rPr>
      </w:pPr>
    </w:p>
    <w:p w:rsidR="00276066" w:rsidRDefault="00276066" w:rsidP="00FD4233">
      <w:pPr>
        <w:pStyle w:val="Prrafodelista"/>
        <w:rPr>
          <w:rFonts w:cs="Arial"/>
          <w:sz w:val="10"/>
        </w:rPr>
      </w:pPr>
    </w:p>
    <w:p w:rsidR="00276066" w:rsidRDefault="00276066" w:rsidP="00FD4233">
      <w:pPr>
        <w:pStyle w:val="Prrafodelista"/>
        <w:rPr>
          <w:rFonts w:cs="Arial"/>
          <w:sz w:val="10"/>
        </w:rPr>
      </w:pPr>
    </w:p>
    <w:p w:rsidR="00276066" w:rsidRDefault="00276066" w:rsidP="00FD4233">
      <w:pPr>
        <w:pStyle w:val="Prrafodelista"/>
        <w:rPr>
          <w:rFonts w:cs="Arial"/>
          <w:sz w:val="10"/>
        </w:rPr>
      </w:pPr>
    </w:p>
    <w:p w:rsidR="00276066" w:rsidRDefault="00276066" w:rsidP="00FD4233">
      <w:pPr>
        <w:pStyle w:val="Prrafodelista"/>
        <w:rPr>
          <w:rFonts w:cs="Arial"/>
          <w:sz w:val="10"/>
        </w:rPr>
      </w:pPr>
    </w:p>
    <w:p w:rsidR="00276066" w:rsidRDefault="00276066" w:rsidP="00FD4233">
      <w:pPr>
        <w:pStyle w:val="Prrafodelista"/>
        <w:rPr>
          <w:rFonts w:cs="Arial"/>
          <w:sz w:val="10"/>
        </w:rPr>
      </w:pPr>
    </w:p>
    <w:p w:rsidR="00276066" w:rsidRDefault="00276066" w:rsidP="00FD4233">
      <w:pPr>
        <w:pStyle w:val="Prrafodelista"/>
        <w:rPr>
          <w:rFonts w:cs="Arial"/>
          <w:sz w:val="10"/>
        </w:rPr>
      </w:pPr>
    </w:p>
    <w:p w:rsidR="00276066" w:rsidRPr="00FD4233" w:rsidRDefault="00276066" w:rsidP="00FD4233">
      <w:pPr>
        <w:pStyle w:val="Prrafodelista"/>
        <w:rPr>
          <w:rFonts w:cs="Arial"/>
          <w:sz w:val="10"/>
        </w:rPr>
      </w:pPr>
    </w:p>
    <w:p w:rsidR="00FD4233" w:rsidRPr="00FD4233" w:rsidRDefault="00FD4233" w:rsidP="00FD4233">
      <w:pPr>
        <w:spacing w:after="0" w:line="276" w:lineRule="auto"/>
        <w:ind w:left="644" w:right="-1"/>
        <w:jc w:val="both"/>
        <w:rPr>
          <w:rFonts w:cs="Arial"/>
          <w:sz w:val="2"/>
        </w:rPr>
      </w:pPr>
    </w:p>
    <w:p w:rsidR="00C67D65" w:rsidRDefault="00C67D65" w:rsidP="00C67D65">
      <w:pPr>
        <w:numPr>
          <w:ilvl w:val="0"/>
          <w:numId w:val="19"/>
        </w:numPr>
        <w:spacing w:after="0" w:line="276" w:lineRule="auto"/>
        <w:ind w:right="-1"/>
        <w:jc w:val="both"/>
        <w:rPr>
          <w:rFonts w:cs="Arial"/>
        </w:rPr>
      </w:pPr>
      <w:r>
        <w:rPr>
          <w:rFonts w:cs="Arial"/>
          <w:b/>
        </w:rPr>
        <w:t>Intereses, Comisiones y Otros Gastos de la Deuda Pública. –</w:t>
      </w:r>
      <w:r>
        <w:rPr>
          <w:rFonts w:cs="Arial"/>
        </w:rPr>
        <w:t xml:space="preserve"> En el mes no se tienen movimientos. Al mes se tiene un saldo acumulado por 493 millones 535.9 miles de pesos, correspondiente al </w:t>
      </w:r>
      <w:r>
        <w:t>pago a la fiduciaria (Bonos) intereses de los certificados bursátiles fiduciarios de las series A, B y subordinada C</w:t>
      </w:r>
      <w:r>
        <w:rPr>
          <w:rFonts w:cs="Arial"/>
        </w:rPr>
        <w:t>. Con respecto a la información de la deuda pública ésta se incluye en el informe de deuda pública en la nota11 “Información Sobre la Deuda y el Reporte Analítico de la Deuda” de las notas de Gestión Administrativa.</w:t>
      </w:r>
    </w:p>
    <w:p w:rsidR="00C67D65" w:rsidRPr="00B53B61" w:rsidRDefault="00C67D65" w:rsidP="00C67D65">
      <w:pPr>
        <w:spacing w:after="0" w:line="240" w:lineRule="auto"/>
        <w:ind w:left="720"/>
        <w:contextualSpacing/>
        <w:rPr>
          <w:rFonts w:eastAsia="Times New Roman" w:cs="Arial"/>
          <w:b/>
          <w:sz w:val="18"/>
          <w:szCs w:val="24"/>
          <w:lang w:eastAsia="es-MX"/>
        </w:rPr>
      </w:pPr>
    </w:p>
    <w:p w:rsidR="00C67D65" w:rsidRDefault="00C67D65" w:rsidP="00C67D65">
      <w:pPr>
        <w:numPr>
          <w:ilvl w:val="0"/>
          <w:numId w:val="19"/>
        </w:numPr>
        <w:spacing w:after="0" w:line="276" w:lineRule="auto"/>
        <w:ind w:right="-1"/>
        <w:jc w:val="both"/>
        <w:rPr>
          <w:rFonts w:cs="Arial"/>
        </w:rPr>
      </w:pPr>
      <w:r>
        <w:rPr>
          <w:rFonts w:cs="Arial"/>
          <w:b/>
        </w:rPr>
        <w:t>Otros Gastos y Pérdidas Extraordinarias</w:t>
      </w:r>
      <w:r>
        <w:rPr>
          <w:rFonts w:cs="Arial"/>
        </w:rPr>
        <w:t>. - En esta partida se refleja la depreciación de bienes muebles e inmuebles, en el mes por un importe de un millón 917.9 miles de pesos. Se tiene un acumulado por 25 millones 856 mil pesos,</w:t>
      </w:r>
      <w:r w:rsidR="00143879">
        <w:rPr>
          <w:rFonts w:cs="Arial"/>
        </w:rPr>
        <w:t xml:space="preserve"> de los cuales 20 millones 170.5</w:t>
      </w:r>
      <w:r>
        <w:rPr>
          <w:rFonts w:cs="Arial"/>
        </w:rPr>
        <w:t xml:space="preserve"> miles de pesos de la depreciación de bienes mueble</w:t>
      </w:r>
      <w:r w:rsidR="00F10E83">
        <w:rPr>
          <w:rFonts w:cs="Arial"/>
        </w:rPr>
        <w:t>s e inmuebles y 5 millones 685.5</w:t>
      </w:r>
      <w:r>
        <w:rPr>
          <w:rFonts w:cs="Arial"/>
        </w:rPr>
        <w:t xml:space="preserve"> miles de pesos por la devolución de los remanentes del Programa de Acciones para el Desarrollo (PAD) al Gobierno del Estado de México y de cargos correspondidos por el GEM por el concepto de Impuesto Sobre la Renta de retenciones por Sueldos y Salarios de</w:t>
      </w:r>
      <w:r w:rsidR="005D19DA">
        <w:rPr>
          <w:rFonts w:cs="Arial"/>
        </w:rPr>
        <w:t>l</w:t>
      </w:r>
      <w:r>
        <w:rPr>
          <w:rFonts w:cs="Arial"/>
        </w:rPr>
        <w:t xml:space="preserve"> Ejercicio 2014.</w:t>
      </w:r>
    </w:p>
    <w:p w:rsidR="00C67D65" w:rsidRPr="00276066" w:rsidRDefault="00C67D65" w:rsidP="00C67D65">
      <w:pPr>
        <w:spacing w:after="0" w:line="276" w:lineRule="auto"/>
        <w:ind w:left="644" w:right="-1"/>
        <w:jc w:val="both"/>
        <w:rPr>
          <w:rFonts w:cs="Arial"/>
          <w:sz w:val="12"/>
        </w:rPr>
      </w:pPr>
    </w:p>
    <w:p w:rsidR="00C67D65" w:rsidRDefault="00C67D65" w:rsidP="00C67D65">
      <w:pPr>
        <w:numPr>
          <w:ilvl w:val="0"/>
          <w:numId w:val="19"/>
        </w:numPr>
        <w:spacing w:after="0" w:line="276" w:lineRule="auto"/>
        <w:ind w:right="-1"/>
        <w:jc w:val="both"/>
        <w:rPr>
          <w:rFonts w:cs="Arial"/>
        </w:rPr>
      </w:pPr>
      <w:r>
        <w:rPr>
          <w:rFonts w:cs="Arial"/>
          <w:b/>
        </w:rPr>
        <w:t>Inversión Pública</w:t>
      </w:r>
      <w:r>
        <w:rPr>
          <w:rFonts w:cs="Arial"/>
        </w:rPr>
        <w:t xml:space="preserve">. - Refleja la afectación no capitalizable, correspondiente al Programa de Acciones para el Desarrollo (PAD), por la cantidad de 3 millones 848.4 miles de pesos, al mes que se analiza se tiene un saldo de 31 </w:t>
      </w:r>
      <w:r w:rsidRPr="00635397">
        <w:rPr>
          <w:rFonts w:cs="Arial"/>
        </w:rPr>
        <w:t>millones 39</w:t>
      </w:r>
      <w:r>
        <w:rPr>
          <w:rFonts w:cs="Arial"/>
        </w:rPr>
        <w:t>5.9 miles de pesos en este programa.</w:t>
      </w:r>
    </w:p>
    <w:p w:rsidR="009258E5" w:rsidRPr="00276066" w:rsidRDefault="009258E5" w:rsidP="00C67D65">
      <w:pPr>
        <w:spacing w:line="276" w:lineRule="auto"/>
        <w:ind w:right="-1"/>
        <w:jc w:val="both"/>
        <w:rPr>
          <w:rFonts w:cs="Arial"/>
          <w:sz w:val="2"/>
        </w:rPr>
      </w:pPr>
    </w:p>
    <w:p w:rsidR="002D109B" w:rsidRDefault="002D109B" w:rsidP="002D109B">
      <w:pPr>
        <w:numPr>
          <w:ilvl w:val="0"/>
          <w:numId w:val="16"/>
        </w:numPr>
        <w:spacing w:before="240" w:after="240" w:line="276" w:lineRule="auto"/>
        <w:ind w:right="-1"/>
        <w:contextualSpacing/>
        <w:outlineLvl w:val="0"/>
        <w:rPr>
          <w:rFonts w:eastAsia="Times New Roman" w:cs="Arial"/>
          <w:b/>
          <w:lang w:eastAsia="es-MX"/>
        </w:rPr>
      </w:pPr>
      <w:r w:rsidRPr="0039666E">
        <w:rPr>
          <w:rFonts w:eastAsia="Times New Roman" w:cs="Arial"/>
          <w:b/>
          <w:lang w:eastAsia="es-MX"/>
        </w:rPr>
        <w:t>NOTAS AL ESTADO DE VARIACIONES EN LA HACIENDA PÚBLICA/PATRIMONIO</w:t>
      </w:r>
    </w:p>
    <w:p w:rsidR="002D109B" w:rsidRPr="00276066" w:rsidRDefault="002D109B" w:rsidP="002D109B">
      <w:pPr>
        <w:spacing w:before="240" w:after="240" w:line="276" w:lineRule="auto"/>
        <w:ind w:right="-1"/>
        <w:contextualSpacing/>
        <w:outlineLvl w:val="0"/>
        <w:rPr>
          <w:rFonts w:eastAsia="Times New Roman" w:cs="Arial"/>
          <w:b/>
          <w:sz w:val="12"/>
          <w:lang w:eastAsia="es-MX"/>
        </w:rPr>
      </w:pPr>
    </w:p>
    <w:p w:rsidR="002D109B" w:rsidRPr="00B53B61" w:rsidRDefault="002D109B" w:rsidP="002D109B">
      <w:pPr>
        <w:spacing w:after="0" w:line="276" w:lineRule="auto"/>
        <w:ind w:left="786" w:right="-1"/>
        <w:contextualSpacing/>
        <w:outlineLvl w:val="0"/>
        <w:rPr>
          <w:rFonts w:eastAsia="Times New Roman" w:cs="Arial"/>
          <w:b/>
          <w:sz w:val="2"/>
          <w:highlight w:val="yellow"/>
          <w:lang w:eastAsia="es-MX"/>
        </w:rPr>
      </w:pPr>
    </w:p>
    <w:p w:rsidR="002D109B" w:rsidRDefault="002D109B" w:rsidP="002D109B">
      <w:pPr>
        <w:spacing w:line="276" w:lineRule="auto"/>
        <w:ind w:right="-1"/>
        <w:jc w:val="both"/>
        <w:outlineLvl w:val="0"/>
        <w:rPr>
          <w:rFonts w:cs="Arial"/>
        </w:rPr>
      </w:pPr>
      <w:r w:rsidRPr="00A67A4D">
        <w:rPr>
          <w:rFonts w:cs="Arial"/>
          <w:b/>
        </w:rPr>
        <w:t>Hacienda Pública/Patrimonio Contribuido (Aportaciones). -</w:t>
      </w:r>
      <w:r w:rsidRPr="00A67A4D">
        <w:rPr>
          <w:rFonts w:cs="Arial"/>
        </w:rPr>
        <w:t xml:space="preserve"> En el Estado de Variaciones en la Hacienda Pública, al mes que se comenta, el patrimonio contribuido del Instituto se integra por las aportaciones del Gobierno del Estado de México, consiste principalmente en Mobiliario y Equip</w:t>
      </w:r>
      <w:r>
        <w:rPr>
          <w:rFonts w:cs="Arial"/>
        </w:rPr>
        <w:t xml:space="preserve">o de Administración, cuyo </w:t>
      </w:r>
      <w:r w:rsidRPr="00A67A4D">
        <w:rPr>
          <w:rFonts w:cs="Arial"/>
        </w:rPr>
        <w:t xml:space="preserve">saldo al final del mes </w:t>
      </w:r>
      <w:r>
        <w:rPr>
          <w:rFonts w:cs="Arial"/>
        </w:rPr>
        <w:t xml:space="preserve">es </w:t>
      </w:r>
      <w:r w:rsidRPr="00A67A4D">
        <w:rPr>
          <w:rFonts w:cs="Arial"/>
        </w:rPr>
        <w:t>de 2 millones 355.8 miles de pesos.</w:t>
      </w:r>
    </w:p>
    <w:p w:rsidR="00FD4233" w:rsidRDefault="002D109B" w:rsidP="002D109B">
      <w:pPr>
        <w:spacing w:line="276" w:lineRule="auto"/>
        <w:ind w:right="-1"/>
        <w:jc w:val="both"/>
        <w:rPr>
          <w:rFonts w:cs="Arial"/>
        </w:rPr>
      </w:pPr>
      <w:r w:rsidRPr="00A67A4D">
        <w:rPr>
          <w:rFonts w:cs="Arial"/>
          <w:b/>
        </w:rPr>
        <w:t>Resultado del Ejercicio: (Ahorro/Desahorro). -</w:t>
      </w:r>
      <w:r w:rsidRPr="00A67A4D">
        <w:rPr>
          <w:rFonts w:cs="Arial"/>
        </w:rPr>
        <w:t xml:space="preserve"> Se observa en la Hacienda Pública/Patrimonio Gener</w:t>
      </w:r>
      <w:r>
        <w:rPr>
          <w:rFonts w:cs="Arial"/>
        </w:rPr>
        <w:t xml:space="preserve">ado Neto del Ejercicio, un ahorro en el mes que se </w:t>
      </w:r>
      <w:r w:rsidRPr="00981A6F">
        <w:rPr>
          <w:rFonts w:cs="Arial"/>
        </w:rPr>
        <w:t xml:space="preserve">analiza por </w:t>
      </w:r>
      <w:r>
        <w:rPr>
          <w:rFonts w:cs="Arial"/>
        </w:rPr>
        <w:t xml:space="preserve">143 millones </w:t>
      </w:r>
      <w:r w:rsidR="009258E5">
        <w:rPr>
          <w:rFonts w:cs="Arial"/>
        </w:rPr>
        <w:t>90</w:t>
      </w:r>
      <w:r>
        <w:rPr>
          <w:rFonts w:cs="Arial"/>
        </w:rPr>
        <w:t>.</w:t>
      </w:r>
      <w:r w:rsidR="009258E5">
        <w:rPr>
          <w:rFonts w:cs="Arial"/>
        </w:rPr>
        <w:t>9</w:t>
      </w:r>
      <w:r w:rsidRPr="00981A6F">
        <w:rPr>
          <w:rFonts w:cs="Arial"/>
        </w:rPr>
        <w:t xml:space="preserve"> miles de pesos,</w:t>
      </w:r>
      <w:r>
        <w:rPr>
          <w:rFonts w:cs="Arial"/>
        </w:rPr>
        <w:t xml:space="preserve"> por las transferencias de los remanentes al GEM y un acumulado de 956 millones </w:t>
      </w:r>
      <w:r w:rsidR="009258E5">
        <w:rPr>
          <w:rFonts w:cs="Arial"/>
        </w:rPr>
        <w:t>118</w:t>
      </w:r>
      <w:r>
        <w:rPr>
          <w:rFonts w:cs="Arial"/>
        </w:rPr>
        <w:t>.</w:t>
      </w:r>
      <w:r w:rsidR="009258E5">
        <w:rPr>
          <w:rFonts w:cs="Arial"/>
        </w:rPr>
        <w:t>3</w:t>
      </w:r>
      <w:r w:rsidRPr="00A67A4D">
        <w:rPr>
          <w:rFonts w:cs="Arial"/>
        </w:rPr>
        <w:t xml:space="preserve"> miles de pesos, debido principalmente a que los in</w:t>
      </w:r>
      <w:r>
        <w:rPr>
          <w:rFonts w:cs="Arial"/>
        </w:rPr>
        <w:t>gresos recaudados fueron mayores</w:t>
      </w:r>
      <w:r w:rsidRPr="00A67A4D">
        <w:rPr>
          <w:rFonts w:cs="Arial"/>
        </w:rPr>
        <w:t xml:space="preserve"> a los gastos </w:t>
      </w:r>
      <w:r>
        <w:rPr>
          <w:rFonts w:cs="Arial"/>
        </w:rPr>
        <w:t xml:space="preserve">acumulados </w:t>
      </w:r>
      <w:r w:rsidRPr="00A67A4D">
        <w:rPr>
          <w:rFonts w:cs="Arial"/>
        </w:rPr>
        <w:t>en este periodo del ejercicio fiscal 2018.</w:t>
      </w: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76066" w:rsidRDefault="00276066" w:rsidP="002D109B">
      <w:pPr>
        <w:spacing w:line="276" w:lineRule="auto"/>
        <w:ind w:right="-1"/>
        <w:jc w:val="both"/>
        <w:rPr>
          <w:rFonts w:cs="Arial"/>
        </w:rPr>
      </w:pPr>
    </w:p>
    <w:p w:rsidR="002D109B" w:rsidRPr="006D3BEE" w:rsidRDefault="002D109B" w:rsidP="002D109B">
      <w:pPr>
        <w:numPr>
          <w:ilvl w:val="0"/>
          <w:numId w:val="16"/>
        </w:numPr>
        <w:spacing w:before="240" w:after="240" w:line="276" w:lineRule="auto"/>
        <w:ind w:right="-1"/>
        <w:contextualSpacing/>
        <w:outlineLvl w:val="0"/>
        <w:rPr>
          <w:rFonts w:eastAsia="Times New Roman" w:cs="Arial"/>
          <w:b/>
          <w:lang w:eastAsia="es-MX"/>
        </w:rPr>
      </w:pPr>
      <w:r w:rsidRPr="006D3BEE">
        <w:rPr>
          <w:rFonts w:eastAsia="Times New Roman" w:cs="Arial"/>
          <w:b/>
          <w:lang w:eastAsia="es-MX"/>
        </w:rPr>
        <w:t>NOTAS AL ESTADO DE FLUJOS DE EFECTIVO</w:t>
      </w:r>
    </w:p>
    <w:p w:rsidR="00C67D65" w:rsidRPr="006D3BEE" w:rsidRDefault="002D109B" w:rsidP="002D109B">
      <w:pPr>
        <w:spacing w:line="276" w:lineRule="auto"/>
        <w:ind w:right="-1"/>
        <w:jc w:val="both"/>
        <w:rPr>
          <w:rFonts w:cs="Arial"/>
        </w:rPr>
      </w:pPr>
      <w:r w:rsidRPr="006D3BEE">
        <w:rPr>
          <w:rFonts w:cs="Arial"/>
        </w:rPr>
        <w:t>En este Estado se observa lo siguiente:</w:t>
      </w:r>
    </w:p>
    <w:p w:rsidR="006C38BA" w:rsidRPr="00B53B61" w:rsidRDefault="009258E5" w:rsidP="00B53B61">
      <w:pPr>
        <w:spacing w:line="276" w:lineRule="auto"/>
        <w:ind w:right="-1"/>
        <w:jc w:val="center"/>
        <w:rPr>
          <w:rFonts w:cs="Arial"/>
        </w:rPr>
      </w:pPr>
      <w:r w:rsidRPr="009258E5">
        <w:rPr>
          <w:noProof/>
          <w:lang w:eastAsia="es-MX"/>
        </w:rPr>
        <w:drawing>
          <wp:inline distT="0" distB="0" distL="0" distR="0">
            <wp:extent cx="3879850" cy="12001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850" cy="1200150"/>
                    </a:xfrm>
                    <a:prstGeom prst="rect">
                      <a:avLst/>
                    </a:prstGeom>
                    <a:noFill/>
                    <a:ln>
                      <a:noFill/>
                    </a:ln>
                  </pic:spPr>
                </pic:pic>
              </a:graphicData>
            </a:graphic>
          </wp:inline>
        </w:drawing>
      </w:r>
    </w:p>
    <w:p w:rsidR="00E867FA" w:rsidRDefault="002D109B" w:rsidP="002D109B">
      <w:pPr>
        <w:spacing w:line="276" w:lineRule="auto"/>
        <w:ind w:right="-1"/>
        <w:jc w:val="both"/>
      </w:pPr>
      <w:r w:rsidRPr="006D3BEE">
        <w:t>La Conciliación de los Flujos de Efectivo Netos de las Actividades de Operación y la cuenta de Ahorro/Desahorro antes de Rubros Extraordinarios, queda como sigu</w:t>
      </w:r>
      <w:r>
        <w:t>e:</w:t>
      </w:r>
    </w:p>
    <w:p w:rsidR="002D109B" w:rsidRPr="006D3BEE" w:rsidRDefault="009258E5" w:rsidP="002D109B">
      <w:pPr>
        <w:spacing w:line="276" w:lineRule="auto"/>
        <w:ind w:right="-1"/>
        <w:jc w:val="center"/>
      </w:pPr>
      <w:r w:rsidRPr="009258E5">
        <w:rPr>
          <w:noProof/>
          <w:lang w:eastAsia="es-MX"/>
        </w:rPr>
        <w:drawing>
          <wp:inline distT="0" distB="0" distL="0" distR="0">
            <wp:extent cx="3879850" cy="23241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9850" cy="2324100"/>
                    </a:xfrm>
                    <a:prstGeom prst="rect">
                      <a:avLst/>
                    </a:prstGeom>
                    <a:noFill/>
                    <a:ln>
                      <a:noFill/>
                    </a:ln>
                  </pic:spPr>
                </pic:pic>
              </a:graphicData>
            </a:graphic>
          </wp:inline>
        </w:drawing>
      </w:r>
    </w:p>
    <w:p w:rsidR="00FD4233" w:rsidRDefault="002D109B" w:rsidP="00601E78">
      <w:pPr>
        <w:spacing w:line="276" w:lineRule="auto"/>
        <w:ind w:right="-1"/>
        <w:jc w:val="both"/>
        <w:rPr>
          <w:rFonts w:cs="Arial"/>
        </w:rPr>
      </w:pPr>
      <w:r w:rsidRPr="000C556F">
        <w:rPr>
          <w:rFonts w:cs="Arial"/>
        </w:rPr>
        <w:t>El efectivo y equivalentes en este mes para que el Instituto de la Función</w:t>
      </w:r>
      <w:r>
        <w:rPr>
          <w:rFonts w:cs="Arial"/>
        </w:rPr>
        <w:t xml:space="preserve"> Registral del Estado de México</w:t>
      </w:r>
      <w:r w:rsidRPr="000C556F">
        <w:rPr>
          <w:rFonts w:cs="Arial"/>
        </w:rPr>
        <w:t xml:space="preserve"> cubra sus </w:t>
      </w:r>
      <w:r>
        <w:rPr>
          <w:rFonts w:cs="Arial"/>
        </w:rPr>
        <w:t xml:space="preserve">obligaciones de pago, fue de </w:t>
      </w:r>
      <w:r w:rsidR="009258E5">
        <w:rPr>
          <w:rFonts w:cs="Arial"/>
        </w:rPr>
        <w:t>185</w:t>
      </w:r>
      <w:r>
        <w:rPr>
          <w:rFonts w:cs="Arial"/>
        </w:rPr>
        <w:t xml:space="preserve"> millones </w:t>
      </w:r>
      <w:r w:rsidR="009258E5">
        <w:rPr>
          <w:rFonts w:cs="Arial"/>
        </w:rPr>
        <w:t>633</w:t>
      </w:r>
      <w:r>
        <w:rPr>
          <w:rFonts w:cs="Arial"/>
        </w:rPr>
        <w:t>.</w:t>
      </w:r>
      <w:r w:rsidR="009258E5">
        <w:rPr>
          <w:rFonts w:cs="Arial"/>
        </w:rPr>
        <w:t>5</w:t>
      </w:r>
      <w:r w:rsidRPr="000C556F">
        <w:rPr>
          <w:rFonts w:cs="Arial"/>
        </w:rPr>
        <w:t xml:space="preserve"> miles de pesos.</w:t>
      </w:r>
    </w:p>
    <w:p w:rsidR="00440F0A" w:rsidRDefault="00440F0A" w:rsidP="00601E78">
      <w:pPr>
        <w:spacing w:line="276" w:lineRule="auto"/>
        <w:ind w:right="-1"/>
        <w:jc w:val="both"/>
        <w:rPr>
          <w:rFonts w:cs="Arial"/>
        </w:rPr>
      </w:pPr>
    </w:p>
    <w:p w:rsidR="00440F0A" w:rsidRDefault="00440F0A" w:rsidP="00601E78">
      <w:pPr>
        <w:spacing w:line="276" w:lineRule="auto"/>
        <w:ind w:right="-1"/>
        <w:jc w:val="both"/>
        <w:rPr>
          <w:rFonts w:cs="Arial"/>
        </w:rPr>
      </w:pPr>
    </w:p>
    <w:p w:rsidR="00440F0A" w:rsidRDefault="00440F0A" w:rsidP="00601E78">
      <w:pPr>
        <w:spacing w:line="276" w:lineRule="auto"/>
        <w:ind w:right="-1"/>
        <w:jc w:val="both"/>
        <w:rPr>
          <w:rFonts w:cs="Arial"/>
        </w:rPr>
      </w:pPr>
    </w:p>
    <w:p w:rsidR="00440F0A" w:rsidRDefault="00440F0A" w:rsidP="00601E78">
      <w:pPr>
        <w:spacing w:line="276" w:lineRule="auto"/>
        <w:ind w:right="-1"/>
        <w:jc w:val="both"/>
        <w:rPr>
          <w:rFonts w:cs="Arial"/>
        </w:rPr>
      </w:pPr>
    </w:p>
    <w:p w:rsidR="00440F0A" w:rsidRDefault="00440F0A" w:rsidP="00601E78">
      <w:pPr>
        <w:spacing w:line="276" w:lineRule="auto"/>
        <w:ind w:right="-1"/>
        <w:jc w:val="both"/>
        <w:rPr>
          <w:rFonts w:cs="Arial"/>
        </w:rPr>
      </w:pPr>
    </w:p>
    <w:p w:rsidR="00440F0A" w:rsidRDefault="00440F0A" w:rsidP="00601E78">
      <w:pPr>
        <w:spacing w:line="276" w:lineRule="auto"/>
        <w:ind w:right="-1"/>
        <w:jc w:val="both"/>
        <w:rPr>
          <w:rFonts w:cs="Arial"/>
        </w:rPr>
      </w:pPr>
    </w:p>
    <w:p w:rsidR="00440F0A" w:rsidRDefault="00440F0A" w:rsidP="00601E78">
      <w:pPr>
        <w:spacing w:line="276" w:lineRule="auto"/>
        <w:ind w:right="-1"/>
        <w:jc w:val="both"/>
        <w:rPr>
          <w:rFonts w:cs="Arial"/>
        </w:rPr>
      </w:pPr>
    </w:p>
    <w:p w:rsidR="00440F0A" w:rsidRDefault="00440F0A" w:rsidP="00601E78">
      <w:pPr>
        <w:spacing w:line="276" w:lineRule="auto"/>
        <w:ind w:right="-1"/>
        <w:jc w:val="both"/>
        <w:rPr>
          <w:rFonts w:cs="Arial"/>
        </w:rPr>
      </w:pPr>
    </w:p>
    <w:p w:rsidR="00440F0A" w:rsidRDefault="00440F0A" w:rsidP="00601E78">
      <w:pPr>
        <w:spacing w:line="276" w:lineRule="auto"/>
        <w:ind w:right="-1"/>
        <w:jc w:val="both"/>
        <w:rPr>
          <w:rFonts w:cs="Arial"/>
        </w:rPr>
      </w:pPr>
    </w:p>
    <w:p w:rsidR="00440F0A" w:rsidRDefault="00440F0A" w:rsidP="00601E78">
      <w:pPr>
        <w:spacing w:line="276" w:lineRule="auto"/>
        <w:ind w:right="-1"/>
        <w:jc w:val="both"/>
        <w:rPr>
          <w:rFonts w:cs="Arial"/>
        </w:rPr>
      </w:pPr>
    </w:p>
    <w:p w:rsidR="002D109B" w:rsidRPr="001B72A6" w:rsidRDefault="002D109B" w:rsidP="002D109B">
      <w:pPr>
        <w:numPr>
          <w:ilvl w:val="0"/>
          <w:numId w:val="23"/>
        </w:numPr>
        <w:spacing w:before="240" w:after="240" w:line="276" w:lineRule="auto"/>
        <w:ind w:right="-1"/>
        <w:contextualSpacing/>
        <w:outlineLvl w:val="0"/>
        <w:rPr>
          <w:rFonts w:cs="Arial"/>
          <w:b/>
        </w:rPr>
      </w:pPr>
      <w:r w:rsidRPr="00B05C27">
        <w:rPr>
          <w:rFonts w:eastAsia="Times New Roman" w:cs="Arial"/>
          <w:b/>
          <w:lang w:eastAsia="es-MX"/>
        </w:rPr>
        <w:t>CONCILIACIÓN ENTRE LOS INGRESOS PRESUPUESTARIOS Y CONTABLES, ASÍ COMO ENTRE LOS EGRESOS PRESUPUESTARIOS Y LOS GASTOS CONTABLES:</w:t>
      </w:r>
    </w:p>
    <w:p w:rsidR="002D109B" w:rsidRPr="001B72A6" w:rsidRDefault="002D109B" w:rsidP="002D109B">
      <w:pPr>
        <w:spacing w:before="240" w:after="240" w:line="276" w:lineRule="auto"/>
        <w:ind w:left="1068" w:right="-1"/>
        <w:contextualSpacing/>
        <w:outlineLvl w:val="0"/>
        <w:rPr>
          <w:rFonts w:cs="Arial"/>
          <w:b/>
        </w:rPr>
      </w:pPr>
    </w:p>
    <w:p w:rsidR="002D109B" w:rsidRDefault="009258E5" w:rsidP="00B53B61">
      <w:pPr>
        <w:spacing w:before="240" w:after="240" w:line="276" w:lineRule="auto"/>
        <w:ind w:left="1068" w:right="-1" w:hanging="501"/>
        <w:contextualSpacing/>
        <w:jc w:val="center"/>
        <w:outlineLvl w:val="0"/>
        <w:rPr>
          <w:rFonts w:cs="Arial"/>
          <w:b/>
        </w:rPr>
      </w:pPr>
      <w:r w:rsidRPr="009258E5">
        <w:rPr>
          <w:noProof/>
          <w:lang w:eastAsia="es-MX"/>
        </w:rPr>
        <w:drawing>
          <wp:inline distT="0" distB="0" distL="0" distR="0">
            <wp:extent cx="5610225" cy="3657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657600"/>
                    </a:xfrm>
                    <a:prstGeom prst="rect">
                      <a:avLst/>
                    </a:prstGeom>
                    <a:noFill/>
                    <a:ln>
                      <a:noFill/>
                    </a:ln>
                  </pic:spPr>
                </pic:pic>
              </a:graphicData>
            </a:graphic>
          </wp:inline>
        </w:drawing>
      </w:r>
    </w:p>
    <w:p w:rsidR="00B53B61" w:rsidRPr="00B05C27" w:rsidRDefault="00B53B61" w:rsidP="00B53B61">
      <w:pPr>
        <w:spacing w:before="240" w:after="240" w:line="276" w:lineRule="auto"/>
        <w:ind w:left="1068" w:right="-1" w:hanging="501"/>
        <w:contextualSpacing/>
        <w:jc w:val="center"/>
        <w:outlineLvl w:val="0"/>
        <w:rPr>
          <w:rFonts w:cs="Arial"/>
          <w:b/>
        </w:rPr>
      </w:pPr>
    </w:p>
    <w:p w:rsidR="002D109B" w:rsidRDefault="00D63F1C" w:rsidP="002D109B">
      <w:pPr>
        <w:spacing w:before="240" w:line="276" w:lineRule="auto"/>
        <w:ind w:right="-1"/>
        <w:contextualSpacing/>
        <w:jc w:val="both"/>
        <w:outlineLvl w:val="0"/>
        <w:rPr>
          <w:rFonts w:cs="Arial"/>
        </w:rPr>
      </w:pPr>
      <w:r w:rsidRPr="00D63F1C">
        <w:rPr>
          <w:rFonts w:cs="Arial"/>
          <w:b/>
        </w:rPr>
        <w:t>Conciliación entre los Ingresos Presupuestarios y Contables</w:t>
      </w:r>
      <w:r w:rsidRPr="00D63F1C">
        <w:rPr>
          <w:rFonts w:cs="Arial"/>
        </w:rPr>
        <w:t>.- En el renglón de Otros Ingresos Presupuestarios no Contables 367 millones 537.9 miles de pesos que se integran de: 288 millones 40.2 miles de pesos para el pago de Amortización de Capital de los Certificados Bursátiles Series "A", "B" y serie subordinada "C" correspondiente al primer semestre del 2018, así como el pago de las Series "A", "B"  y serie subordinada "C" correspondiente al segundo semestre de 2018, más 31 millones 132 mil pesos y 32 millones 133.5 miles de pesos de Disponibilidades Financieras Presupuestales de Ejercicios Anteriores, para el Proyecto denominado "Con</w:t>
      </w:r>
      <w:r>
        <w:rPr>
          <w:rFonts w:cs="Arial"/>
        </w:rPr>
        <w:t>strucción y Equipamiento de la S</w:t>
      </w:r>
      <w:r w:rsidRPr="00D63F1C">
        <w:rPr>
          <w:rFonts w:cs="Arial"/>
        </w:rPr>
        <w:t xml:space="preserve">egunda </w:t>
      </w:r>
      <w:r>
        <w:rPr>
          <w:rFonts w:cs="Arial"/>
        </w:rPr>
        <w:t>E</w:t>
      </w:r>
      <w:r w:rsidRPr="00D63F1C">
        <w:rPr>
          <w:rFonts w:cs="Arial"/>
        </w:rPr>
        <w:t>tapa del Archivo General de Notarias (Obra nueva)" y para la adquisición de insumos de oficina y bienes muebles respectivamente y 16 millones 232.2 miles de pesos de pasivos pendientes de liquidar al cierre del ejercicio 2018.</w:t>
      </w:r>
    </w:p>
    <w:p w:rsidR="002D109B" w:rsidRDefault="002D109B" w:rsidP="002D109B">
      <w:pPr>
        <w:spacing w:before="240" w:line="276" w:lineRule="auto"/>
        <w:ind w:right="-1"/>
        <w:contextualSpacing/>
        <w:jc w:val="both"/>
        <w:outlineLvl w:val="0"/>
        <w:rPr>
          <w:rFonts w:cs="Arial"/>
        </w:rPr>
      </w:pPr>
    </w:p>
    <w:p w:rsidR="00FD4233" w:rsidRDefault="00FD4233" w:rsidP="002D109B">
      <w:pPr>
        <w:spacing w:before="240" w:line="276" w:lineRule="auto"/>
        <w:ind w:right="-1"/>
        <w:contextualSpacing/>
        <w:jc w:val="both"/>
        <w:outlineLvl w:val="0"/>
        <w:rPr>
          <w:rFonts w:cs="Arial"/>
        </w:rPr>
      </w:pPr>
    </w:p>
    <w:p w:rsidR="00FD4233" w:rsidRDefault="00FD4233" w:rsidP="002D109B">
      <w:pPr>
        <w:spacing w:before="240" w:line="276" w:lineRule="auto"/>
        <w:ind w:right="-1"/>
        <w:contextualSpacing/>
        <w:jc w:val="both"/>
        <w:outlineLvl w:val="0"/>
        <w:rPr>
          <w:rFonts w:cs="Arial"/>
        </w:rPr>
      </w:pPr>
    </w:p>
    <w:p w:rsidR="00FD4233" w:rsidRDefault="00FD4233" w:rsidP="002D109B">
      <w:pPr>
        <w:spacing w:before="240" w:line="276" w:lineRule="auto"/>
        <w:ind w:right="-1"/>
        <w:contextualSpacing/>
        <w:jc w:val="both"/>
        <w:outlineLvl w:val="0"/>
        <w:rPr>
          <w:rFonts w:cs="Arial"/>
        </w:rPr>
      </w:pPr>
    </w:p>
    <w:p w:rsidR="00FD4233" w:rsidRDefault="00FD4233" w:rsidP="002D109B">
      <w:pPr>
        <w:spacing w:before="240" w:line="276" w:lineRule="auto"/>
        <w:ind w:right="-1"/>
        <w:contextualSpacing/>
        <w:jc w:val="both"/>
        <w:outlineLvl w:val="0"/>
        <w:rPr>
          <w:rFonts w:cs="Arial"/>
        </w:rPr>
      </w:pPr>
    </w:p>
    <w:p w:rsidR="00FD4233" w:rsidRDefault="00FD4233" w:rsidP="002D109B">
      <w:pPr>
        <w:spacing w:before="240" w:line="276" w:lineRule="auto"/>
        <w:ind w:right="-1"/>
        <w:contextualSpacing/>
        <w:jc w:val="both"/>
        <w:outlineLvl w:val="0"/>
        <w:rPr>
          <w:rFonts w:cs="Arial"/>
        </w:rPr>
      </w:pPr>
    </w:p>
    <w:p w:rsidR="00FD4233" w:rsidRDefault="00FD4233" w:rsidP="002D109B">
      <w:pPr>
        <w:spacing w:before="240" w:line="276" w:lineRule="auto"/>
        <w:ind w:right="-1"/>
        <w:contextualSpacing/>
        <w:jc w:val="both"/>
        <w:outlineLvl w:val="0"/>
        <w:rPr>
          <w:rFonts w:cs="Arial"/>
        </w:rPr>
      </w:pPr>
    </w:p>
    <w:p w:rsidR="00FD4233" w:rsidRDefault="00FD4233" w:rsidP="002D109B">
      <w:pPr>
        <w:spacing w:before="240" w:line="276" w:lineRule="auto"/>
        <w:ind w:right="-1"/>
        <w:contextualSpacing/>
        <w:jc w:val="both"/>
        <w:outlineLvl w:val="0"/>
        <w:rPr>
          <w:rFonts w:cs="Arial"/>
        </w:rPr>
      </w:pPr>
    </w:p>
    <w:p w:rsidR="00FD4233" w:rsidRDefault="00FD4233" w:rsidP="002D109B">
      <w:pPr>
        <w:spacing w:before="240" w:line="276" w:lineRule="auto"/>
        <w:ind w:right="-1"/>
        <w:contextualSpacing/>
        <w:jc w:val="both"/>
        <w:outlineLvl w:val="0"/>
        <w:rPr>
          <w:rFonts w:cs="Arial"/>
        </w:rPr>
      </w:pPr>
    </w:p>
    <w:p w:rsidR="00FD4233" w:rsidRDefault="00FD4233" w:rsidP="002D109B">
      <w:pPr>
        <w:spacing w:before="240" w:line="276" w:lineRule="auto"/>
        <w:ind w:right="-1"/>
        <w:contextualSpacing/>
        <w:jc w:val="both"/>
        <w:outlineLvl w:val="0"/>
        <w:rPr>
          <w:rFonts w:cs="Arial"/>
        </w:rPr>
      </w:pPr>
    </w:p>
    <w:p w:rsidR="002D109B" w:rsidRDefault="00FE7283" w:rsidP="002D109B">
      <w:pPr>
        <w:spacing w:before="240" w:line="276" w:lineRule="auto"/>
        <w:ind w:right="-1"/>
        <w:contextualSpacing/>
        <w:jc w:val="both"/>
        <w:outlineLvl w:val="0"/>
        <w:rPr>
          <w:rFonts w:cs="Arial"/>
        </w:rPr>
      </w:pPr>
      <w:r w:rsidRPr="00FE7283">
        <w:rPr>
          <w:noProof/>
          <w:lang w:eastAsia="es-MX"/>
        </w:rPr>
        <w:drawing>
          <wp:inline distT="0" distB="0" distL="0" distR="0">
            <wp:extent cx="6388735" cy="5257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4235" cy="5262326"/>
                    </a:xfrm>
                    <a:prstGeom prst="rect">
                      <a:avLst/>
                    </a:prstGeom>
                    <a:noFill/>
                    <a:ln>
                      <a:noFill/>
                    </a:ln>
                  </pic:spPr>
                </pic:pic>
              </a:graphicData>
            </a:graphic>
          </wp:inline>
        </w:drawing>
      </w:r>
    </w:p>
    <w:p w:rsidR="00B53B61" w:rsidRDefault="00B53B61" w:rsidP="002D109B">
      <w:pPr>
        <w:spacing w:before="240" w:line="276" w:lineRule="auto"/>
        <w:ind w:right="-1"/>
        <w:contextualSpacing/>
        <w:jc w:val="both"/>
        <w:outlineLvl w:val="0"/>
        <w:rPr>
          <w:rFonts w:cs="Arial"/>
        </w:rPr>
      </w:pPr>
    </w:p>
    <w:p w:rsidR="00B53B61" w:rsidRDefault="002D109B" w:rsidP="002D109B">
      <w:pPr>
        <w:spacing w:before="240" w:line="276" w:lineRule="auto"/>
        <w:ind w:right="-1"/>
        <w:jc w:val="both"/>
        <w:rPr>
          <w:rFonts w:cs="Arial"/>
        </w:rPr>
      </w:pPr>
      <w:r w:rsidRPr="00B05C27">
        <w:rPr>
          <w:rFonts w:cs="Arial"/>
          <w:b/>
        </w:rPr>
        <w:t>Conciliación entre los Egreso</w:t>
      </w:r>
      <w:r>
        <w:rPr>
          <w:rFonts w:cs="Arial"/>
          <w:b/>
        </w:rPr>
        <w:t>s Presupuestarios y los Gastos C</w:t>
      </w:r>
      <w:r w:rsidRPr="00B05C27">
        <w:rPr>
          <w:rFonts w:cs="Arial"/>
          <w:b/>
        </w:rPr>
        <w:t xml:space="preserve">ontables: </w:t>
      </w:r>
      <w:r w:rsidR="009402E4" w:rsidRPr="009402E4">
        <w:rPr>
          <w:rFonts w:cs="Arial"/>
        </w:rPr>
        <w:t>En el renglón de Otros Egresos Presupuestales No Contables los 925 millones 701.2 miles de pesos se integran de: 923 millones 233.7 miles de pesos de Transferencias al Fideicomiso y 2 millones 467.5 miles de pesos que es el recurso comprometido de acuerdo al Avance Presupuestal del mes de Diciembre 2018. En el rubro de Otros Gastos el importe de 2 millones 387.7 miles de pesos se integran por: una devolución a la TESOFE por un monto de un mil 0.1 miles de pesos al mes de mayo, más 2 millones 386.6 miles de pesos de los remanentes del Programa de Regularización de Tenencia de la Tierra 2017, que incluye los intereses generados y en el rubro de Otros Gastos Contables No Presupuestales 3 millones 297.8 miles de pesos, los cuales corresponden a siete resoluciones determinantes del impuesto sobre la renta que fueron correspond</w:t>
      </w:r>
      <w:r w:rsidR="00B53B61">
        <w:rPr>
          <w:rFonts w:cs="Arial"/>
        </w:rPr>
        <w:t>idos por el Gobierno del Estado.</w:t>
      </w:r>
    </w:p>
    <w:p w:rsidR="00FE7283" w:rsidRDefault="00FE7283" w:rsidP="002D109B">
      <w:pPr>
        <w:spacing w:before="240" w:line="276" w:lineRule="auto"/>
        <w:ind w:right="-1"/>
        <w:jc w:val="both"/>
        <w:rPr>
          <w:rFonts w:cs="Arial"/>
        </w:rPr>
      </w:pPr>
    </w:p>
    <w:p w:rsidR="00FE7283" w:rsidRPr="00276066" w:rsidRDefault="00FE7283" w:rsidP="002D109B">
      <w:pPr>
        <w:spacing w:before="240" w:line="276" w:lineRule="auto"/>
        <w:ind w:right="-1"/>
        <w:jc w:val="both"/>
        <w:rPr>
          <w:rFonts w:cs="Arial"/>
          <w:sz w:val="2"/>
        </w:rPr>
      </w:pPr>
    </w:p>
    <w:p w:rsidR="006351E0" w:rsidRPr="006351E0" w:rsidRDefault="006351E0" w:rsidP="002D109B">
      <w:pPr>
        <w:spacing w:before="240" w:line="276" w:lineRule="auto"/>
        <w:ind w:right="-1"/>
        <w:jc w:val="both"/>
        <w:rPr>
          <w:rFonts w:cs="Arial"/>
          <w:sz w:val="2"/>
        </w:rPr>
      </w:pPr>
    </w:p>
    <w:p w:rsidR="002D109B" w:rsidRPr="00B05C27" w:rsidRDefault="002D109B" w:rsidP="002D109B">
      <w:pPr>
        <w:numPr>
          <w:ilvl w:val="0"/>
          <w:numId w:val="5"/>
        </w:numPr>
        <w:tabs>
          <w:tab w:val="left" w:pos="3836"/>
        </w:tabs>
        <w:spacing w:after="0" w:line="276" w:lineRule="auto"/>
        <w:ind w:left="714" w:right="-1" w:hanging="357"/>
        <w:contextualSpacing/>
        <w:outlineLvl w:val="0"/>
        <w:rPr>
          <w:rFonts w:eastAsia="Times New Roman" w:cs="Arial"/>
          <w:b/>
          <w:lang w:eastAsia="es-MX"/>
        </w:rPr>
      </w:pPr>
      <w:r w:rsidRPr="00B05C27">
        <w:rPr>
          <w:rFonts w:eastAsia="Times New Roman" w:cs="Arial"/>
          <w:b/>
          <w:lang w:eastAsia="es-MX"/>
        </w:rPr>
        <w:t>NOTAS DE MEMORIA (CUENTAS DE ORDEN)</w:t>
      </w:r>
    </w:p>
    <w:p w:rsidR="002D109B" w:rsidRDefault="002D109B" w:rsidP="002D109B">
      <w:pPr>
        <w:spacing w:line="276" w:lineRule="auto"/>
        <w:ind w:right="-1"/>
        <w:jc w:val="both"/>
        <w:outlineLvl w:val="0"/>
        <w:rPr>
          <w:rFonts w:cs="Arial"/>
        </w:rPr>
      </w:pPr>
      <w:r w:rsidRPr="00B05C27">
        <w:rPr>
          <w:rFonts w:cs="Arial"/>
        </w:rPr>
        <w:t>Las Cuentas de Orden Contables y Presupuestarias se integran de la siguiente forma:</w:t>
      </w:r>
    </w:p>
    <w:p w:rsidR="002D109B" w:rsidRDefault="002D109B" w:rsidP="00FE7283">
      <w:pPr>
        <w:spacing w:line="276" w:lineRule="auto"/>
        <w:ind w:right="-1"/>
        <w:jc w:val="center"/>
        <w:outlineLvl w:val="0"/>
        <w:rPr>
          <w:rFonts w:cs="Arial"/>
        </w:rPr>
      </w:pPr>
      <w:r w:rsidRPr="00B9297A">
        <w:rPr>
          <w:noProof/>
          <w:lang w:eastAsia="es-MX"/>
        </w:rPr>
        <w:drawing>
          <wp:inline distT="0" distB="0" distL="0" distR="0" wp14:anchorId="798F0DDD" wp14:editId="0013D6AB">
            <wp:extent cx="6286500" cy="124904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098" cy="1270622"/>
                    </a:xfrm>
                    <a:prstGeom prst="rect">
                      <a:avLst/>
                    </a:prstGeom>
                    <a:noFill/>
                    <a:ln>
                      <a:noFill/>
                    </a:ln>
                  </pic:spPr>
                </pic:pic>
              </a:graphicData>
            </a:graphic>
          </wp:inline>
        </w:drawing>
      </w:r>
    </w:p>
    <w:p w:rsidR="002D109B" w:rsidRDefault="00FE7283" w:rsidP="00FE7283">
      <w:pPr>
        <w:spacing w:line="276" w:lineRule="auto"/>
        <w:ind w:right="-1"/>
        <w:jc w:val="center"/>
        <w:outlineLvl w:val="0"/>
        <w:rPr>
          <w:rFonts w:cs="Arial"/>
        </w:rPr>
      </w:pPr>
      <w:r w:rsidRPr="00FE7283">
        <w:rPr>
          <w:noProof/>
          <w:lang w:eastAsia="es-MX"/>
        </w:rPr>
        <w:drawing>
          <wp:inline distT="0" distB="0" distL="0" distR="0">
            <wp:extent cx="6337935" cy="5210175"/>
            <wp:effectExtent l="0" t="0" r="571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0413" cy="5212212"/>
                    </a:xfrm>
                    <a:prstGeom prst="rect">
                      <a:avLst/>
                    </a:prstGeom>
                    <a:noFill/>
                    <a:ln>
                      <a:noFill/>
                    </a:ln>
                  </pic:spPr>
                </pic:pic>
              </a:graphicData>
            </a:graphic>
          </wp:inline>
        </w:drawing>
      </w:r>
    </w:p>
    <w:p w:rsidR="00276066" w:rsidRDefault="00276066" w:rsidP="00FE7283">
      <w:pPr>
        <w:spacing w:line="276" w:lineRule="auto"/>
        <w:ind w:right="-1"/>
        <w:jc w:val="center"/>
        <w:outlineLvl w:val="0"/>
        <w:rPr>
          <w:rFonts w:cs="Arial"/>
        </w:rPr>
      </w:pPr>
    </w:p>
    <w:p w:rsidR="00276066" w:rsidRPr="00276066" w:rsidRDefault="00276066" w:rsidP="00FE7283">
      <w:pPr>
        <w:spacing w:line="276" w:lineRule="auto"/>
        <w:ind w:right="-1"/>
        <w:jc w:val="both"/>
        <w:outlineLvl w:val="0"/>
        <w:rPr>
          <w:rFonts w:cs="Arial"/>
          <w:sz w:val="2"/>
        </w:rPr>
      </w:pPr>
    </w:p>
    <w:p w:rsidR="006351E0" w:rsidRPr="00276066" w:rsidRDefault="006351E0" w:rsidP="00FE7283">
      <w:pPr>
        <w:spacing w:line="276" w:lineRule="auto"/>
        <w:ind w:right="-1"/>
        <w:jc w:val="both"/>
        <w:outlineLvl w:val="0"/>
        <w:rPr>
          <w:rFonts w:cs="Arial"/>
          <w:sz w:val="2"/>
        </w:rPr>
      </w:pPr>
    </w:p>
    <w:p w:rsidR="002D109B" w:rsidRPr="00B05C27" w:rsidRDefault="002D109B" w:rsidP="00FE7283">
      <w:pPr>
        <w:spacing w:line="276" w:lineRule="auto"/>
        <w:ind w:right="-1"/>
        <w:jc w:val="both"/>
        <w:outlineLvl w:val="0"/>
        <w:rPr>
          <w:rFonts w:cs="Arial"/>
        </w:rPr>
      </w:pPr>
      <w:r w:rsidRPr="00B05C27">
        <w:rPr>
          <w:rFonts w:cs="Arial"/>
        </w:rPr>
        <w:t xml:space="preserve">La comunicación de la asignación del </w:t>
      </w:r>
      <w:r w:rsidRPr="00B05C27">
        <w:rPr>
          <w:rFonts w:cs="Arial"/>
          <w:b/>
        </w:rPr>
        <w:t>Presupuesto Autorizado para el Ejercicio Fiscal 2018</w:t>
      </w:r>
      <w:r w:rsidRPr="00B05C27">
        <w:rPr>
          <w:rFonts w:cs="Arial"/>
        </w:rPr>
        <w:t>, se realizó mediante oficio No. 203A-1196/2017, de fecha 15 de diciembre de 2017, emitido por la Secretaría de Finanzas, con el cual se aprueba la asignación presupuestal autorizada por la LVIII Legislatura al Instituto de la Función Registral del Estado de México, que asciende a la cantidad de un mil 927 millones 629.4 miles de pesos</w:t>
      </w:r>
      <w:r w:rsidRPr="00B05C27">
        <w:rPr>
          <w:rFonts w:cs="Arial"/>
          <w:b/>
        </w:rPr>
        <w:t xml:space="preserve">, </w:t>
      </w:r>
      <w:r w:rsidRPr="00B05C27">
        <w:rPr>
          <w:rFonts w:cs="Arial"/>
        </w:rPr>
        <w:t>distribuida de la siguiente manera:</w:t>
      </w:r>
    </w:p>
    <w:p w:rsidR="002D109B" w:rsidRPr="00B05C27" w:rsidRDefault="002D109B" w:rsidP="002D109B">
      <w:pPr>
        <w:spacing w:line="276" w:lineRule="auto"/>
        <w:ind w:right="-1"/>
        <w:jc w:val="both"/>
        <w:outlineLvl w:val="0"/>
        <w:rPr>
          <w:rFonts w:cs="Arial"/>
        </w:rPr>
      </w:pPr>
      <w:r w:rsidRPr="00B05C27">
        <w:rPr>
          <w:noProof/>
          <w:lang w:eastAsia="es-MX"/>
        </w:rPr>
        <w:drawing>
          <wp:inline distT="0" distB="0" distL="0" distR="0" wp14:anchorId="2AA9B478" wp14:editId="4B7D261F">
            <wp:extent cx="6181725" cy="1820508"/>
            <wp:effectExtent l="0" t="0" r="0" b="889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279" cy="1823616"/>
                    </a:xfrm>
                    <a:prstGeom prst="rect">
                      <a:avLst/>
                    </a:prstGeom>
                    <a:noFill/>
                    <a:ln>
                      <a:noFill/>
                    </a:ln>
                  </pic:spPr>
                </pic:pic>
              </a:graphicData>
            </a:graphic>
          </wp:inline>
        </w:drawing>
      </w:r>
    </w:p>
    <w:p w:rsidR="00B53B61" w:rsidRPr="00B05C27" w:rsidRDefault="002D109B" w:rsidP="002D109B">
      <w:pPr>
        <w:spacing w:line="276" w:lineRule="auto"/>
        <w:ind w:right="-1"/>
        <w:jc w:val="both"/>
        <w:outlineLvl w:val="0"/>
        <w:rPr>
          <w:rFonts w:cs="Arial"/>
        </w:rPr>
      </w:pPr>
      <w:r w:rsidRPr="00B05C27">
        <w:rPr>
          <w:rFonts w:cs="Arial"/>
        </w:rPr>
        <w:t xml:space="preserve">Se tuvo una asignación presupuestal de 33 millones 138.7 miles de pesos, autorizada con el oficio No. 203200-APAD-P-0001/18, del 8 de enero de 2018, signado por el Subsecretario de Planeación y Presupuesto, para el Programa de Acciones para el Desarrollo (PAD), requeridos para continuar con el programa de Regularización de Tenencia de la Tierra en el Estado de México y una asignación presupuestal por 31 millones 132 mil pesos, autorizados mediante oficio 203200-APAD-P-0087/18, del 6 de febrero de 2018, signado por el Subsecretario de Planeación y Presupuesto, para la Construcción y Equipamiento de la Segunda Etapa del Archivo General de Notarias. </w:t>
      </w:r>
    </w:p>
    <w:p w:rsidR="00DD0AF8" w:rsidRDefault="002D109B" w:rsidP="00B53B61">
      <w:pPr>
        <w:spacing w:line="276" w:lineRule="auto"/>
        <w:ind w:right="-1"/>
        <w:jc w:val="both"/>
        <w:outlineLvl w:val="0"/>
        <w:rPr>
          <w:rFonts w:cs="Arial"/>
        </w:rPr>
      </w:pPr>
      <w:r w:rsidRPr="00B05C27">
        <w:rPr>
          <w:noProof/>
          <w:lang w:eastAsia="es-MX"/>
        </w:rPr>
        <w:drawing>
          <wp:inline distT="0" distB="0" distL="0" distR="0" wp14:anchorId="1B2C4250" wp14:editId="0BF8C2BE">
            <wp:extent cx="6191101" cy="2790825"/>
            <wp:effectExtent l="0" t="0" r="635"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7411" cy="2798177"/>
                    </a:xfrm>
                    <a:prstGeom prst="rect">
                      <a:avLst/>
                    </a:prstGeom>
                    <a:noFill/>
                    <a:ln>
                      <a:noFill/>
                    </a:ln>
                  </pic:spPr>
                </pic:pic>
              </a:graphicData>
            </a:graphic>
          </wp:inline>
        </w:drawing>
      </w:r>
    </w:p>
    <w:p w:rsidR="00F4606C" w:rsidRDefault="00F4606C" w:rsidP="00B53B61">
      <w:pPr>
        <w:spacing w:line="276" w:lineRule="auto"/>
        <w:ind w:right="-1"/>
        <w:jc w:val="both"/>
        <w:outlineLvl w:val="0"/>
        <w:rPr>
          <w:rFonts w:cs="Arial"/>
        </w:rPr>
      </w:pPr>
    </w:p>
    <w:p w:rsidR="00F4606C" w:rsidRDefault="00F4606C" w:rsidP="00B53B61">
      <w:pPr>
        <w:spacing w:line="276" w:lineRule="auto"/>
        <w:ind w:right="-1"/>
        <w:jc w:val="both"/>
        <w:outlineLvl w:val="0"/>
        <w:rPr>
          <w:rFonts w:cs="Arial"/>
          <w:sz w:val="6"/>
        </w:rPr>
      </w:pPr>
    </w:p>
    <w:p w:rsidR="00F4606C" w:rsidRDefault="00F4606C" w:rsidP="00B53B61">
      <w:pPr>
        <w:spacing w:line="276" w:lineRule="auto"/>
        <w:ind w:right="-1"/>
        <w:jc w:val="both"/>
        <w:outlineLvl w:val="0"/>
        <w:rPr>
          <w:rFonts w:cs="Arial"/>
          <w:sz w:val="6"/>
        </w:rPr>
      </w:pPr>
    </w:p>
    <w:p w:rsidR="006351E0" w:rsidRPr="006351E0" w:rsidRDefault="006351E0" w:rsidP="00B53B61">
      <w:pPr>
        <w:spacing w:line="276" w:lineRule="auto"/>
        <w:ind w:right="-1"/>
        <w:jc w:val="both"/>
        <w:outlineLvl w:val="0"/>
        <w:rPr>
          <w:rFonts w:cs="Arial"/>
          <w:sz w:val="2"/>
        </w:rPr>
      </w:pPr>
    </w:p>
    <w:p w:rsidR="002D109B" w:rsidRDefault="002D109B" w:rsidP="002D109B">
      <w:pPr>
        <w:tabs>
          <w:tab w:val="left" w:pos="488"/>
        </w:tabs>
        <w:spacing w:line="276" w:lineRule="auto"/>
        <w:ind w:right="-1"/>
        <w:outlineLvl w:val="0"/>
      </w:pPr>
      <w:r w:rsidRPr="00B05C27">
        <w:t>El presupuesto se ha modificado para el Ejercicio 2018, de acuerdo con las siguientes adecuaciones:</w:t>
      </w:r>
    </w:p>
    <w:p w:rsidR="00B53B61" w:rsidRDefault="00B0168C" w:rsidP="002D109B">
      <w:pPr>
        <w:tabs>
          <w:tab w:val="left" w:pos="488"/>
        </w:tabs>
        <w:spacing w:line="276" w:lineRule="auto"/>
        <w:ind w:right="-1"/>
        <w:outlineLvl w:val="0"/>
      </w:pPr>
      <w:r w:rsidRPr="00B0168C">
        <w:rPr>
          <w:noProof/>
          <w:lang w:eastAsia="es-MX"/>
        </w:rPr>
        <w:drawing>
          <wp:inline distT="0" distB="0" distL="0" distR="0">
            <wp:extent cx="6388100" cy="3743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6140" cy="3748036"/>
                    </a:xfrm>
                    <a:prstGeom prst="rect">
                      <a:avLst/>
                    </a:prstGeom>
                    <a:noFill/>
                    <a:ln>
                      <a:noFill/>
                    </a:ln>
                  </pic:spPr>
                </pic:pic>
              </a:graphicData>
            </a:graphic>
          </wp:inline>
        </w:drawing>
      </w:r>
    </w:p>
    <w:p w:rsidR="00DD0AF8" w:rsidRPr="00DD0AF8" w:rsidRDefault="00DD0AF8" w:rsidP="00DD0AF8">
      <w:pPr>
        <w:tabs>
          <w:tab w:val="left" w:pos="488"/>
        </w:tabs>
        <w:spacing w:line="276" w:lineRule="auto"/>
        <w:ind w:right="-1"/>
        <w:outlineLvl w:val="0"/>
        <w:rPr>
          <w:b/>
        </w:rPr>
      </w:pPr>
      <w:r w:rsidRPr="00DD0AF8">
        <w:rPr>
          <w:b/>
        </w:rPr>
        <w:t>Estado Comparativo del Ejercicio del Presupuesto de Egresos:</w:t>
      </w:r>
    </w:p>
    <w:p w:rsidR="00DD0AF8" w:rsidRPr="00DD0AF8" w:rsidRDefault="00DD0AF8" w:rsidP="00DD0AF8">
      <w:pPr>
        <w:tabs>
          <w:tab w:val="left" w:pos="488"/>
        </w:tabs>
        <w:spacing w:line="276" w:lineRule="auto"/>
        <w:ind w:right="-1"/>
        <w:outlineLvl w:val="0"/>
        <w:rPr>
          <w:b/>
        </w:rPr>
      </w:pPr>
      <w:r w:rsidRPr="00DD0AF8">
        <w:rPr>
          <w:noProof/>
          <w:lang w:eastAsia="es-MX"/>
        </w:rPr>
        <w:drawing>
          <wp:inline distT="0" distB="0" distL="0" distR="0" wp14:anchorId="365B452A" wp14:editId="66792B01">
            <wp:extent cx="6388285" cy="2038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665" cy="2039109"/>
                    </a:xfrm>
                    <a:prstGeom prst="rect">
                      <a:avLst/>
                    </a:prstGeom>
                    <a:noFill/>
                    <a:ln>
                      <a:noFill/>
                    </a:ln>
                  </pic:spPr>
                </pic:pic>
              </a:graphicData>
            </a:graphic>
          </wp:inline>
        </w:drawing>
      </w:r>
    </w:p>
    <w:p w:rsidR="00DD0AF8" w:rsidRDefault="00DD0AF8" w:rsidP="00DD0AF8">
      <w:pPr>
        <w:tabs>
          <w:tab w:val="left" w:pos="488"/>
        </w:tabs>
        <w:spacing w:line="276" w:lineRule="auto"/>
        <w:ind w:right="-1"/>
        <w:jc w:val="both"/>
        <w:outlineLvl w:val="0"/>
        <w:rPr>
          <w:rFonts w:cs="Arial"/>
        </w:rPr>
      </w:pPr>
      <w:r w:rsidRPr="00DD0AF8">
        <w:rPr>
          <w:rFonts w:cs="Arial"/>
        </w:rPr>
        <w:t>El presupuesto de egresos aprobado modificado anual fue de 2 mil 442 millones 56.7 miles de pesos, el presupuesto modificado al mes es de 2 mil 442 millones 56.7 miles de pesos y se ha ejercido al mes que se</w:t>
      </w:r>
      <w:r w:rsidR="00AB0FF1">
        <w:rPr>
          <w:rFonts w:cs="Arial"/>
        </w:rPr>
        <w:t xml:space="preserve"> </w:t>
      </w:r>
      <w:r w:rsidRPr="00DD0AF8">
        <w:rPr>
          <w:rFonts w:cs="Arial"/>
        </w:rPr>
        <w:t>analiza la cantidad de 2 mil 383 millones 732.6 miles de pesos, por lo tanto, se observa una variación contra el presupuesto modificado autorizado de menos 58 millones 324.1 miles de pesos, principalmente por lo siguiente:</w:t>
      </w:r>
    </w:p>
    <w:p w:rsidR="006351E0" w:rsidRDefault="006351E0" w:rsidP="00DD0AF8">
      <w:pPr>
        <w:tabs>
          <w:tab w:val="left" w:pos="488"/>
        </w:tabs>
        <w:spacing w:line="276" w:lineRule="auto"/>
        <w:ind w:right="-1"/>
        <w:jc w:val="both"/>
        <w:outlineLvl w:val="0"/>
        <w:rPr>
          <w:rFonts w:cs="Arial"/>
        </w:rPr>
      </w:pPr>
    </w:p>
    <w:p w:rsidR="00440F0A" w:rsidRDefault="00440F0A" w:rsidP="00DD0AF8">
      <w:pPr>
        <w:tabs>
          <w:tab w:val="left" w:pos="488"/>
        </w:tabs>
        <w:spacing w:line="276" w:lineRule="auto"/>
        <w:ind w:right="-1"/>
        <w:jc w:val="both"/>
        <w:outlineLvl w:val="0"/>
        <w:rPr>
          <w:rFonts w:cs="Arial"/>
        </w:rPr>
      </w:pPr>
    </w:p>
    <w:p w:rsidR="00AB0FF1" w:rsidRPr="006351E0" w:rsidRDefault="00AB0FF1" w:rsidP="00DD0AF8">
      <w:pPr>
        <w:tabs>
          <w:tab w:val="left" w:pos="488"/>
        </w:tabs>
        <w:spacing w:line="276" w:lineRule="auto"/>
        <w:ind w:right="-1"/>
        <w:jc w:val="both"/>
        <w:outlineLvl w:val="0"/>
        <w:rPr>
          <w:rFonts w:cs="Arial"/>
          <w:sz w:val="8"/>
        </w:rPr>
      </w:pPr>
    </w:p>
    <w:p w:rsidR="00DD0AF8" w:rsidRPr="00DD0AF8" w:rsidRDefault="00DD0AF8" w:rsidP="00DD0AF8">
      <w:pPr>
        <w:spacing w:line="276" w:lineRule="auto"/>
        <w:ind w:right="-1"/>
        <w:jc w:val="both"/>
        <w:rPr>
          <w:rFonts w:cs="Arial"/>
        </w:rPr>
      </w:pPr>
      <w:r w:rsidRPr="00DD0AF8">
        <w:rPr>
          <w:rFonts w:cs="Arial"/>
          <w:b/>
        </w:rPr>
        <w:t>En el Capítulo 1000 “Servicios Personales</w:t>
      </w:r>
      <w:r w:rsidRPr="00DD0AF8">
        <w:rPr>
          <w:rFonts w:cs="Arial"/>
        </w:rPr>
        <w:t>”. El subejercicio mensual obedece a los movimientos de personal por bajas de servidores públicos, cuyas plazas se encontraban presupuestadas con el rango más alto, y por consiguiente impacta en el subejercicio acumulado.</w:t>
      </w:r>
    </w:p>
    <w:p w:rsidR="00DD0AF8" w:rsidRPr="00DD0AF8" w:rsidRDefault="00DD0AF8" w:rsidP="00DD0AF8">
      <w:pPr>
        <w:spacing w:line="276" w:lineRule="auto"/>
        <w:ind w:right="-1"/>
        <w:jc w:val="both"/>
        <w:rPr>
          <w:rFonts w:cs="Arial"/>
        </w:rPr>
      </w:pPr>
      <w:r w:rsidRPr="00DD0AF8">
        <w:rPr>
          <w:rFonts w:cs="Arial"/>
          <w:b/>
        </w:rPr>
        <w:t>En el Capítulo 2000 “Materiales y Suministros</w:t>
      </w:r>
      <w:r w:rsidRPr="00DD0AF8">
        <w:rPr>
          <w:rFonts w:cs="Arial"/>
        </w:rPr>
        <w:t>”. - El subejercicio mensual obedece a que las adquisiciones correspondientes al tercer cuatrimestre fueron substanciadas y contratadas a un menor precio de lo presupuestado, y por consiguiente impacta en el subejercicio acumulado, lo cual es considerada como un ahorro.</w:t>
      </w:r>
    </w:p>
    <w:p w:rsidR="00DD0AF8" w:rsidRPr="00DD0AF8" w:rsidRDefault="00DD0AF8" w:rsidP="00DD0AF8">
      <w:pPr>
        <w:spacing w:line="276" w:lineRule="auto"/>
        <w:ind w:right="-1"/>
        <w:jc w:val="both"/>
        <w:rPr>
          <w:rFonts w:cs="Arial"/>
        </w:rPr>
      </w:pPr>
      <w:r w:rsidRPr="00DD0AF8">
        <w:rPr>
          <w:rFonts w:cs="Arial"/>
          <w:b/>
        </w:rPr>
        <w:t>En el Capítulo 3000 “Servicios Generales”. -</w:t>
      </w:r>
      <w:r w:rsidRPr="00DD0AF8">
        <w:rPr>
          <w:rFonts w:cs="Arial"/>
        </w:rPr>
        <w:t xml:space="preserve"> El subejercicio mensual obedece a que los servicios contratados al tercer cuatrimestre fueron substanciados y contratados a un menor precio de lo presupuestado, y por consiguiente impacta en el subejercicio acumulado, lo cual es considerada como un ahorro.</w:t>
      </w:r>
    </w:p>
    <w:p w:rsidR="00DD0AF8" w:rsidRPr="00DD0AF8" w:rsidRDefault="00DD0AF8" w:rsidP="00DD0AF8">
      <w:pPr>
        <w:spacing w:line="276" w:lineRule="auto"/>
        <w:ind w:right="-1"/>
        <w:jc w:val="both"/>
      </w:pPr>
      <w:r w:rsidRPr="00DD0AF8">
        <w:rPr>
          <w:rFonts w:cs="Arial"/>
          <w:b/>
        </w:rPr>
        <w:t xml:space="preserve"> En el Capítulo 4000 “Transferencias, Asignaciones, Subsidios y Otras Ayudas”.-</w:t>
      </w:r>
      <w:r w:rsidRPr="00DD0AF8">
        <w:t xml:space="preserve"> La variación mensual en este capítulo, resulta de la diferencia entre los ingresos transferidos al Fiduciario durante el mes y el importe presupuestado para el concepto en cita, las transferencias al fideicomiso de cobranza fueron por un monto mayor a lo presupuestado en el mes de diciembre y por consiguiente al acumulado, esto como resultado del excedente en la recaudación, la cual depende de la demanda en el servicio.</w:t>
      </w:r>
    </w:p>
    <w:p w:rsidR="00DD0AF8" w:rsidRPr="00DD0AF8" w:rsidRDefault="00DD0AF8" w:rsidP="00DD0AF8">
      <w:pPr>
        <w:spacing w:line="276" w:lineRule="auto"/>
        <w:ind w:right="-1"/>
        <w:jc w:val="both"/>
        <w:rPr>
          <w:rFonts w:cs="Arial"/>
        </w:rPr>
      </w:pPr>
      <w:r w:rsidRPr="00DD0AF8">
        <w:rPr>
          <w:b/>
        </w:rPr>
        <w:t xml:space="preserve">En el Capítulo 5000 “Bienes Muebles, Inmuebles e Intangibles”. - </w:t>
      </w:r>
      <w:r w:rsidRPr="00DD0AF8">
        <w:t xml:space="preserve">El subejercicio mensual obedece a que las adquisiciones correspondientes al tercer cuatrimestre fueron substanciadas y contratadas a un menor precio de lo presupuestado, </w:t>
      </w:r>
      <w:r w:rsidRPr="00DD0AF8">
        <w:rPr>
          <w:rFonts w:cs="Arial"/>
        </w:rPr>
        <w:t xml:space="preserve">y por consiguiente impacta en el subejercicio acumulado, lo cual es considerada como un ahorro. Así mismo, es dable precisar que no se obtuvo el dictamen de procedencia para la adquisición de archiveros móviles y andamios para las oficinas registrales, importe que representa el 81% del subejercicio del Capítulo 5000. </w:t>
      </w:r>
    </w:p>
    <w:p w:rsidR="00DD0AF8" w:rsidRPr="00DD0AF8" w:rsidRDefault="00DD0AF8" w:rsidP="00DD0AF8">
      <w:pPr>
        <w:spacing w:line="276" w:lineRule="auto"/>
        <w:ind w:right="-1"/>
        <w:jc w:val="both"/>
        <w:rPr>
          <w:rFonts w:cs="Arial"/>
        </w:rPr>
      </w:pPr>
      <w:r w:rsidRPr="00DD0AF8">
        <w:rPr>
          <w:rFonts w:cs="Arial"/>
          <w:b/>
        </w:rPr>
        <w:t>En el Capítulo 6000 “Inversión Pública”. -</w:t>
      </w:r>
      <w:r w:rsidRPr="00DD0AF8">
        <w:rPr>
          <w:rFonts w:cs="Arial"/>
        </w:rPr>
        <w:t xml:space="preserve"> Se registró una asignación autorizada en este capítulo para el Programa de Acciones para el Desarrollo (PAD), por un monto de 64 millones 270.7 miles de pesos, ejercidos en su totalidad, de los cuales 33 millones 138.7 miles de pesos corresponden al “Programa Regularización de Tenencia de la Tierra”, y 31 millones 132 mil pesos a la “Construcción y Equipamiento de la Segunda Etapa del Archivo General de Notarias (Obra Nueva)”.</w:t>
      </w:r>
    </w:p>
    <w:p w:rsidR="00F11549" w:rsidRDefault="00DD0AF8" w:rsidP="002D109B">
      <w:pPr>
        <w:spacing w:line="276" w:lineRule="auto"/>
        <w:ind w:right="-1"/>
        <w:jc w:val="both"/>
        <w:rPr>
          <w:rFonts w:cs="Arial"/>
        </w:rPr>
      </w:pPr>
      <w:r w:rsidRPr="00DD0AF8">
        <w:rPr>
          <w:rFonts w:cs="Arial"/>
          <w:b/>
        </w:rPr>
        <w:t>En el Capítulo 9000 “Deuda Pública</w:t>
      </w:r>
      <w:r w:rsidRPr="00DD0AF8">
        <w:rPr>
          <w:rFonts w:cs="Arial"/>
        </w:rPr>
        <w:t>”.- El subejercicio obtenido en el capítulo de “Deuda Pública”, deriva del remanente del pago del cupón de los Certificados Bursátiles Fiduciarios Series “A”, “B” y "C" correspondientes al segundo semestre. Adicionalmente a los recursos destinados al pago de ADEFAS pendientes de liquidar.</w:t>
      </w:r>
    </w:p>
    <w:p w:rsidR="00440F0A" w:rsidRDefault="00440F0A" w:rsidP="002D109B">
      <w:pPr>
        <w:spacing w:line="276" w:lineRule="auto"/>
        <w:ind w:right="-1"/>
        <w:jc w:val="both"/>
        <w:rPr>
          <w:rFonts w:cs="Arial"/>
        </w:rPr>
      </w:pPr>
    </w:p>
    <w:p w:rsidR="00440F0A" w:rsidRDefault="00440F0A" w:rsidP="002D109B">
      <w:pPr>
        <w:spacing w:line="276" w:lineRule="auto"/>
        <w:ind w:right="-1"/>
        <w:jc w:val="both"/>
        <w:rPr>
          <w:rFonts w:cs="Arial"/>
        </w:rPr>
      </w:pPr>
    </w:p>
    <w:p w:rsidR="00440F0A" w:rsidRDefault="00440F0A" w:rsidP="002D109B">
      <w:pPr>
        <w:spacing w:line="276" w:lineRule="auto"/>
        <w:ind w:right="-1"/>
        <w:jc w:val="both"/>
        <w:rPr>
          <w:rFonts w:cs="Arial"/>
        </w:rPr>
      </w:pPr>
    </w:p>
    <w:p w:rsidR="00440F0A" w:rsidRDefault="00440F0A" w:rsidP="002D109B">
      <w:pPr>
        <w:spacing w:line="276" w:lineRule="auto"/>
        <w:ind w:right="-1"/>
        <w:jc w:val="both"/>
        <w:rPr>
          <w:rFonts w:cs="Arial"/>
        </w:rPr>
      </w:pPr>
    </w:p>
    <w:p w:rsidR="00440F0A" w:rsidRDefault="00440F0A" w:rsidP="002D109B">
      <w:pPr>
        <w:spacing w:line="276" w:lineRule="auto"/>
        <w:ind w:right="-1"/>
        <w:jc w:val="both"/>
        <w:rPr>
          <w:rFonts w:cs="Arial"/>
        </w:rPr>
      </w:pPr>
    </w:p>
    <w:p w:rsidR="00440F0A" w:rsidRDefault="00440F0A" w:rsidP="002D109B">
      <w:pPr>
        <w:spacing w:line="276" w:lineRule="auto"/>
        <w:ind w:right="-1"/>
        <w:jc w:val="both"/>
        <w:rPr>
          <w:rFonts w:cs="Arial"/>
        </w:rPr>
      </w:pPr>
    </w:p>
    <w:p w:rsidR="00440F0A" w:rsidRDefault="00440F0A" w:rsidP="002D109B">
      <w:pPr>
        <w:spacing w:line="276" w:lineRule="auto"/>
        <w:ind w:right="-1"/>
        <w:jc w:val="both"/>
        <w:rPr>
          <w:rFonts w:cs="Arial"/>
        </w:rPr>
      </w:pPr>
    </w:p>
    <w:p w:rsidR="00440F0A" w:rsidRDefault="00440F0A" w:rsidP="002D109B">
      <w:pPr>
        <w:spacing w:line="276" w:lineRule="auto"/>
        <w:ind w:right="-1"/>
        <w:jc w:val="both"/>
        <w:rPr>
          <w:rFonts w:cs="Arial"/>
        </w:rPr>
      </w:pPr>
    </w:p>
    <w:p w:rsidR="002D109B" w:rsidRPr="00B05C27" w:rsidRDefault="002D109B" w:rsidP="002D109B">
      <w:pPr>
        <w:numPr>
          <w:ilvl w:val="0"/>
          <w:numId w:val="5"/>
        </w:numPr>
        <w:tabs>
          <w:tab w:val="left" w:pos="3836"/>
        </w:tabs>
        <w:spacing w:after="240" w:line="276" w:lineRule="auto"/>
        <w:ind w:left="714" w:right="-1" w:hanging="357"/>
        <w:contextualSpacing/>
        <w:outlineLvl w:val="0"/>
        <w:rPr>
          <w:rFonts w:eastAsia="Times New Roman" w:cs="Arial"/>
          <w:b/>
          <w:lang w:eastAsia="es-MX"/>
        </w:rPr>
      </w:pPr>
      <w:r w:rsidRPr="00B05C27">
        <w:rPr>
          <w:rFonts w:eastAsia="Times New Roman" w:cs="Arial"/>
          <w:b/>
          <w:lang w:eastAsia="es-MX"/>
        </w:rPr>
        <w:t>NOTAS DE GESTIÓN ADMINISTRATIVA</w:t>
      </w:r>
    </w:p>
    <w:p w:rsidR="002D109B" w:rsidRPr="00B05C27" w:rsidRDefault="002D109B" w:rsidP="002D109B">
      <w:pPr>
        <w:tabs>
          <w:tab w:val="left" w:pos="3836"/>
        </w:tabs>
        <w:spacing w:after="240" w:line="276" w:lineRule="auto"/>
        <w:ind w:left="714" w:right="-1"/>
        <w:contextualSpacing/>
        <w:outlineLvl w:val="0"/>
        <w:rPr>
          <w:rFonts w:eastAsia="Times New Roman" w:cs="Arial"/>
          <w:b/>
          <w:lang w:eastAsia="es-MX"/>
        </w:rPr>
      </w:pPr>
    </w:p>
    <w:p w:rsidR="006351E0" w:rsidRPr="00440F0A" w:rsidRDefault="002D109B" w:rsidP="002D109B">
      <w:pPr>
        <w:spacing w:line="276" w:lineRule="auto"/>
        <w:ind w:right="-1"/>
        <w:jc w:val="both"/>
      </w:pPr>
      <w:r w:rsidRPr="00B05C27">
        <w:t>El objetivo del presente documento es la revelación del contexto y de los aspectos económico-financieros más importantes que influyeron en las decisiones del período, y que se consideraron en la elaboración de los estados financieros para la mayor comprensión de los mismos y sus particularidades. Los Estados Financieros del IFREM, proveen de información financiera a los principales usuarios de la misma, a saber, al H. Congreso Local, Entes Fiscalizadores y a los ciudadanos.</w:t>
      </w:r>
    </w:p>
    <w:p w:rsidR="006351E0" w:rsidRPr="00AB0FF1" w:rsidRDefault="006351E0" w:rsidP="002D109B">
      <w:pPr>
        <w:spacing w:line="276" w:lineRule="auto"/>
        <w:ind w:right="-1"/>
        <w:jc w:val="both"/>
        <w:rPr>
          <w:sz w:val="2"/>
        </w:rPr>
      </w:pPr>
    </w:p>
    <w:p w:rsidR="002D109B" w:rsidRPr="00B05C27" w:rsidRDefault="002D109B" w:rsidP="002D109B">
      <w:pPr>
        <w:spacing w:line="276" w:lineRule="auto"/>
        <w:ind w:right="-1"/>
        <w:jc w:val="both"/>
      </w:pPr>
      <w:r w:rsidRPr="00B05C27">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2D109B" w:rsidRPr="00B05C27" w:rsidRDefault="002D109B" w:rsidP="002D109B">
      <w:pPr>
        <w:numPr>
          <w:ilvl w:val="0"/>
          <w:numId w:val="9"/>
        </w:numPr>
        <w:spacing w:after="0" w:line="276" w:lineRule="auto"/>
        <w:ind w:left="851" w:right="-1"/>
        <w:contextualSpacing/>
        <w:rPr>
          <w:rFonts w:eastAsia="Times New Roman" w:cs="Arial"/>
          <w:b/>
          <w:lang w:eastAsia="es-MX"/>
        </w:rPr>
      </w:pPr>
      <w:r w:rsidRPr="00B05C27">
        <w:rPr>
          <w:rFonts w:eastAsia="Times New Roman" w:cs="Times New Roman"/>
          <w:b/>
          <w:lang w:eastAsia="es-MX"/>
        </w:rPr>
        <w:t>Introducción</w:t>
      </w:r>
    </w:p>
    <w:p w:rsidR="002D109B" w:rsidRPr="00B05C27" w:rsidRDefault="002D109B" w:rsidP="002D109B">
      <w:pPr>
        <w:spacing w:before="240" w:line="276" w:lineRule="auto"/>
        <w:ind w:right="-1"/>
        <w:jc w:val="both"/>
      </w:pPr>
      <w:r w:rsidRPr="00B05C27">
        <w:t>La dinámica de la Administración Pública Estatal hace necesario modernizar las estructuras de organización, a fin de dotarlas de mayor capacidad de respuesta en el desarrollo de los planes y programas de gobierno que garanticen la certeza y seguridad jurídica de los inmuebles.</w:t>
      </w:r>
    </w:p>
    <w:p w:rsidR="002D109B" w:rsidRPr="00B05C27" w:rsidRDefault="002D109B" w:rsidP="002D109B">
      <w:pPr>
        <w:spacing w:line="276" w:lineRule="auto"/>
        <w:ind w:right="-1"/>
        <w:jc w:val="both"/>
      </w:pPr>
      <w:r w:rsidRPr="00B05C27">
        <w:t>En este sentido, la visión del Gobierno del Estado en la modernización del Registro Público de la Propiedad, es garantizar la publicidad de los derechos susceptibles de inscripción, otorgar mayor seguridad pública sobre la propiedad inmobiliaria y facilitar los trámites relacionados con la operación de predios, a fin de dar mayor fluidez a las operaciones del mercado inmobiliario, impulsar el uso de créditos hipotecarios y apoyar la competitividad y el crecimiento económico de la entidad.</w:t>
      </w:r>
    </w:p>
    <w:p w:rsidR="002D109B" w:rsidRPr="00B05C27" w:rsidRDefault="002D109B" w:rsidP="002D109B">
      <w:pPr>
        <w:spacing w:line="276" w:lineRule="auto"/>
        <w:ind w:right="-1"/>
        <w:jc w:val="both"/>
      </w:pPr>
      <w:r w:rsidRPr="00B05C27">
        <w:t>Con la modernización del Registro Público de la Propiedad se fortalece la soberanía del Estado de México y se afianzan los principios en los que esta institución funda y motiva su actividad dentro del quehacer público. Asimismo, se promueve la inversión, se fomenta la construcción y la adquisición de vivienda y, por ende, se fortalecen los cimientos para el crecimiento económico del Estado.</w:t>
      </w:r>
    </w:p>
    <w:p w:rsidR="002D109B" w:rsidRPr="00B05C27" w:rsidRDefault="002D109B" w:rsidP="002D109B">
      <w:pPr>
        <w:spacing w:line="276" w:lineRule="auto"/>
        <w:ind w:right="-1"/>
        <w:jc w:val="both"/>
      </w:pPr>
      <w:r w:rsidRPr="00B05C27">
        <w:t>El objetivo principal del Instituto es llevar a cabo la función registral del Estado de México en los términos de la Ley Registral para el Estado de México, Reglamento de la Ley Registral para el Estado de México, la Ley que crea este Organismo y su Reglamento Interior, así como en ordenamientos legales aplicables, en los cuales mandata que su objeto es de interés general, beneficio colectivo y para la prestación de un servicio público. Los Derechos por la prestación de los servicios se encuentran establecidos en la Ley de Ingresos del Estado de México para el ejercicio fiscal correspondiente, en el Código Financiero del Estado de México y Municipios.</w:t>
      </w:r>
    </w:p>
    <w:p w:rsidR="002D109B" w:rsidRPr="00B05C27" w:rsidRDefault="002D109B" w:rsidP="002D109B">
      <w:pPr>
        <w:spacing w:line="276" w:lineRule="auto"/>
        <w:ind w:left="360" w:right="-1"/>
        <w:jc w:val="both"/>
        <w:rPr>
          <w:b/>
        </w:rPr>
      </w:pPr>
      <w:r w:rsidRPr="00B05C27">
        <w:rPr>
          <w:b/>
        </w:rPr>
        <w:t>2.</w:t>
      </w:r>
      <w:r w:rsidRPr="00B05C27">
        <w:rPr>
          <w:b/>
        </w:rPr>
        <w:tab/>
        <w:t>Panorama Económico y Financiero</w:t>
      </w:r>
    </w:p>
    <w:p w:rsidR="005A04FC" w:rsidRDefault="002D109B" w:rsidP="00B53B61">
      <w:pPr>
        <w:spacing w:after="101" w:line="276" w:lineRule="auto"/>
        <w:ind w:right="-1"/>
        <w:jc w:val="both"/>
        <w:rPr>
          <w:rFonts w:eastAsia="Times New Roman" w:cs="Arial"/>
          <w:lang w:val="es-ES" w:eastAsia="es-ES"/>
        </w:rPr>
      </w:pPr>
      <w:r w:rsidRPr="00B05C27">
        <w:rPr>
          <w:rFonts w:eastAsia="Times New Roman" w:cs="Arial"/>
          <w:lang w:val="es-ES" w:eastAsia="es-ES"/>
        </w:rPr>
        <w:t>Se informa sobre las principales condiciones económico-financieras bajo las cuales el Instituto de la Función Registral del Estado de México estuvo operando; las cuales influyeron en la toma de decisiones de la administración pública.</w:t>
      </w:r>
    </w:p>
    <w:p w:rsidR="00440F0A" w:rsidRDefault="00440F0A" w:rsidP="00B53B61">
      <w:pPr>
        <w:spacing w:after="101" w:line="276" w:lineRule="auto"/>
        <w:ind w:right="-1"/>
        <w:jc w:val="both"/>
        <w:rPr>
          <w:rFonts w:eastAsia="Times New Roman" w:cs="Arial"/>
          <w:lang w:val="es-ES" w:eastAsia="es-ES"/>
        </w:rPr>
      </w:pPr>
    </w:p>
    <w:p w:rsidR="00440F0A" w:rsidRDefault="00440F0A" w:rsidP="00B53B61">
      <w:pPr>
        <w:spacing w:after="101" w:line="276" w:lineRule="auto"/>
        <w:ind w:right="-1"/>
        <w:jc w:val="both"/>
        <w:rPr>
          <w:rFonts w:eastAsia="Times New Roman" w:cs="Arial"/>
          <w:lang w:val="es-ES" w:eastAsia="es-ES"/>
        </w:rPr>
      </w:pPr>
    </w:p>
    <w:p w:rsidR="00440F0A" w:rsidRDefault="00440F0A" w:rsidP="00B53B61">
      <w:pPr>
        <w:spacing w:after="101" w:line="276" w:lineRule="auto"/>
        <w:ind w:right="-1"/>
        <w:jc w:val="both"/>
        <w:rPr>
          <w:rFonts w:eastAsia="Times New Roman" w:cs="Arial"/>
          <w:lang w:val="es-ES" w:eastAsia="es-ES"/>
        </w:rPr>
      </w:pPr>
    </w:p>
    <w:p w:rsidR="00440F0A" w:rsidRDefault="00440F0A" w:rsidP="00B53B61">
      <w:pPr>
        <w:spacing w:after="101" w:line="276" w:lineRule="auto"/>
        <w:ind w:right="-1"/>
        <w:jc w:val="both"/>
        <w:rPr>
          <w:rFonts w:eastAsia="Times New Roman" w:cs="Arial"/>
          <w:lang w:val="es-ES" w:eastAsia="es-ES"/>
        </w:rPr>
      </w:pPr>
    </w:p>
    <w:p w:rsidR="00440F0A" w:rsidRPr="00B53B61" w:rsidRDefault="00440F0A" w:rsidP="00B53B61">
      <w:pPr>
        <w:spacing w:after="101" w:line="276" w:lineRule="auto"/>
        <w:ind w:right="-1"/>
        <w:jc w:val="both"/>
        <w:rPr>
          <w:rFonts w:eastAsia="Times New Roman" w:cs="Arial"/>
          <w:lang w:val="es-ES" w:eastAsia="es-ES"/>
        </w:rPr>
      </w:pPr>
    </w:p>
    <w:p w:rsidR="002D109B" w:rsidRPr="00B05C27" w:rsidRDefault="002D109B" w:rsidP="002D109B">
      <w:pPr>
        <w:spacing w:line="276" w:lineRule="auto"/>
        <w:ind w:left="360" w:right="-1"/>
        <w:jc w:val="both"/>
        <w:rPr>
          <w:b/>
        </w:rPr>
      </w:pPr>
      <w:r w:rsidRPr="00B05C27">
        <w:rPr>
          <w:b/>
        </w:rPr>
        <w:t>3.</w:t>
      </w:r>
      <w:r w:rsidRPr="00B05C27">
        <w:rPr>
          <w:b/>
        </w:rPr>
        <w:tab/>
        <w:t>Autorización e Historia</w:t>
      </w:r>
    </w:p>
    <w:p w:rsidR="002D109B" w:rsidRPr="00B05C27" w:rsidRDefault="002D109B" w:rsidP="002D109B">
      <w:pPr>
        <w:spacing w:line="276" w:lineRule="auto"/>
        <w:ind w:right="-1"/>
        <w:jc w:val="both"/>
      </w:pPr>
      <w:r w:rsidRPr="00B05C27">
        <w:t>El 3 de diciembre de 2007 se publicó en el periódico oficial "Gaceta del Gobierno", el Decreto No. 90 de la "LVI" Legislatura del Estado de México, mediante el cual se expide la Ley que crea el Organismo Público Descentralizado denominado Instituto de la Función Registral del Estado de México, con personalidad jurídica y patrimonio propios, sectorizado a la Secretaria General de Gobierno, el cual tenía por objeto llevar a cabo la función registral del Estado de México en los términos del Código Civil del Estado de México, del Reglamento del Registro Público de la Propiedad del Estado de México, de su Reglamento Interior, y demás ordenamientos legales aplicables.</w:t>
      </w:r>
    </w:p>
    <w:p w:rsidR="002D109B" w:rsidRPr="00B05C27" w:rsidRDefault="002D109B" w:rsidP="002D109B">
      <w:pPr>
        <w:spacing w:line="276" w:lineRule="auto"/>
        <w:ind w:right="-1"/>
        <w:jc w:val="both"/>
      </w:pPr>
      <w:r w:rsidRPr="00B05C27">
        <w:t>Cabe señalar que hasta diciembre de 2007 la función registral era atendida por la Dirección General del Registro Público de la Propiedad, adscrita a la Secretaría General de Gobierno; sin embargo, con la entrada en vigor, el 2 de enero de 2008, de la Ley que Crea el Instituto de la Función Registral del Estado de México, los recursos humanos, materiales y financieros con los que venía operando esa unidad administrativa fueron transferidos al citado organismo descentralizado.</w:t>
      </w:r>
    </w:p>
    <w:p w:rsidR="002D109B" w:rsidRPr="00B05C27" w:rsidRDefault="002D109B" w:rsidP="002D109B">
      <w:pPr>
        <w:spacing w:line="276" w:lineRule="auto"/>
        <w:ind w:right="-1"/>
        <w:jc w:val="both"/>
      </w:pPr>
      <w:r w:rsidRPr="00B05C27">
        <w:t>Asimismo, se subrogaron al Instituto de la Función Registral del Estado de México, los derechos y obligaciones de la Dirección General del Registro Público de la Propiedad de la Secretaría General de Gobierno.</w:t>
      </w:r>
    </w:p>
    <w:p w:rsidR="002D109B" w:rsidRPr="00B05C27" w:rsidRDefault="002D109B" w:rsidP="002D109B">
      <w:pPr>
        <w:spacing w:line="276" w:lineRule="auto"/>
        <w:ind w:right="-1"/>
        <w:jc w:val="both"/>
      </w:pPr>
      <w:r w:rsidRPr="00B05C27">
        <w:t>A fin de dar cumplimiento al objeto y atribuciones conferidas al Instituto de la Función Registral del Estado de México, establecidas en su ley de creación, y con el propósito de fortalecer al organismo, la Secretaría de Finanzas autorizó su estructura de organización en abril de 2008, la cual se integró por 31 unidades administrativas (una dirección general, cuatro unidades staff, tres direcciones de área, ocho subdirecciones y 15 departamentos), así como 19 unidades administrativas desconcentradas (Oficinas Regístrales).</w:t>
      </w:r>
    </w:p>
    <w:p w:rsidR="002D109B" w:rsidRPr="00B05C27" w:rsidRDefault="002D109B" w:rsidP="002D109B">
      <w:pPr>
        <w:spacing w:line="276" w:lineRule="auto"/>
        <w:ind w:right="-1"/>
        <w:jc w:val="both"/>
      </w:pPr>
      <w:r w:rsidRPr="00B05C27">
        <w:t>El 3 de abril de 2008 fue publicado en el periódico oficial "Gaceta del Gobierno" el Reglamento Interior del Instituto de la Función Registral del Estado de México, el cual definió el ámbito de competencia de sus unidades administrativas básicas y estableció la distribución del trabajo para dar cumplimiento a su objeto.</w:t>
      </w:r>
    </w:p>
    <w:p w:rsidR="002D109B" w:rsidRPr="00B05C27" w:rsidRDefault="002D109B" w:rsidP="002D109B">
      <w:pPr>
        <w:spacing w:line="276" w:lineRule="auto"/>
        <w:ind w:right="-1"/>
        <w:jc w:val="both"/>
      </w:pPr>
      <w:r w:rsidRPr="00B05C27">
        <w:t>Posteriormente, el 9 de enero de 2009 se publicó en el periódico oficial "Gaceta del Gobierno" el Acuerdo por el que se reforma el Reglamento Interior del Instituto de la Función Registral del Estado de México, con la finalidad de reubicar las Oficinas Registrales del Distrito Judicial de Tlalnepantla en aquellos municipios, que por sus características de desarrollo, impulso económico, población, servicios, tráfico inmobiliario, infraestructura y demás circunstancias, permitieran acercar los servicios que proporciona el Instituto a los lugares en los que se generaba una mayor demanda. Por ello, se modificaron las denominaciones de las Oficinas Registrales de Tlalnepantla I, por Tlalnepantla; Tlalnepantla II, por Naucalpan; y Tlalnepantla III, por Ecatepec, estableciendo en cada una de ellas la circunscripción territorial que les corresponde.</w:t>
      </w:r>
    </w:p>
    <w:p w:rsidR="002D109B" w:rsidRPr="00B05C27" w:rsidRDefault="002D109B" w:rsidP="002D109B">
      <w:pPr>
        <w:spacing w:line="276" w:lineRule="auto"/>
        <w:ind w:right="-1"/>
        <w:jc w:val="both"/>
      </w:pPr>
      <w:r w:rsidRPr="00B05C27">
        <w:t>El 19 de diciembre de 2012, se publicó en el periódico oficial "Gaceta del Gobierno" el Decreto mediante el cual, se creó la Consejería Jurídica del Ejecutivo Estatal como la dependencia encargada de planear, programar, dirigir, resolver, controlar y evaluar las funciones del registro civil, del notariado, las relativas a la demarcación y conservación de los límites del Estado y sus municipios, de la función registral, de los asuntos religiosos, administración de la publicación del periódico oficial "Gaceta del Gobierno", las relativas al reconocimiento, promoción, atención y defensa, de los derechos humanos desde el Poder Ejecutivo, de información de los ordenamientos legales y de coordinarse con los responsables de las unidades de asuntos jurídicos de cada dependencia de la Administración Pública Estatal.</w:t>
      </w:r>
    </w:p>
    <w:p w:rsidR="002D109B" w:rsidRPr="00B05C27" w:rsidRDefault="002D109B" w:rsidP="002D109B">
      <w:pPr>
        <w:spacing w:line="276" w:lineRule="auto"/>
        <w:ind w:right="-1"/>
        <w:jc w:val="both"/>
      </w:pPr>
      <w:r w:rsidRPr="00B05C27">
        <w:t>Derivado de lo anterior, el 25 de febrero de 2013 se publicó en el periódico oficial "Gaceta del Gobierno" la reforma a los artículos 1, 5 en su fracción I; 11 en su fracción 1, y 12 en su fracción III de la Ley que Crea el Organismo Público Descentralizado denominado Instituto de la Función Registral del Estado de México, con la finalidad de re-sectorizar al citado organismo de la Secretaría General de Gobierno a la Consejería Jurídica del Ejecutivo Estatal.</w:t>
      </w:r>
    </w:p>
    <w:p w:rsidR="002D109B" w:rsidRPr="00B05C27" w:rsidRDefault="002D109B" w:rsidP="002D109B">
      <w:pPr>
        <w:spacing w:line="276" w:lineRule="auto"/>
        <w:ind w:right="-1"/>
        <w:jc w:val="both"/>
      </w:pPr>
      <w:r w:rsidRPr="00B05C27">
        <w:t>El 16 de mayo de 2013, se publicó en el periódico oficial "Gaceta del Gobierno" el Acuerdo por el que se reforman y derogan diversas disposiciones del Reglamento Interior del Instituto de la Función Registral del Estado de México, con el objeto de adecuar su funcionamiento.</w:t>
      </w:r>
    </w:p>
    <w:p w:rsidR="002D109B" w:rsidRPr="00B05C27" w:rsidRDefault="002D109B" w:rsidP="002D109B">
      <w:pPr>
        <w:spacing w:line="276" w:lineRule="auto"/>
        <w:ind w:right="-1"/>
        <w:jc w:val="both"/>
      </w:pPr>
      <w:r w:rsidRPr="00B05C27">
        <w:t>El 13 de septiembre de 2017, se publicó en el periódico oficial "Gaceta del Gobierno" el Decreto No. 244 por el que se reforman diversas disposiciones, entre otras, la Ley que Crea el Organismo Público Descentralizado</w:t>
      </w:r>
      <w:r w:rsidR="00440F0A">
        <w:t xml:space="preserve"> </w:t>
      </w:r>
      <w:r w:rsidRPr="00B05C27">
        <w:t>denominado Instituto de la Función Registral del Estado de México, con la finalidad, de transformar la Consejería Jurídica del Ejecutivo Estatal en la Secretaría de Justicia y Derechos Humanos, con la finalidad de diseñar y coordinar la política jurídica y de acceso a la justicia del Poder ejecutivo retomando las funciones de la Consejería Jurídica del Ejecutivo Estatal.</w:t>
      </w:r>
    </w:p>
    <w:p w:rsidR="002D109B" w:rsidRPr="00B05C27" w:rsidRDefault="002D109B" w:rsidP="002D109B">
      <w:pPr>
        <w:spacing w:line="276" w:lineRule="auto"/>
        <w:ind w:left="360" w:right="-1"/>
        <w:jc w:val="both"/>
        <w:rPr>
          <w:b/>
        </w:rPr>
      </w:pPr>
      <w:r w:rsidRPr="00B05C27">
        <w:rPr>
          <w:b/>
        </w:rPr>
        <w:t>4.</w:t>
      </w:r>
      <w:r w:rsidRPr="00B05C27">
        <w:rPr>
          <w:b/>
        </w:rPr>
        <w:tab/>
        <w:t>Organización y Objeto Social</w:t>
      </w:r>
    </w:p>
    <w:p w:rsidR="002D109B" w:rsidRPr="00B05C27" w:rsidRDefault="002D109B" w:rsidP="002D109B">
      <w:pPr>
        <w:spacing w:after="0" w:line="276" w:lineRule="auto"/>
        <w:ind w:right="-1"/>
        <w:jc w:val="both"/>
        <w:rPr>
          <w:rFonts w:eastAsia="Times New Roman" w:cs="Arial"/>
          <w:lang w:val="es-ES" w:eastAsia="es-ES"/>
        </w:rPr>
      </w:pPr>
      <w:r w:rsidRPr="00B05C27">
        <w:rPr>
          <w:rFonts w:eastAsia="Times New Roman" w:cs="Arial"/>
          <w:lang w:val="es-ES" w:eastAsia="es-ES"/>
        </w:rPr>
        <w:t>La máxima autoridad del Instituto de la Función Registral del Estado de México, está a cargo del Consejo Directivo. La administración del Instituto de la Función Registral del Estado de México, está a cargo de un Director General, quien es nombrado y removido por el Gobernador del Estado a propuesta del Presidente del Consejo Directivo. Su objetivo es llevar a cabo la función registral del Estado de México en los términos de la Ley Registral para el Estado de México, Reglamento de la Ley Registral para el Estado de México y los Derechos por la prestación de los servicios se encuentran establecidos en la Ley de Ingresos del Estado de México para el ejercicio fiscal correspondiente, en el Código Financiero del Estado de México y Municipios, la Ley que crea este Organismo y su Reglamento Interior, así como en ordenamientos legales aplicables, su objeto es de interés general, beneficio colectivo y para la prestación de un servicio público.</w:t>
      </w:r>
    </w:p>
    <w:p w:rsidR="002D109B" w:rsidRPr="00B05C27" w:rsidRDefault="002D109B" w:rsidP="002D109B">
      <w:pPr>
        <w:spacing w:line="276" w:lineRule="auto"/>
        <w:ind w:right="-1"/>
        <w:jc w:val="both"/>
      </w:pPr>
      <w:r w:rsidRPr="00B05C27">
        <w:t xml:space="preserve">Actualmente, el Instituto de la Función Registral del Estado de México cuenta con una estructura orgánica autorizada por la Secretaría de Finanzas en mayo de 2013 integrada por 50 unidades administrativas (una Dirección General, cinco Direcciones de Área, nueve Subdirecciones y 35 Departamentos). El organigrama se puede consultar en la siguiente liga: </w:t>
      </w:r>
      <w:hyperlink r:id="rId23" w:history="1">
        <w:r w:rsidRPr="00B05C27">
          <w:rPr>
            <w:color w:val="0000FF"/>
            <w:u w:val="single"/>
          </w:rPr>
          <w:t>http://ifrem.edomex.gob.mx/organigrama</w:t>
        </w:r>
      </w:hyperlink>
      <w:r w:rsidRPr="00B05C27">
        <w:t>.</w:t>
      </w:r>
    </w:p>
    <w:p w:rsidR="00016F2A" w:rsidRPr="00AB0FF1" w:rsidRDefault="002D109B" w:rsidP="00AB0FF1">
      <w:pPr>
        <w:spacing w:after="101" w:line="276" w:lineRule="auto"/>
        <w:ind w:right="-1"/>
        <w:jc w:val="both"/>
        <w:rPr>
          <w:rFonts w:eastAsia="Times New Roman" w:cs="Arial"/>
          <w:lang w:val="es-ES" w:eastAsia="es-ES"/>
        </w:rPr>
      </w:pPr>
      <w:r w:rsidRPr="00B05C27">
        <w:rPr>
          <w:rFonts w:eastAsia="Times New Roman" w:cs="Arial"/>
          <w:lang w:val="es-ES" w:eastAsia="es-ES"/>
        </w:rPr>
        <w:t>El Instituto,</w:t>
      </w:r>
      <w:r w:rsidRPr="00B05C27">
        <w:rPr>
          <w:rFonts w:eastAsia="Times New Roman" w:cs="CenturyGothic"/>
          <w:lang w:val="es-ES" w:eastAsia="es-ES"/>
        </w:rPr>
        <w:t xml:space="preserve"> p</w:t>
      </w:r>
      <w:r w:rsidRPr="00B05C27">
        <w:rPr>
          <w:rFonts w:eastAsia="Times New Roman" w:cs="Arial"/>
          <w:lang w:val="es-ES" w:eastAsia="es-ES"/>
        </w:rPr>
        <w:t>ara el cumplimiento de su objeto, tendrá las atribuciones que se mencionan en su Decreto de creación publicado en el periódico oficial Gaceta del Gobierno.</w:t>
      </w:r>
    </w:p>
    <w:p w:rsidR="002D109B" w:rsidRPr="00B05C27" w:rsidRDefault="002D109B" w:rsidP="002D109B">
      <w:pPr>
        <w:numPr>
          <w:ilvl w:val="0"/>
          <w:numId w:val="10"/>
        </w:numPr>
        <w:spacing w:after="240" w:line="276" w:lineRule="auto"/>
        <w:ind w:right="-1"/>
        <w:contextualSpacing/>
        <w:jc w:val="both"/>
        <w:rPr>
          <w:rFonts w:eastAsia="Times New Roman" w:cs="Times New Roman"/>
          <w:lang w:eastAsia="es-MX"/>
        </w:rPr>
      </w:pPr>
      <w:r w:rsidRPr="00B05C27">
        <w:rPr>
          <w:rFonts w:eastAsia="Times New Roman" w:cs="Times New Roman"/>
          <w:b/>
          <w:lang w:eastAsia="es-MX"/>
        </w:rPr>
        <w:t>Bases de preparación de los Estados Financieros</w:t>
      </w:r>
    </w:p>
    <w:p w:rsidR="002D109B" w:rsidRPr="00B05C27" w:rsidRDefault="002D109B" w:rsidP="002D109B">
      <w:pPr>
        <w:spacing w:after="240" w:line="276" w:lineRule="auto"/>
        <w:ind w:left="284" w:right="-1"/>
        <w:contextualSpacing/>
        <w:jc w:val="both"/>
        <w:rPr>
          <w:rFonts w:eastAsia="Times New Roman" w:cs="Times New Roman"/>
          <w:lang w:eastAsia="es-MX"/>
        </w:rPr>
      </w:pPr>
    </w:p>
    <w:p w:rsidR="002D109B" w:rsidRPr="00B05C27" w:rsidRDefault="002D109B" w:rsidP="002D109B">
      <w:pPr>
        <w:spacing w:after="101" w:line="276" w:lineRule="auto"/>
        <w:ind w:right="-1"/>
        <w:jc w:val="both"/>
        <w:rPr>
          <w:rFonts w:eastAsia="Times New Roman" w:cs="Arial"/>
          <w:lang w:val="es-ES" w:eastAsia="es-ES"/>
        </w:rPr>
      </w:pPr>
      <w:r w:rsidRPr="00B05C27">
        <w:rPr>
          <w:rFonts w:eastAsia="Times New Roman" w:cs="Arial"/>
          <w:lang w:val="es-ES" w:eastAsia="es-ES"/>
        </w:rPr>
        <w:t>Los Estados Financieros que se acompañan, fueron preparados observando la normatividad emitida por el CONAC y las disposiciones legales aplicables, con base en el Manual Único de Contabilidad Gubernamental para las Dependencias y Entidades del Gobierno y Municipios del Estado de México, (Decimoséptima Edición), para el presente ejercicio fiscal, publicado en la “Gaceta del Gobierno” el lunes 12 de marzo de 2018, aplicable a los Organismos Auxiliares del Gobierno del Estado de México, para efectos de la Ley para la Coordinación y Control de Organismos Auxiliares.</w:t>
      </w:r>
    </w:p>
    <w:p w:rsidR="002D109B" w:rsidRPr="00B05C27" w:rsidRDefault="002D109B" w:rsidP="002D109B">
      <w:pPr>
        <w:autoSpaceDE w:val="0"/>
        <w:autoSpaceDN w:val="0"/>
        <w:adjustRightInd w:val="0"/>
        <w:spacing w:line="276" w:lineRule="auto"/>
        <w:ind w:right="-1"/>
        <w:jc w:val="both"/>
      </w:pPr>
      <w:r w:rsidRPr="00B05C27">
        <w:t xml:space="preserve">Con base en dicho manual en este ejercicio se han realizado las adecuaciones de presentación necesarias para estas notas. Así mismo </w:t>
      </w:r>
      <w:r w:rsidRPr="00B05C27">
        <w:rPr>
          <w:rFonts w:cs="Arial"/>
          <w:lang w:eastAsia="es-MX"/>
        </w:rPr>
        <w:t>la información se elaboró conforme a las normas, criterios y principios técnicos y las disposiciones legales aplicables, obedeciendo a las mejores prácticas contables,</w:t>
      </w:r>
      <w:r w:rsidRPr="00B05C27">
        <w:t xml:space="preserve"> se incluye lo correspondiente a las normas y lineamientos </w:t>
      </w:r>
      <w:r w:rsidRPr="00B05C27">
        <w:rPr>
          <w:rFonts w:cs="Arial"/>
          <w:lang w:eastAsia="es-MX"/>
        </w:rPr>
        <w:t xml:space="preserve">emitidos por </w:t>
      </w:r>
      <w:r w:rsidRPr="00B05C27">
        <w:t>el Consejo Nacional de Armonización Contable (CONAC)</w:t>
      </w:r>
      <w:r w:rsidRPr="00B05C27">
        <w:rPr>
          <w:rFonts w:cs="Arial"/>
          <w:lang w:eastAsia="es-MX"/>
        </w:rPr>
        <w:t>;</w:t>
      </w:r>
      <w:r w:rsidRPr="00B05C27">
        <w:t xml:space="preserve"> publicados el 13 de octubre de 2014, en el periódico oficial del Gobierno del Estado de México, denominado “Gaceta del Gobierno”.</w:t>
      </w:r>
    </w:p>
    <w:p w:rsidR="002D109B" w:rsidRDefault="002D109B" w:rsidP="002D109B">
      <w:pPr>
        <w:autoSpaceDE w:val="0"/>
        <w:autoSpaceDN w:val="0"/>
        <w:adjustRightInd w:val="0"/>
        <w:spacing w:line="276" w:lineRule="auto"/>
        <w:ind w:right="-1"/>
        <w:jc w:val="both"/>
      </w:pPr>
      <w:r w:rsidRPr="00B05C27">
        <w:t>El 24 de abril de 2016 se publicó en el Diario Oficial de la Federación la Ley de Disciplina Financiera de las Entidades Federativas y los Municipios, cuyo objeto es establecer los criterios generales de responsabilidad hacendaria y financiera que regirán a las Entidades Federativas y los Municipios, así como a sus respectivos Entes Públicos, para un manejo sostenible de sus finanzas públicas, en donde el IFREM se sujetará a lo que dispone y administrará sus recursos con base en los principios de legalidad, honestidad, eficacia, eficiencia, economía, racionalidad, austeridad, transparencia, control y rendición de cuentas.</w:t>
      </w:r>
    </w:p>
    <w:p w:rsidR="006351E0" w:rsidRPr="00276066" w:rsidRDefault="006351E0" w:rsidP="002D109B">
      <w:pPr>
        <w:autoSpaceDE w:val="0"/>
        <w:autoSpaceDN w:val="0"/>
        <w:adjustRightInd w:val="0"/>
        <w:spacing w:line="276" w:lineRule="auto"/>
        <w:ind w:right="-1"/>
        <w:jc w:val="both"/>
        <w:rPr>
          <w:sz w:val="8"/>
        </w:rPr>
      </w:pPr>
    </w:p>
    <w:p w:rsidR="002D109B" w:rsidRPr="00B05C27" w:rsidRDefault="002D109B" w:rsidP="002D109B">
      <w:pPr>
        <w:numPr>
          <w:ilvl w:val="0"/>
          <w:numId w:val="10"/>
        </w:numPr>
        <w:autoSpaceDE w:val="0"/>
        <w:autoSpaceDN w:val="0"/>
        <w:adjustRightInd w:val="0"/>
        <w:spacing w:after="240" w:line="276" w:lineRule="auto"/>
        <w:ind w:left="284" w:right="-1" w:firstLine="0"/>
        <w:contextualSpacing/>
        <w:jc w:val="both"/>
        <w:rPr>
          <w:rFonts w:eastAsia="Times New Roman" w:cs="Times New Roman"/>
          <w:lang w:eastAsia="es-MX"/>
        </w:rPr>
      </w:pPr>
      <w:r w:rsidRPr="00B05C27">
        <w:rPr>
          <w:rFonts w:eastAsia="Times New Roman" w:cs="Times New Roman"/>
          <w:b/>
          <w:lang w:eastAsia="es-MX"/>
        </w:rPr>
        <w:t>Políticas de Contabilidad Significativas.</w:t>
      </w:r>
    </w:p>
    <w:p w:rsidR="002D109B" w:rsidRPr="00B05C27" w:rsidRDefault="002D109B" w:rsidP="002D109B">
      <w:pPr>
        <w:autoSpaceDE w:val="0"/>
        <w:autoSpaceDN w:val="0"/>
        <w:adjustRightInd w:val="0"/>
        <w:spacing w:after="240" w:line="276" w:lineRule="auto"/>
        <w:ind w:left="284" w:right="-1"/>
        <w:contextualSpacing/>
        <w:jc w:val="both"/>
        <w:rPr>
          <w:rFonts w:eastAsia="Times New Roman" w:cs="Times New Roman"/>
          <w:lang w:eastAsia="es-MX"/>
        </w:rPr>
      </w:pPr>
    </w:p>
    <w:p w:rsidR="002D109B" w:rsidRPr="00B05C27" w:rsidRDefault="002D109B" w:rsidP="002D109B">
      <w:pPr>
        <w:numPr>
          <w:ilvl w:val="0"/>
          <w:numId w:val="8"/>
        </w:numPr>
        <w:spacing w:before="240" w:line="276" w:lineRule="auto"/>
        <w:ind w:right="-1"/>
        <w:jc w:val="both"/>
        <w:rPr>
          <w:rFonts w:cs="Arial"/>
        </w:rPr>
      </w:pPr>
      <w:r w:rsidRPr="00B05C27">
        <w:rPr>
          <w:rFonts w:cs="Arial"/>
        </w:rPr>
        <w:t>Los Estados Financieros se preparan tomando como base los Postulados Básicos de Contabilidad Gubernamental.</w:t>
      </w:r>
    </w:p>
    <w:p w:rsidR="00B53B61" w:rsidRPr="006351E0" w:rsidRDefault="002D109B" w:rsidP="00B53B61">
      <w:pPr>
        <w:numPr>
          <w:ilvl w:val="0"/>
          <w:numId w:val="8"/>
        </w:numPr>
        <w:spacing w:line="276" w:lineRule="auto"/>
        <w:ind w:right="-1"/>
        <w:jc w:val="both"/>
        <w:rPr>
          <w:rFonts w:cs="Arial"/>
        </w:rPr>
      </w:pPr>
      <w:r w:rsidRPr="00B05C27">
        <w:rPr>
          <w:rFonts w:cs="Arial"/>
        </w:rPr>
        <w:t>La información contable básica está conformada por el Estado de Situación Financiera, el Estado de Actividades para Entidades con fines no lucrativos, el Estado de Flujos de Efectivo, Estado de Variaciones en la Hacienda Pública/Patrimonio, Estado Analítico del Activo, así como sus notas que son parte integrante de los mismos; también se integra por los estados complementarios, como la Disponibilidad del Flujo de Efectivo, la Evolución e Integración de la Deuda y el Estado de Cambios en el Capital de Trabajo.</w:t>
      </w:r>
    </w:p>
    <w:p w:rsidR="002D109B" w:rsidRPr="00B05C27" w:rsidRDefault="002D109B" w:rsidP="002D109B">
      <w:pPr>
        <w:numPr>
          <w:ilvl w:val="0"/>
          <w:numId w:val="8"/>
        </w:numPr>
        <w:spacing w:line="276" w:lineRule="auto"/>
        <w:ind w:right="-1"/>
        <w:jc w:val="both"/>
        <w:rPr>
          <w:rFonts w:cs="Arial"/>
        </w:rPr>
      </w:pPr>
      <w:r w:rsidRPr="00B05C27">
        <w:rPr>
          <w:rFonts w:cs="Arial"/>
        </w:rPr>
        <w:t>La información presupuestal se integra por el Estado de Ingresos y Egresos, el Estado Comparativo de Ingresos, el Estado Comparativo de Egresos, el Estado de Avance Presupuestal de Ingresos y el Estado de Avance Presupuestal de Egresos, así como los complementarios que detallan los ingresos y egresos por cada concepto.</w:t>
      </w:r>
    </w:p>
    <w:p w:rsidR="002D109B" w:rsidRPr="00B05C27" w:rsidRDefault="002D109B" w:rsidP="002D109B">
      <w:pPr>
        <w:numPr>
          <w:ilvl w:val="0"/>
          <w:numId w:val="8"/>
        </w:numPr>
        <w:spacing w:line="276" w:lineRule="auto"/>
        <w:ind w:right="-1"/>
        <w:jc w:val="both"/>
        <w:rPr>
          <w:rFonts w:cs="Arial"/>
        </w:rPr>
      </w:pPr>
      <w:r w:rsidRPr="00B05C27">
        <w:rPr>
          <w:rFonts w:cs="Arial"/>
        </w:rPr>
        <w:t>La información de obra pública se clasifica en Obras en Proceso y Gasto Ejercido; y Obras Concluidas y su Costo. Así como la información de la nómina: Plantilla de personal.</w:t>
      </w:r>
    </w:p>
    <w:p w:rsidR="002D109B" w:rsidRPr="00B05C27" w:rsidRDefault="002D109B" w:rsidP="002D109B">
      <w:pPr>
        <w:numPr>
          <w:ilvl w:val="0"/>
          <w:numId w:val="8"/>
        </w:numPr>
        <w:spacing w:line="276" w:lineRule="auto"/>
        <w:ind w:right="-1"/>
        <w:jc w:val="both"/>
        <w:rPr>
          <w:rFonts w:cs="Arial"/>
        </w:rPr>
      </w:pPr>
      <w:r w:rsidRPr="00B05C27">
        <w:rPr>
          <w:rFonts w:cs="Arial"/>
        </w:rPr>
        <w:t>Respecto a la clasificación del pasivo, se considerará a corto plazo el que vence dentro del ejercicio fiscal correspondiente y, a largo plazo el que venza en ejercicios fiscales posteriores al que corresponda la información.</w:t>
      </w:r>
    </w:p>
    <w:p w:rsidR="002D109B" w:rsidRPr="00B05C27" w:rsidRDefault="002D109B" w:rsidP="002D109B">
      <w:pPr>
        <w:numPr>
          <w:ilvl w:val="0"/>
          <w:numId w:val="8"/>
        </w:numPr>
        <w:spacing w:line="276" w:lineRule="auto"/>
        <w:ind w:right="-1"/>
        <w:jc w:val="both"/>
        <w:rPr>
          <w:rFonts w:cs="Arial"/>
        </w:rPr>
      </w:pPr>
      <w:r w:rsidRPr="00B05C27">
        <w:rPr>
          <w:rFonts w:cs="Arial"/>
        </w:rPr>
        <w:t>Las inversiones en valores negociables, se encuentran representados por depósitos bancarios e inversiones de renta fija a corto plazo, se registran a su valor de mercado (valor de la inversión, más el rendimiento acumulado). Los rendimientos generados se reconocen en resultados conforme se realizan, en los que siempre se deberá considerar el valor invertido más los rendimientos generados.</w:t>
      </w:r>
    </w:p>
    <w:p w:rsidR="002D109B" w:rsidRPr="00B05C27" w:rsidRDefault="002D109B" w:rsidP="002D109B">
      <w:pPr>
        <w:numPr>
          <w:ilvl w:val="0"/>
          <w:numId w:val="8"/>
        </w:numPr>
        <w:spacing w:line="276" w:lineRule="auto"/>
        <w:ind w:right="-1"/>
        <w:jc w:val="both"/>
        <w:rPr>
          <w:rFonts w:cs="Arial"/>
        </w:rPr>
      </w:pPr>
      <w:r w:rsidRPr="00B05C27">
        <w:rPr>
          <w:rFonts w:cs="Arial"/>
        </w:rPr>
        <w:t>Los bienes muebles se registran a su costo de adquisición, incluyendo el Impuesto al Valor Agregado (IVA). La depreciación se calcula a partir del mes siguiente al de su adquisición, aplicando las tasas establecidas en el Manual Único de Contabilidad Gubernamental para las Dependencias y Entidades del Gobierno y Municipios del Estado de México.</w:t>
      </w:r>
    </w:p>
    <w:p w:rsidR="002D109B" w:rsidRPr="00B05C27" w:rsidRDefault="002D109B" w:rsidP="002D109B">
      <w:pPr>
        <w:numPr>
          <w:ilvl w:val="0"/>
          <w:numId w:val="8"/>
        </w:numPr>
        <w:spacing w:line="276" w:lineRule="auto"/>
        <w:ind w:right="-1"/>
        <w:jc w:val="both"/>
        <w:rPr>
          <w:rFonts w:cs="Arial"/>
        </w:rPr>
      </w:pPr>
      <w:r w:rsidRPr="00B05C27">
        <w:rPr>
          <w:rFonts w:cs="Arial"/>
        </w:rPr>
        <w:t>Las cuentas por cobrar representan la comprobación de los anticipos para gastos otorgados a los servidores públicos del Instituto o a terceros para cumplir con actividades de programas específicos, así como saldos que deberán ser comprobados o reintegrados conforme a la normatividad establecida.</w:t>
      </w:r>
    </w:p>
    <w:p w:rsidR="002D109B" w:rsidRDefault="002D109B" w:rsidP="002D109B">
      <w:pPr>
        <w:numPr>
          <w:ilvl w:val="0"/>
          <w:numId w:val="8"/>
        </w:numPr>
        <w:spacing w:line="276" w:lineRule="auto"/>
        <w:ind w:right="-1"/>
        <w:jc w:val="both"/>
        <w:rPr>
          <w:rFonts w:cs="Arial"/>
        </w:rPr>
      </w:pPr>
      <w:r w:rsidRPr="00B05C27">
        <w:rPr>
          <w:rFonts w:cs="Arial"/>
        </w:rPr>
        <w:t>Los anticipos a proveedores y contratistas, son las cantidades de dinero entregadas a los proveedores de bienes o servicios y contratistas de obra pública y servicios relacionados con la misma con el fin de obtener una contraprestación pactada mediante contrato o convenio, las cuales deberán ser comprobadas o reintegradas conforme a la normatividad establecida. Si el tercero no diera cumplimiento a lo dispuesto en el contrato o convenio, el asunto se deberá turnar a las áreas jurídicas para su recuperación a través de las fianzas correspondientes.</w:t>
      </w:r>
    </w:p>
    <w:p w:rsidR="00276066" w:rsidRPr="006351E0" w:rsidRDefault="00276066" w:rsidP="006351E0">
      <w:pPr>
        <w:spacing w:line="276" w:lineRule="auto"/>
        <w:ind w:right="-1"/>
        <w:jc w:val="both"/>
        <w:rPr>
          <w:rFonts w:cs="Arial"/>
          <w:sz w:val="4"/>
        </w:rPr>
      </w:pPr>
    </w:p>
    <w:p w:rsidR="006C38BA" w:rsidRPr="000C556F" w:rsidRDefault="002D109B" w:rsidP="002D109B">
      <w:pPr>
        <w:spacing w:line="276" w:lineRule="auto"/>
        <w:ind w:right="-1"/>
        <w:jc w:val="both"/>
        <w:rPr>
          <w:rFonts w:cs="Arial"/>
        </w:rPr>
      </w:pPr>
      <w:r w:rsidRPr="00B05C27">
        <w:rPr>
          <w:rFonts w:cs="Arial"/>
        </w:rPr>
        <w:t>Las existencias del almacén se valúan a costo promedio y se afectará tanto el resultado del ejercicio como el presupuesto de egresos en el momento en que el gasto se considere devengado, en términos de lo dispuesto por el Postulado Contable de Base de Registro, por otro lado, las existencias se controlarán en cuentas de orden.</w:t>
      </w:r>
    </w:p>
    <w:p w:rsidR="002D109B" w:rsidRPr="00B05C27" w:rsidRDefault="002D109B" w:rsidP="002D109B">
      <w:pPr>
        <w:pStyle w:val="Prrafodelista"/>
        <w:numPr>
          <w:ilvl w:val="0"/>
          <w:numId w:val="12"/>
        </w:numPr>
        <w:spacing w:after="240" w:line="276" w:lineRule="auto"/>
        <w:ind w:right="-1"/>
        <w:jc w:val="both"/>
        <w:rPr>
          <w:rFonts w:ascii="HelveticaNeueLT Std" w:hAnsi="HelveticaNeueLT Std"/>
          <w:b/>
          <w:sz w:val="20"/>
          <w:szCs w:val="20"/>
        </w:rPr>
      </w:pPr>
      <w:r w:rsidRPr="00B05C27">
        <w:rPr>
          <w:rFonts w:ascii="HelveticaNeueLT Std" w:hAnsi="HelveticaNeueLT Std"/>
          <w:b/>
          <w:sz w:val="20"/>
          <w:szCs w:val="20"/>
        </w:rPr>
        <w:t>Posición en Moneda Extranjera y Protección por Riesgo Cambiario</w:t>
      </w:r>
    </w:p>
    <w:p w:rsidR="00763B0C" w:rsidRPr="00B05C27" w:rsidRDefault="002D109B" w:rsidP="002D109B">
      <w:pPr>
        <w:pStyle w:val="Texto"/>
        <w:spacing w:line="276" w:lineRule="auto"/>
        <w:ind w:right="-1" w:firstLine="0"/>
        <w:rPr>
          <w:rFonts w:ascii="HelveticaNeueLT Std" w:hAnsi="HelveticaNeueLT Std"/>
          <w:sz w:val="20"/>
        </w:rPr>
      </w:pPr>
      <w:r w:rsidRPr="00B05C27">
        <w:rPr>
          <w:rFonts w:ascii="HelveticaNeueLT Std" w:hAnsi="HelveticaNeueLT Std"/>
          <w:sz w:val="20"/>
        </w:rPr>
        <w:t>Los estados financieros antes mencionados se presentan en moneda de informe peso mexicano, que es igual a la moneda de registro y a su moneda funcional, por lo tanto, este punto no es aplicable para la entidad</w:t>
      </w:r>
      <w:r>
        <w:rPr>
          <w:rFonts w:ascii="HelveticaNeueLT Std" w:hAnsi="HelveticaNeueLT Std"/>
          <w:sz w:val="20"/>
        </w:rPr>
        <w:t>.</w:t>
      </w:r>
    </w:p>
    <w:p w:rsidR="002D109B" w:rsidRPr="00B05C27" w:rsidRDefault="002D109B" w:rsidP="002D109B">
      <w:pPr>
        <w:pStyle w:val="Prrafodelista"/>
        <w:numPr>
          <w:ilvl w:val="0"/>
          <w:numId w:val="12"/>
        </w:numPr>
        <w:spacing w:after="101" w:line="276" w:lineRule="auto"/>
        <w:ind w:right="-1"/>
        <w:jc w:val="both"/>
        <w:rPr>
          <w:rFonts w:ascii="HelveticaNeueLT Std" w:hAnsi="HelveticaNeueLT Std"/>
          <w:b/>
          <w:sz w:val="20"/>
          <w:szCs w:val="20"/>
        </w:rPr>
      </w:pPr>
      <w:r w:rsidRPr="00B05C27">
        <w:rPr>
          <w:rFonts w:ascii="HelveticaNeueLT Std" w:hAnsi="HelveticaNeueLT Std"/>
          <w:b/>
          <w:sz w:val="20"/>
          <w:szCs w:val="20"/>
        </w:rPr>
        <w:t>Reporte Analítico del Activo</w:t>
      </w:r>
    </w:p>
    <w:p w:rsidR="00383861" w:rsidRPr="006C38BA" w:rsidRDefault="002D109B" w:rsidP="006C38BA">
      <w:pPr>
        <w:pStyle w:val="Texto"/>
        <w:spacing w:after="0" w:line="240" w:lineRule="exact"/>
        <w:ind w:left="644" w:firstLine="0"/>
        <w:rPr>
          <w:rFonts w:ascii="HelveticaNeueLT Std" w:hAnsi="HelveticaNeueLT Std"/>
          <w:sz w:val="20"/>
          <w:lang w:val="es-MX"/>
        </w:rPr>
      </w:pPr>
      <w:r w:rsidRPr="00B05C27">
        <w:rPr>
          <w:rFonts w:ascii="HelveticaNeueLT Std" w:hAnsi="HelveticaNeueLT Std"/>
          <w:noProof/>
          <w:sz w:val="20"/>
          <w:lang w:val="es-MX" w:eastAsia="es-MX"/>
        </w:rPr>
        <mc:AlternateContent>
          <mc:Choice Requires="wpc">
            <w:drawing>
              <wp:anchor distT="0" distB="0" distL="114300" distR="114300" simplePos="0" relativeHeight="251659264" behindDoc="0" locked="0" layoutInCell="1" allowOverlap="1" wp14:anchorId="5CA1998B" wp14:editId="3E8C419D">
                <wp:simplePos x="0" y="0"/>
                <wp:positionH relativeFrom="column">
                  <wp:posOffset>-692150</wp:posOffset>
                </wp:positionH>
                <wp:positionV relativeFrom="paragraph">
                  <wp:posOffset>-7432040</wp:posOffset>
                </wp:positionV>
                <wp:extent cx="6467475" cy="1924685"/>
                <wp:effectExtent l="0" t="0" r="0" b="18415"/>
                <wp:wrapNone/>
                <wp:docPr id="516" name="Lienzo 4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86" name="Rectangle 439"/>
                        <wps:cNvSpPr>
                          <a:spLocks noChangeArrowheads="1"/>
                        </wps:cNvSpPr>
                        <wps:spPr bwMode="auto">
                          <a:xfrm>
                            <a:off x="6362700" y="18986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0"/>
                        <wps:cNvCnPr>
                          <a:cxnSpLocks noChangeShapeType="1"/>
                        </wps:cNvCnPr>
                        <wps:spPr bwMode="auto">
                          <a:xfrm>
                            <a:off x="6362700" y="3403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9" name="Rectangle 441"/>
                        <wps:cNvSpPr>
                          <a:spLocks noChangeArrowheads="1"/>
                        </wps:cNvSpPr>
                        <wps:spPr bwMode="auto">
                          <a:xfrm>
                            <a:off x="6362700" y="34036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
                        <wps:cNvCnPr>
                          <a:cxnSpLocks noChangeShapeType="1"/>
                        </wps:cNvCnPr>
                        <wps:spPr bwMode="auto">
                          <a:xfrm>
                            <a:off x="6362700" y="4972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1" name="Rectangle 443"/>
                        <wps:cNvSpPr>
                          <a:spLocks noChangeArrowheads="1"/>
                        </wps:cNvSpPr>
                        <wps:spPr bwMode="auto">
                          <a:xfrm>
                            <a:off x="6362700" y="49720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4"/>
                        <wps:cNvCnPr>
                          <a:cxnSpLocks noChangeShapeType="1"/>
                        </wps:cNvCnPr>
                        <wps:spPr bwMode="auto">
                          <a:xfrm>
                            <a:off x="6362700" y="6216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3" name="Rectangle 445"/>
                        <wps:cNvSpPr>
                          <a:spLocks noChangeArrowheads="1"/>
                        </wps:cNvSpPr>
                        <wps:spPr bwMode="auto">
                          <a:xfrm>
                            <a:off x="6362700" y="62166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6"/>
                        <wps:cNvCnPr>
                          <a:cxnSpLocks noChangeShapeType="1"/>
                        </wps:cNvCnPr>
                        <wps:spPr bwMode="auto">
                          <a:xfrm>
                            <a:off x="6362700" y="7334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5" name="Rectangle 447"/>
                        <wps:cNvSpPr>
                          <a:spLocks noChangeArrowheads="1"/>
                        </wps:cNvSpPr>
                        <wps:spPr bwMode="auto">
                          <a:xfrm>
                            <a:off x="6362700" y="73342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8"/>
                        <wps:cNvCnPr>
                          <a:cxnSpLocks noChangeShapeType="1"/>
                        </wps:cNvCnPr>
                        <wps:spPr bwMode="auto">
                          <a:xfrm>
                            <a:off x="6362700" y="8445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7" name="Rectangle 449"/>
                        <wps:cNvSpPr>
                          <a:spLocks noChangeArrowheads="1"/>
                        </wps:cNvSpPr>
                        <wps:spPr bwMode="auto">
                          <a:xfrm>
                            <a:off x="6362700" y="8445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50"/>
                        <wps:cNvCnPr>
                          <a:cxnSpLocks noChangeShapeType="1"/>
                        </wps:cNvCnPr>
                        <wps:spPr bwMode="auto">
                          <a:xfrm>
                            <a:off x="6362700" y="9556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9" name="Rectangle 451"/>
                        <wps:cNvSpPr>
                          <a:spLocks noChangeArrowheads="1"/>
                        </wps:cNvSpPr>
                        <wps:spPr bwMode="auto">
                          <a:xfrm>
                            <a:off x="6362700" y="95567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52"/>
                        <wps:cNvCnPr>
                          <a:cxnSpLocks noChangeShapeType="1"/>
                        </wps:cNvCnPr>
                        <wps:spPr bwMode="auto">
                          <a:xfrm>
                            <a:off x="6362700" y="1067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1" name="Rectangle 453"/>
                        <wps:cNvSpPr>
                          <a:spLocks noChangeArrowheads="1"/>
                        </wps:cNvSpPr>
                        <wps:spPr bwMode="auto">
                          <a:xfrm>
                            <a:off x="6362700" y="106743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54"/>
                        <wps:cNvCnPr>
                          <a:cxnSpLocks noChangeShapeType="1"/>
                        </wps:cNvCnPr>
                        <wps:spPr bwMode="auto">
                          <a:xfrm>
                            <a:off x="6362700" y="12376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3" name="Rectangle 455"/>
                        <wps:cNvSpPr>
                          <a:spLocks noChangeArrowheads="1"/>
                        </wps:cNvSpPr>
                        <wps:spPr bwMode="auto">
                          <a:xfrm>
                            <a:off x="6362700" y="123761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56"/>
                        <wps:cNvCnPr>
                          <a:cxnSpLocks noChangeShapeType="1"/>
                        </wps:cNvCnPr>
                        <wps:spPr bwMode="auto">
                          <a:xfrm>
                            <a:off x="6362700" y="13487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5" name="Rectangle 457"/>
                        <wps:cNvSpPr>
                          <a:spLocks noChangeArrowheads="1"/>
                        </wps:cNvSpPr>
                        <wps:spPr bwMode="auto">
                          <a:xfrm>
                            <a:off x="6362700" y="134874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58"/>
                        <wps:cNvCnPr>
                          <a:cxnSpLocks noChangeShapeType="1"/>
                        </wps:cNvCnPr>
                        <wps:spPr bwMode="auto">
                          <a:xfrm>
                            <a:off x="6362700" y="14598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7" name="Rectangle 459"/>
                        <wps:cNvSpPr>
                          <a:spLocks noChangeArrowheads="1"/>
                        </wps:cNvSpPr>
                        <wps:spPr bwMode="auto">
                          <a:xfrm>
                            <a:off x="6362700" y="145986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60"/>
                        <wps:cNvCnPr>
                          <a:cxnSpLocks noChangeShapeType="1"/>
                        </wps:cNvCnPr>
                        <wps:spPr bwMode="auto">
                          <a:xfrm>
                            <a:off x="6362700" y="15716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9" name="Rectangle 461"/>
                        <wps:cNvSpPr>
                          <a:spLocks noChangeArrowheads="1"/>
                        </wps:cNvSpPr>
                        <wps:spPr bwMode="auto">
                          <a:xfrm>
                            <a:off x="6362700" y="157162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62"/>
                        <wps:cNvCnPr>
                          <a:cxnSpLocks noChangeShapeType="1"/>
                        </wps:cNvCnPr>
                        <wps:spPr bwMode="auto">
                          <a:xfrm>
                            <a:off x="6362700" y="16827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1" name="Rectangle 463"/>
                        <wps:cNvSpPr>
                          <a:spLocks noChangeArrowheads="1"/>
                        </wps:cNvSpPr>
                        <wps:spPr bwMode="auto">
                          <a:xfrm>
                            <a:off x="6362700" y="16827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64"/>
                        <wps:cNvCnPr>
                          <a:cxnSpLocks noChangeShapeType="1"/>
                        </wps:cNvCnPr>
                        <wps:spPr bwMode="auto">
                          <a:xfrm>
                            <a:off x="6362700" y="17938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3" name="Rectangle 465"/>
                        <wps:cNvSpPr>
                          <a:spLocks noChangeArrowheads="1"/>
                        </wps:cNvSpPr>
                        <wps:spPr bwMode="auto">
                          <a:xfrm>
                            <a:off x="6362700" y="179387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66"/>
                        <wps:cNvCnPr>
                          <a:cxnSpLocks noChangeShapeType="1"/>
                        </wps:cNvCnPr>
                        <wps:spPr bwMode="auto">
                          <a:xfrm>
                            <a:off x="6362700" y="19119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5" name="Rectangle 467"/>
                        <wps:cNvSpPr>
                          <a:spLocks noChangeArrowheads="1"/>
                        </wps:cNvSpPr>
                        <wps:spPr bwMode="auto">
                          <a:xfrm>
                            <a:off x="6362700" y="191198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6009904" id="Lienzo 480" o:spid="_x0000_s1026" editas="canvas" style="position:absolute;margin-left:-54.5pt;margin-top:-585.2pt;width:509.25pt;height:151.55pt;z-index:251659264" coordsize="64674,1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674;height:19246;visibility:visible;mso-wrap-style:square">
                  <v:fill o:detectmouseclick="t"/>
                  <v:path o:connecttype="none"/>
                </v:shape>
                <v:rect id="Rectangle 439" o:spid="_x0000_s1028" style="position:absolute;left:63627;top:189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r8UA&#10;AADcAAAADwAAAGRycy9kb3ducmV2LnhtbESPzWrDMBCE74W8g9hCL6WRWxqTulZCKAmkt+bnARZr&#10;Y9mxVkZSEidPXxUKOQ4z8w1TzgfbiTP50DhW8DrOQBBXTjdcK9jvVi9TECEia+wck4IrBZjPRg8l&#10;FtpdeEPnbaxFgnAoUIGJsS+kDJUhi2HseuLkHZy3GJP0tdQeLwluO/mWZbm02HBaMNjTl6HquD1Z&#10;BbL90Y3sl7lvD89H/WG+J3ibKPX0OCw+QUQa4j38315rBe/TH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9OvxQAAANwAAAAPAAAAAAAAAAAAAAAAAJgCAABkcnMv&#10;ZG93bnJldi54bWxQSwUGAAAAAAQABAD1AAAAigMAAAAA&#10;" fillcolor="#d4d4d4" stroked="f"/>
                <v:line id="Line 440" o:spid="_x0000_s1029" style="position:absolute;visibility:visible;mso-wrap-style:square" from="63627,3403" to="63633,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YscMAAADcAAAADwAAAGRycy9kb3ducmV2LnhtbERPTWsCMRC9F/wPYQq9FM0qRWRrlNpa&#10;qSCIVvE6bsbdxc1kSaKu/npzEDw+3vdw3JhKnMn50rKCbicBQZxZXXKuYPP/2x6A8AFZY2WZFFzJ&#10;w3jUehliqu2FV3Reh1zEEPYpKihCqFMpfVaQQd+xNXHkDtYZDBG6XGqHlxhuKtlLkr40WHJsKLCm&#10;74Ky4/pkFOy68+y22rjJbLJ7X/zwfjndyoNSb6/N1yeIQE14ih/uP63gYxDXxjPxCMjR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BGLHDAAAA3AAAAA8AAAAAAAAAAAAA&#10;AAAAoQIAAGRycy9kb3ducmV2LnhtbFBLBQYAAAAABAAEAPkAAACRAwAAAAA=&#10;" strokecolor="#d4d4d4" strokeweight="0"/>
                <v:rect id="Rectangle 441" o:spid="_x0000_s1030" style="position:absolute;left:63627;top:3403;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H3cQA&#10;AADcAAAADwAAAGRycy9kb3ducmV2LnhtbESP0WoCMRRE3wv+Q7hCX4pmLVV0NYqIQvtWVz/gsrlu&#10;Vjc3SxJ17dc3hYKPw8ycYRarzjbiRj7UjhWMhhkI4tLpmisFx8NuMAURIrLGxjEpeFCA1bL3ssBc&#10;uzvv6VbESiQIhxwVmBjbXMpQGrIYhq4lTt7JeYsxSV9J7fGe4LaR71k2kRZrTgsGW9oYKi/F1SqQ&#10;529dy3Y78efT20XPzNcYf8ZKvfa79RxEpC4+w//tT63gYzq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R93EAAAA3AAAAA8AAAAAAAAAAAAAAAAAmAIAAGRycy9k&#10;b3ducmV2LnhtbFBLBQYAAAAABAAEAPUAAACJAwAAAAA=&#10;" fillcolor="#d4d4d4" stroked="f"/>
                <v:line id="Line 442" o:spid="_x0000_s1031" style="position:absolute;visibility:visible;mso-wrap-style:square" from="63627,4972" to="63633,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6CasUAAADcAAAADwAAAGRycy9kb3ducmV2LnhtbERPW2vCMBR+H+w/hDPYi8zUMWTrjDIv&#10;EwVh1Au+njXHtqw5KUnU6q83D8IeP777YNSaWpzI+cqygl43AUGcW11xoWC7+X55B+EDssbaMim4&#10;kIfR8PFhgKm2Z87otA6FiCHsU1RQhtCkUvq8JIO+axviyB2sMxgidIXUDs8x3NTyNUn60mDFsaHE&#10;hiYl5X/ro1Gw7y3za7Z14/l431lN+fdntpMHpZ6f2q9PEIHa8C++uxdawdtH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6CasUAAADcAAAADwAAAAAAAAAA&#10;AAAAAAChAgAAZHJzL2Rvd25yZXYueG1sUEsFBgAAAAAEAAQA+QAAAJMDAAAAAA==&#10;" strokecolor="#d4d4d4" strokeweight="0"/>
                <v:rect id="Rectangle 443" o:spid="_x0000_s1032" style="position:absolute;left:63627;top:49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BsQA&#10;AADcAAAADwAAAGRycy9kb3ducmV2LnhtbESP0WoCMRRE34X+Q7gFX0SzShVdN0opFupba/2Ay+bu&#10;ZnVzsyRRt/36Rij4OMzMGabY9rYVV/KhcaxgOslAEJdON1wrOH6/j5cgQkTW2DomBT8UYLt5GhSY&#10;a3fjL7oeYi0ShEOOCkyMXS5lKA1ZDBPXESevct5iTNLXUnu8Jbht5SzLFtJiw2nBYEdvhsrz4WIV&#10;yNOnbmS3W/hTNTrrldnP8Xeu1PC5f12DiNTHR/i//aEVvKym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3QbEAAAA3AAAAA8AAAAAAAAAAAAAAAAAmAIAAGRycy9k&#10;b3ducmV2LnhtbFBLBQYAAAAABAAEAPUAAACJAwAAAAA=&#10;" fillcolor="#d4d4d4" stroked="f"/>
                <v:line id="Line 444" o:spid="_x0000_s1033" style="position:absolute;visibility:visible;mso-wrap-style:square" from="63627,6216" to="63633,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5hscAAADcAAAADwAAAGRycy9kb3ducmV2LnhtbESP3WoCMRSE7wu+QziCN0WzSim6GkVb&#10;LS0UxD+8PW6Ou4ubkyWJuu3TN4VCL4eZ+YaZzBpTiRs5X1pW0O8lIIgzq0vOFex3q+4QhA/IGivL&#10;pOCLPMymrYcJptreeUO3bchFhLBPUUERQp1K6bOCDPqerYmjd7bOYIjS5VI7vEe4qeQgSZ6lwZLj&#10;QoE1vRSUXbZXo+DY/8i+N3u3eFscHz9f+bReHuRZqU67mY9BBGrCf/iv/a4VPI0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LmGxwAAANwAAAAPAAAAAAAA&#10;AAAAAAAAAKECAABkcnMvZG93bnJldi54bWxQSwUGAAAAAAQABAD5AAAAlQMAAAAA&#10;" strokecolor="#d4d4d4" strokeweight="0"/>
                <v:rect id="Rectangle 445" o:spid="_x0000_s1034" style="position:absolute;left:63627;top:6216;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m6sUA&#10;AADcAAAADwAAAGRycy9kb3ducmV2LnhtbESP3WoCMRSE74W+QziF3kjNtv7Q3RqlSIV6Z20f4LA5&#10;u1ndnCxJ1K1PbwqCl8PMfMPMl71txYl8aBwreBllIIhLpxuuFfz+rJ/fQISIrLF1TAr+KMBy8TCY&#10;Y6Hdmb/ptIu1SBAOBSowMXaFlKE0ZDGMXEecvMp5izFJX0vt8ZzgtpWvWTaTFhtOCwY7WhkqD7uj&#10;VSD3W93I7nPm99XwoHOzmeJlqtTTY//xDiJSH+/hW/tLK5jkY/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ebqxQAAANwAAAAPAAAAAAAAAAAAAAAAAJgCAABkcnMv&#10;ZG93bnJldi54bWxQSwUGAAAAAAQABAD1AAAAigMAAAAA&#10;" fillcolor="#d4d4d4" stroked="f"/>
                <v:line id="Line 446" o:spid="_x0000_s1035" style="position:absolute;visibility:visible;mso-wrap-style:square" from="63627,7334" to="63633,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EaccAAADcAAAADwAAAGRycy9kb3ducmV2LnhtbESPW2sCMRSE3wv9D+EUfBHNKlJ0axRv&#10;LS0UxBu+nm6Ou4ubkyWJuu2vbwpCH4eZ+YYZTxtTiSs5X1pW0OsmIIgzq0vOFex3r50hCB+QNVaW&#10;ScE3eZhOHh/GmGp74w1dtyEXEcI+RQVFCHUqpc8KMui7tiaO3sk6gyFKl0vt8BbhppL9JHmWBkuO&#10;CwXWtCgoO28vRsGx95H9bPZu/jY/tj+X/LVeHeRJqdZTM3sBEagJ/+F7+10rGIw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YRpxwAAANwAAAAPAAAAAAAA&#10;AAAAAAAAAKECAABkcnMvZG93bnJldi54bWxQSwUGAAAAAAQABAD5AAAAlQMAAAAA&#10;" strokecolor="#d4d4d4" strokeweight="0"/>
                <v:rect id="Rectangle 447" o:spid="_x0000_s1036" style="position:absolute;left:63627;top:7334;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bBcMA&#10;AADcAAAADwAAAGRycy9kb3ducmV2LnhtbESP0WoCMRRE34X+Q7iCL6JZxRVdjVKkhfpmbT/gsrlu&#10;Vjc3S5Lqtl9vBKGPw8ycYdbbzjbiSj7UjhVMxhkI4tLpmisF31/vowWIEJE1No5JwS8F2G5eemss&#10;tLvxJ12PsRIJwqFABSbGtpAylIYshrFriZN3ct5iTNJXUnu8Jbht5DTL5tJizWnBYEs7Q+Xl+GMV&#10;yPNB17J9m/vzaXjRS7PP8S9XatDvXlcgInXxP/xsf2gFs2UO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bBcMAAADcAAAADwAAAAAAAAAAAAAAAACYAgAAZHJzL2Rv&#10;d25yZXYueG1sUEsFBgAAAAAEAAQA9QAAAIgDAAAAAA==&#10;" fillcolor="#d4d4d4" stroked="f"/>
                <v:line id="Line 448" o:spid="_x0000_s1037" style="position:absolute;visibility:visible;mso-wrap-style:square" from="63627,8445" to="63633,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hccAAADcAAAADwAAAGRycy9kb3ducmV2LnhtbESPW2sCMRSE34X+h3AKvhTNKkV0axRv&#10;LS0UxBu+nm6Ou4ubkyWJuu2vbwoFH4eZ+YYZTxtTiSs5X1pW0OsmIIgzq0vOFex3r50hCB+QNVaW&#10;ScE3eZhOHlpjTLW98Yau25CLCGGfooIihDqV0mcFGfRdWxNH72SdwRCly6V2eItwU8l+kgykwZLj&#10;QoE1LQrKztuLUXDsfWQ/m72bv82PT59L/lqvDvKkVPuxmb2ACNSEe/i//a4VPI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7+FxwAAANwAAAAPAAAAAAAA&#10;AAAAAAAAAKECAABkcnMvZG93bnJldi54bWxQSwUGAAAAAAQABAD5AAAAlQMAAAAA&#10;" strokecolor="#d4d4d4" strokeweight="0"/>
                <v:rect id="Rectangle 449" o:spid="_x0000_s1038" style="position:absolute;left:63627;top:8445;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g6cQA&#10;AADcAAAADwAAAGRycy9kb3ducmV2LnhtbESP0WoCMRRE34X+Q7iCL6VmK9XqahQRBftmrR9w2Vw3&#10;q5ubJYm69utNoeDjMDNnmNmitbW4kg+VYwXv/QwEceF0xaWCw8/mbQwiRGSNtWNScKcAi/lLZ4a5&#10;djf+pus+liJBOOSowMTY5FKGwpDF0HcNcfKOzluMSfpSao+3BLe1HGTZSFqsOC0YbGhlqDjvL1aB&#10;PO10JZv1yJ+Or2c9MV9D/B0q1eu2yymISG18hv/bW63gY/IJ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4OnEAAAA3AAAAA8AAAAAAAAAAAAAAAAAmAIAAGRycy9k&#10;b3ducmV2LnhtbFBLBQYAAAAABAAEAPUAAACJAwAAAAA=&#10;" fillcolor="#d4d4d4" stroked="f"/>
                <v:line id="Line 450" o:spid="_x0000_s1039" style="position:absolute;visibility:visible;mso-wrap-style:square" from="63627,9556" to="63633,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ObMUAAADcAAAADwAAAGRycy9kb3ducmV2LnhtbERPW2vCMBR+H+w/hDPYi8zUMWTrjDIv&#10;EwVh1Au+njXHtqw5KUnU6q83D8IeP777YNSaWpzI+cqygl43AUGcW11xoWC7+X55B+EDssbaMim4&#10;kIfR8PFhgKm2Z87otA6FiCHsU1RQhtCkUvq8JIO+axviyB2sMxgidIXUDs8x3NTyNUn60mDFsaHE&#10;hiYl5X/ro1Gw7y3za7Z14/l431lN+fdntpMHpZ6f2q9PEIHa8C++uxdawdtH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iObMUAAADcAAAADwAAAAAAAAAA&#10;AAAAAAChAgAAZHJzL2Rvd25yZXYueG1sUEsFBgAAAAAEAAQA+QAAAJMDAAAAAA==&#10;" strokecolor="#d4d4d4" strokeweight="0"/>
                <v:rect id="Rectangle 451" o:spid="_x0000_s1040" style="position:absolute;left:63627;top:9556;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RAMQA&#10;AADcAAAADwAAAGRycy9kb3ducmV2LnhtbESP3WoCMRSE7wu+QziF3pSabanS3RpFioK9qz8PcNgc&#10;N/uTkyWJuvr0TaHg5TAz3zCzxWA7cSYfascKXscZCOLS6ZorBYf9+uUDRIjIGjvHpOBKARbz0cMM&#10;C+0uvKXzLlYiQTgUqMDE2BdShtKQxTB2PXHyjs5bjEn6SmqPlwS3nXzLsqm0WHNaMNjTl6Gy3Z2s&#10;Atn86Fr2q6lvjs+tzs33BG8TpZ4eh+UniEhDvIf/2xut4D3P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0QDEAAAA3AAAAA8AAAAAAAAAAAAAAAAAmAIAAGRycy9k&#10;b3ducmV2LnhtbFBLBQYAAAAABAAEAPUAAACJAwAAAAA=&#10;" fillcolor="#d4d4d4" stroked="f"/>
                <v:line id="Line 452" o:spid="_x0000_s1041" style="position:absolute;visibility:visible;mso-wrap-style:square" from="63627,10674" to="63633,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YcMMAAADcAAAADwAAAGRycy9kb3ducmV2LnhtbERPy2oCMRTdC/2HcAvdiGYsWMpoFK0P&#10;LAjFF26vk+vM0MnNkEQd+/XNQnB5OO/huDGVuJLzpWUFvW4CgjizuuRcwX636HyC8AFZY2WZFNzJ&#10;w3j00hpiqu2NN3TdhlzEEPYpKihCqFMpfVaQQd+1NXHkztYZDBG6XGqHtxhuKvmeJB/SYMmxocCa&#10;vgrKfrcXo+DY+87+Nns3XU6P7fWMTz/zgzwr9fbaTAYgAjXhKX64V1pBP4nz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FGHDDAAAA3AAAAA8AAAAAAAAAAAAA&#10;AAAAoQIAAGRycy9kb3ducmV2LnhtbFBLBQYAAAAABAAEAPkAAACRAwAAAAA=&#10;" strokecolor="#d4d4d4" strokeweight="0"/>
                <v:rect id="Rectangle 453" o:spid="_x0000_s1042" style="position:absolute;left:63627;top:10674;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HHMMA&#10;AADcAAAADwAAAGRycy9kb3ducmV2LnhtbESP3WoCMRSE74W+QziCN6JZhZW6GqWUFuqdP32Aw+a4&#10;Wd2cLEmqW5/eCIKXw8x8wyzXnW3EhXyoHSuYjDMQxKXTNVcKfg/fo3cQISJrbByTgn8KsF699ZZY&#10;aHflHV32sRIJwqFABSbGtpAylIYshrFriZN3dN5iTNJXUnu8Jrht5DTLZtJizWnBYEufhsrz/s8q&#10;kKetrmX7NfOn4/Cs52aT4y1XatDvPhYgInXxFX62f7SCPJv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HHMMAAADcAAAADwAAAAAAAAAAAAAAAACYAgAAZHJzL2Rv&#10;d25yZXYueG1sUEsFBgAAAAAEAAQA9QAAAIgDAAAAAA==&#10;" fillcolor="#d4d4d4" stroked="f"/>
                <v:line id="Line 454" o:spid="_x0000_s1043" style="position:absolute;visibility:visible;mso-wrap-style:square" from="63627,12376" to="6363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jnMcAAADcAAAADwAAAGRycy9kb3ducmV2LnhtbESPW2sCMRSE3wv9D+EUfCmaVaiU1Sj1&#10;ViwIxUvx9XRz3F26OVmSqKu/3hQEH4eZ+YYZjhtTiRM5X1pW0O0kIIgzq0vOFey2i/Y7CB+QNVaW&#10;ScGFPIxHz09DTLU985pOm5CLCGGfooIihDqV0mcFGfQdWxNH72CdwRCly6V2eI5wU8lekvSlwZLj&#10;QoE1TQvK/jZHo2Df/cqu652bfE72r6sZ/37Pf+RBqdZL8zEAEagJj/C9vdQK3pIe/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yOcxwAAANwAAAAPAAAAAAAA&#10;AAAAAAAAAKECAABkcnMvZG93bnJldi54bWxQSwUGAAAAAAQABAD5AAAAlQMAAAAA&#10;" strokecolor="#d4d4d4" strokeweight="0"/>
                <v:rect id="Rectangle 455" o:spid="_x0000_s1044" style="position:absolute;left:63627;top:12376;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88MQA&#10;AADcAAAADwAAAGRycy9kb3ducmV2LnhtbESPUWvCMBSF3wX/Q7jCXmSmblS22igiDra3qfsBl+a2&#10;qTY3JYna7dcvg4GPh3POdzjlerCduJIPrWMF81kGgrhyuuVGwdfx7fEFRIjIGjvHpOCbAqxX41GJ&#10;hXY33tP1EBuRIBwKVGBi7AspQ2XIYpi5njh5tfMWY5K+kdrjLcFtJ5+ybCEttpwWDPa0NVSdDxer&#10;QJ4+dSv73cKf6ulZv5qPHH9y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fPDEAAAA3AAAAA8AAAAAAAAAAAAAAAAAmAIAAGRycy9k&#10;b3ducmV2LnhtbFBLBQYAAAAABAAEAPUAAACJAwAAAAA=&#10;" fillcolor="#d4d4d4" stroked="f"/>
                <v:line id="Line 456" o:spid="_x0000_s1045" style="position:absolute;visibility:visible;mso-wrap-style:square" from="63627,13487" to="63633,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ec8cAAADcAAAADwAAAGRycy9kb3ducmV2LnhtbESP3WoCMRSE7wu+QziCN0WzllZkNYq2&#10;WioI4h/eHjfH3aWbkyWJuu3TN4VCL4eZ+YYZTxtTiRs5X1pW0O8lIIgzq0vOFRz2y+4QhA/IGivL&#10;pOCLPEwnrYcxptreeUu3XchFhLBPUUERQp1K6bOCDPqerYmjd7HOYIjS5VI7vEe4qeRTkgykwZLj&#10;QoE1vRaUfe6uRsGpv8q+twc3f5+fHtdvfN4sjvKiVKfdzEYgAjXhP/zX/tAKXpJn+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Ph5zxwAAANwAAAAPAAAAAAAA&#10;AAAAAAAAAKECAABkcnMvZG93bnJldi54bWxQSwUGAAAAAAQABAD5AAAAlQMAAAAA&#10;" strokecolor="#d4d4d4" strokeweight="0"/>
                <v:rect id="Rectangle 457" o:spid="_x0000_s1046" style="position:absolute;left:63627;top:13487;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BH8MA&#10;AADcAAAADwAAAGRycy9kb3ducmV2LnhtbESP0WoCMRRE3wX/IVyhL6LZFlbqahQRhfZNrR9w2Vw3&#10;q5ubJUl169ebguDjMDNnmPmys424kg+1YwXv4wwEcel0zZWC48929AkiRGSNjWNS8EcBlot+b46F&#10;djfe0/UQK5EgHApUYGJsCylDachiGLuWOHkn5y3GJH0ltcdbgttGfmTZRFqsOS0YbGltqLwcfq0C&#10;ed7pWrabiT+fhhc9Nd853nOl3gbdagYiUhdf4Wf7SyvIsxz+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9BH8MAAADcAAAADwAAAAAAAAAAAAAAAACYAgAAZHJzL2Rv&#10;d25yZXYueG1sUEsFBgAAAAAEAAQA9QAAAIgDAAAAAA==&#10;" fillcolor="#d4d4d4" stroked="f"/>
                <v:line id="Line 458" o:spid="_x0000_s1047" style="position:absolute;visibility:visible;mso-wrap-style:square" from="63627,14598" to="63633,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Aln8YAAADcAAAADwAAAGRycy9kb3ducmV2LnhtbESPQWsCMRSE7wX/Q3hCL6VmFRTZGkVb&#10;WywIolW8PjfP3cXNy5KkuvrrjVDocZiZb5jRpDGVOJPzpWUF3U4CgjizuuRcwfbn83UIwgdkjZVl&#10;UnAlD5Nx62mEqbYXXtN5E3IRIexTVFCEUKdS+qwgg75ja+LoHa0zGKJ0udQOLxFuKtlLkoE0WHJc&#10;KLCm94Ky0+bXKNh3v7PbeutmX7P9y/KDD6v5Th6Vem430zcQgZrwH/5rL7SCfjKA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JZ/GAAAA3AAAAA8AAAAAAAAA&#10;AAAAAAAAoQIAAGRycy9kb3ducmV2LnhtbFBLBQYAAAAABAAEAPkAAACUAwAAAAA=&#10;" strokecolor="#d4d4d4" strokeweight="0"/>
                <v:rect id="Rectangle 459" o:spid="_x0000_s1048" style="position:absolute;left:63627;top:14598;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688QA&#10;AADcAAAADwAAAGRycy9kb3ducmV2LnhtbESPUWvCMBSF34X9h3AHvshMJ9RtXaOM4UDf1O0HXJrb&#10;ptrclCRq5683g4GPh3POdzjlcrCdOJMPrWMFz9MMBHHldMuNgp/vr6dXECEia+wck4JfCrBcPIxK&#10;LLS78I7O+9iIBOFQoAITY19IGSpDFsPU9cTJq523GJP0jdQeLwluOznLsrm02HJaMNjTp6HquD9Z&#10;BfKw1a3sV3N/qCdH/WY2OV5zpcaPw8c7iEhDvIf/22utIM9e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evPEAAAA3AAAAA8AAAAAAAAAAAAAAAAAmAIAAGRycy9k&#10;b3ducmV2LnhtbFBLBQYAAAAABAAEAPUAAACJAwAAAAA=&#10;" fillcolor="#d4d4d4" stroked="f"/>
                <v:line id="Line 460" o:spid="_x0000_s1049" style="position:absolute;visibility:visible;mso-wrap-style:square" from="63627,15716" to="63633,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UdsMAAADcAAAADwAAAGRycy9kb3ducmV2LnhtbERPy2oCMRTdC/2HcAvdiGYsWMpoFK0P&#10;LAjFF26vk+vM0MnNkEQd+/XNQnB5OO/huDGVuJLzpWUFvW4CgjizuuRcwX636HyC8AFZY2WZFNzJ&#10;w3j00hpiqu2NN3TdhlzEEPYpKihCqFMpfVaQQd+1NXHkztYZDBG6XGqHtxhuKvmeJB/SYMmxocCa&#10;vgrKfrcXo+DY+87+Nns3XU6P7fWMTz/zgzwr9fbaTAYgAjXhKX64V1pBP4lr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zFHbDAAAA3AAAAA8AAAAAAAAAAAAA&#10;AAAAoQIAAGRycy9kb3ducmV2LnhtbFBLBQYAAAAABAAEAPkAAACRAwAAAAA=&#10;" strokecolor="#d4d4d4" strokeweight="0"/>
                <v:rect id="Rectangle 461" o:spid="_x0000_s1050" style="position:absolute;left:63627;top:15716;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LGsMA&#10;AADcAAAADwAAAGRycy9kb3ducmV2LnhtbESP3WoCMRSE7wu+QzhCb4pmW1jR1SgiCvau/jzAYXPc&#10;rG5OliTV1ac3hYKXw8x8w8wWnW3ElXyoHSv4HGYgiEuna64UHA+bwRhEiMgaG8ek4E4BFvPe2wwL&#10;7W68o+s+ViJBOBSowMTYFlKG0pDFMHQtcfJOzluMSfpKao+3BLeN/MqykbRYc1ow2NLKUHnZ/1oF&#10;8vyja9muR/58+rjoifnO8ZEr9d7vllMQkbr4Cv+3t1pBnk3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JLGsMAAADcAAAADwAAAAAAAAAAAAAAAACYAgAAZHJzL2Rv&#10;d25yZXYueG1sUEsFBgAAAAAEAAQA9QAAAIgDAAAAAA==&#10;" fillcolor="#d4d4d4" stroked="f"/>
                <v:line id="Line 462" o:spid="_x0000_s1051" style="position:absolute;visibility:visible;mso-wrap-style:square" from="63627,16827" to="63633,1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OrcQAAADcAAAADwAAAGRycy9kb3ducmV2LnhtbERPXWvCMBR9F/Yfwh34IjOtoIzOKHM6&#10;mSCMOoevd821LWtuSpJp5683D4KPh/M9nXemESdyvrasIB0mIIgLq2suFey/3p+eQfiArLGxTAr+&#10;ycN89tCbYqbtmXM67UIpYgj7DBVUIbSZlL6oyKAf2pY4ckfrDIYIXSm1w3MMN40cJclEGqw5NlTY&#10;0ltFxe/uzyg4pJviku/dYr04DLZL/vlcfcujUv3H7vUFRKAu3MU394dWME7j/HgmHg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I6txAAAANwAAAAPAAAAAAAAAAAA&#10;AAAAAKECAABkcnMvZG93bnJldi54bWxQSwUGAAAAAAQABAD5AAAAkgMAAAAA&#10;" strokecolor="#d4d4d4" strokeweight="0"/>
                <v:rect id="Rectangle 463" o:spid="_x0000_s1052" style="position:absolute;left:63627;top:16827;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RwcQA&#10;AADcAAAADwAAAGRycy9kb3ducmV2LnhtbESP3WoCMRSE74W+QzhCb6Rmt7BiV6MUUWjv6s8DHDbH&#10;zermZEmibn16Uyh4OczMN8x82dtWXMmHxrGCfJyBIK6cbrhWcNhv3qYgQkTW2DomBb8UYLl4Gcyx&#10;1O7GW7ruYi0ShEOJCkyMXSllqAxZDGPXESfv6LzFmKSvpfZ4S3Dbyvcsm0iLDacFgx2tDFXn3cUq&#10;kKcf3chuPfGn4+isP8x3gfdCqddh/zkDEamPz/B/+0srKPIc/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0cHEAAAA3AAAAA8AAAAAAAAAAAAAAAAAmAIAAGRycy9k&#10;b3ducmV2LnhtbFBLBQYAAAAABAAEAPUAAACJAwAAAAA=&#10;" fillcolor="#d4d4d4" stroked="f"/>
                <v:line id="Line 464" o:spid="_x0000_s1053" style="position:absolute;visibility:visible;mso-wrap-style:square" from="63627,17938" to="63633,1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1QccAAADcAAAADwAAAGRycy9kb3ducmV2LnhtbESP3WoCMRSE7wu+QzhCb0rNrlApq1G0&#10;rcWCUPwp3p5ujruLm5Mlibr69KYg9HKYmW+Y0aQ1tTiR85VlBWkvAUGcW11xoWC7mT+/gvABWWNt&#10;mRRcyMNk3HkYYabtmVd0WodCRAj7DBWUITSZlD4vyaDv2YY4envrDIYoXSG1w3OEm1r2k2QgDVYc&#10;F0ps6K2k/LA+GgW79Cu/rrZu9jnbPS3f+ff740fulXrsttMhiEBt+A/f2wut4CXtw9+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rVBxwAAANwAAAAPAAAAAAAA&#10;AAAAAAAAAKECAABkcnMvZG93bnJldi54bWxQSwUGAAAAAAQABAD5AAAAlQMAAAAA&#10;" strokecolor="#d4d4d4" strokeweight="0"/>
                <v:rect id="Rectangle 465" o:spid="_x0000_s1054" style="position:absolute;left:63627;top:1793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qLcQA&#10;AADcAAAADwAAAGRycy9kb3ducmV2LnhtbESP3WoCMRSE74W+QziF3kjN2rJSV6OIVGjvrPoAh81x&#10;sz85WZJU1z59UxB6OczMN8xyPdhOXMiH2rGC6SQDQVw6XXOl4HTcPb+BCBFZY+eYFNwowHr1MFpi&#10;od2Vv+hyiJVIEA4FKjAx9oWUoTRkMUxcT5y8s/MWY5K+ktrjNcFtJ1+ybCYt1pwWDPa0NVS2h2+r&#10;QDZ7Xcv+feab87jVc/OZ40+u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j6i3EAAAA3AAAAA8AAAAAAAAAAAAAAAAAmAIAAGRycy9k&#10;b3ducmV2LnhtbFBLBQYAAAAABAAEAPUAAACJAwAAAAA=&#10;" fillcolor="#d4d4d4" stroked="f"/>
                <v:line id="Line 466" o:spid="_x0000_s1055" style="position:absolute;visibility:visible;mso-wrap-style:square" from="63627,19119" to="63633,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IrsgAAADcAAAADwAAAGRycy9kb3ducmV2LnhtbESP3WoCMRSE7wt9h3AEb4pmt1QpW6PU&#10;VqWCUPwp3h43x92lm5Mlibrt0xuh0MthZr5hRpPW1OJMzleWFaT9BARxbnXFhYLddt57BuEDssba&#10;Min4IQ+T8f3dCDNtL7ym8yYUIkLYZ6igDKHJpPR5SQZ93zbE0TtaZzBE6QqpHV4i3NTyMUmG0mDF&#10;caHEht5Kyr83J6Ngny7z3/XOTRfT/cPqnQ+fsy95VKrbaV9fQARqw3/4r/2hFQzS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eIrsgAAADcAAAADwAAAAAA&#10;AAAAAAAAAAChAgAAZHJzL2Rvd25yZXYueG1sUEsFBgAAAAAEAAQA+QAAAJYDAAAAAA==&#10;" strokecolor="#d4d4d4" strokeweight="0"/>
                <v:rect id="Rectangle 467" o:spid="_x0000_s1056" style="position:absolute;left:63627;top:19119;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XwsMA&#10;AADcAAAADwAAAGRycy9kb3ducmV2LnhtbESP3WoCMRSE7wu+QzhCb4pmLazoahQpCvau/jzAYXPc&#10;rG5OliTV1ac3hYKXw8x8w8yXnW3ElXyoHSsYDTMQxKXTNVcKjofNYAIiRGSNjWNScKcAy0XvbY6F&#10;djfe0XUfK5EgHApUYGJsCylDachiGLqWOHkn5y3GJH0ltcdbgttGfmbZWFqsOS0YbOnLUHnZ/1oF&#10;8vyja9mux/58+rjoqfnO8ZEr9d7vVjMQkbr4Cv+3t1pBPsrh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bXwsMAAADcAAAADwAAAAAAAAAAAAAAAACYAgAAZHJzL2Rv&#10;d25yZXYueG1sUEsFBgAAAAAEAAQA9QAAAIgDAAAAAA==&#10;" fillcolor="#d4d4d4" stroked="f"/>
              </v:group>
            </w:pict>
          </mc:Fallback>
        </mc:AlternateContent>
      </w:r>
      <w:r w:rsidRPr="00B05C27">
        <w:rPr>
          <w:rFonts w:ascii="HelveticaNeueLT Std" w:hAnsi="HelveticaNeueLT Std"/>
          <w:sz w:val="20"/>
          <w:lang w:val="es-MX"/>
        </w:rPr>
        <w:t>En el “</w:t>
      </w:r>
      <w:r w:rsidRPr="00B05C27">
        <w:rPr>
          <w:rFonts w:ascii="HelveticaNeueLT Std" w:hAnsi="HelveticaNeueLT Std"/>
          <w:b/>
          <w:sz w:val="20"/>
          <w:lang w:val="es-MX"/>
        </w:rPr>
        <w:t xml:space="preserve">Estado Analítico del Activo”, </w:t>
      </w:r>
      <w:r w:rsidRPr="00B05C27">
        <w:rPr>
          <w:rFonts w:ascii="HelveticaNeueLT Std" w:hAnsi="HelveticaNeueLT Std"/>
          <w:sz w:val="20"/>
          <w:lang w:val="es-MX"/>
        </w:rPr>
        <w:t>se observa el comportamiento de los fondos, valores y bienes identificados y cuantificados en términos monetarios, que dispone el Instituto para realizar sus actividades, los cuales fueron comentados en párrafos anteriores y los</w:t>
      </w:r>
      <w:r w:rsidRPr="00B05C27">
        <w:rPr>
          <w:rFonts w:ascii="HelveticaNeueLT Std" w:hAnsi="HelveticaNeueLT Std"/>
          <w:b/>
          <w:sz w:val="20"/>
          <w:lang w:val="es-MX"/>
        </w:rPr>
        <w:t xml:space="preserve"> bienes muebles e inmuebles, </w:t>
      </w:r>
      <w:r w:rsidRPr="00B05C27">
        <w:rPr>
          <w:rFonts w:ascii="HelveticaNeueLT Std" w:hAnsi="HelveticaNeueLT Std"/>
          <w:sz w:val="20"/>
          <w:lang w:val="es-MX"/>
        </w:rPr>
        <w:t>como</w:t>
      </w:r>
      <w:r w:rsidRPr="00B05C27">
        <w:rPr>
          <w:rFonts w:ascii="HelveticaNeueLT Std" w:hAnsi="HelveticaNeueLT Std"/>
          <w:b/>
          <w:sz w:val="20"/>
          <w:lang w:val="es-MX"/>
        </w:rPr>
        <w:t xml:space="preserve"> </w:t>
      </w:r>
      <w:r w:rsidRPr="00B05C27">
        <w:rPr>
          <w:rFonts w:ascii="HelveticaNeueLT Std" w:hAnsi="HelveticaNeueLT Std"/>
          <w:sz w:val="20"/>
          <w:lang w:val="es-MX"/>
        </w:rPr>
        <w:t>se detallan a continuación:</w:t>
      </w:r>
    </w:p>
    <w:p w:rsidR="00383861" w:rsidRPr="00B05C27" w:rsidRDefault="00383861" w:rsidP="00383861">
      <w:pPr>
        <w:pStyle w:val="Prrafodelista"/>
        <w:spacing w:after="101" w:line="276" w:lineRule="auto"/>
        <w:ind w:left="644" w:right="-1"/>
        <w:jc w:val="center"/>
        <w:rPr>
          <w:rFonts w:ascii="HelveticaNeueLT Std" w:hAnsi="HelveticaNeueLT Std"/>
          <w:b/>
          <w:sz w:val="20"/>
          <w:szCs w:val="20"/>
        </w:rPr>
      </w:pPr>
    </w:p>
    <w:p w:rsidR="00383861" w:rsidRPr="00B05C27" w:rsidRDefault="004C4D2F" w:rsidP="00383861">
      <w:pPr>
        <w:pStyle w:val="Prrafodelista"/>
        <w:spacing w:after="101" w:line="276" w:lineRule="auto"/>
        <w:ind w:left="644" w:right="-1"/>
        <w:jc w:val="center"/>
        <w:rPr>
          <w:rFonts w:ascii="HelveticaNeueLT Std" w:hAnsi="HelveticaNeueLT Std"/>
          <w:b/>
          <w:sz w:val="20"/>
          <w:szCs w:val="20"/>
        </w:rPr>
      </w:pPr>
      <w:r w:rsidRPr="004C4D2F">
        <w:rPr>
          <w:noProof/>
        </w:rPr>
        <w:drawing>
          <wp:inline distT="0" distB="0" distL="0" distR="0">
            <wp:extent cx="5181600" cy="15716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0" cy="1571625"/>
                    </a:xfrm>
                    <a:prstGeom prst="rect">
                      <a:avLst/>
                    </a:prstGeom>
                    <a:noFill/>
                    <a:ln>
                      <a:noFill/>
                    </a:ln>
                  </pic:spPr>
                </pic:pic>
              </a:graphicData>
            </a:graphic>
          </wp:inline>
        </w:drawing>
      </w:r>
    </w:p>
    <w:p w:rsidR="00383861" w:rsidRPr="00B05C27" w:rsidRDefault="00383861" w:rsidP="00383861">
      <w:pPr>
        <w:pStyle w:val="Prrafodelista"/>
        <w:spacing w:after="101" w:line="276" w:lineRule="auto"/>
        <w:ind w:left="644" w:right="-1"/>
        <w:jc w:val="center"/>
        <w:rPr>
          <w:rFonts w:ascii="HelveticaNeueLT Std" w:hAnsi="HelveticaNeueLT Std"/>
          <w:b/>
          <w:sz w:val="20"/>
          <w:szCs w:val="20"/>
        </w:rPr>
      </w:pPr>
    </w:p>
    <w:p w:rsidR="00383861" w:rsidRPr="00B05C27" w:rsidRDefault="00383861" w:rsidP="00383861">
      <w:pPr>
        <w:pStyle w:val="Texto"/>
        <w:spacing w:line="276" w:lineRule="auto"/>
        <w:ind w:right="-1" w:firstLine="0"/>
        <w:rPr>
          <w:rFonts w:ascii="HelveticaNeueLT Std" w:hAnsi="HelveticaNeueLT Std"/>
          <w:sz w:val="20"/>
          <w:lang w:val="es-MX"/>
        </w:rPr>
      </w:pPr>
      <w:r w:rsidRPr="00B05C27">
        <w:rPr>
          <w:rFonts w:ascii="HelveticaNeueLT Std" w:hAnsi="HelveticaNeueLT Std"/>
          <w:b/>
          <w:sz w:val="20"/>
          <w:lang w:val="es-MX"/>
        </w:rPr>
        <w:t xml:space="preserve">Depreciación. - </w:t>
      </w:r>
      <w:r w:rsidRPr="00B05C27">
        <w:rPr>
          <w:rFonts w:ascii="HelveticaNeueLT Std" w:hAnsi="HelveticaNeueLT Std"/>
          <w:sz w:val="20"/>
          <w:lang w:val="es-MX"/>
        </w:rPr>
        <w:t xml:space="preserve">Se calcula por el método de línea recta </w:t>
      </w:r>
      <w:r w:rsidRPr="00AE0997">
        <w:rPr>
          <w:rFonts w:ascii="HelveticaNeueLT Std" w:hAnsi="HelveticaNeueLT Std"/>
          <w:sz w:val="20"/>
          <w:lang w:val="es-MX"/>
        </w:rPr>
        <w:t>a partir del mes siguiente al de su adquisición, aplicando los porcentajes siguientes:</w:t>
      </w:r>
    </w:p>
    <w:tbl>
      <w:tblPr>
        <w:tblStyle w:val="Tablaconcuadrcula"/>
        <w:tblW w:w="0" w:type="auto"/>
        <w:tblInd w:w="1134" w:type="dxa"/>
        <w:tblLook w:val="04A0" w:firstRow="1" w:lastRow="0" w:firstColumn="1" w:lastColumn="0" w:noHBand="0" w:noVBand="1"/>
      </w:tblPr>
      <w:tblGrid>
        <w:gridCol w:w="5041"/>
        <w:gridCol w:w="3000"/>
      </w:tblGrid>
      <w:tr w:rsidR="00383861" w:rsidRPr="00B05C27" w:rsidTr="006351E0">
        <w:trPr>
          <w:trHeight w:val="1153"/>
        </w:trPr>
        <w:tc>
          <w:tcPr>
            <w:tcW w:w="5041" w:type="dxa"/>
          </w:tcPr>
          <w:p w:rsidR="00383861" w:rsidRPr="00B05C27" w:rsidRDefault="00383861" w:rsidP="005142F5">
            <w:pPr>
              <w:spacing w:line="276" w:lineRule="auto"/>
              <w:ind w:right="-1"/>
              <w:jc w:val="both"/>
              <w:rPr>
                <w:rFonts w:ascii="HelveticaNeueLT Std" w:eastAsia="Times New Roman" w:hAnsi="HelveticaNeueLT Std"/>
                <w:b/>
                <w:color w:val="000000"/>
                <w:u w:val="single"/>
              </w:rPr>
            </w:pPr>
            <w:r w:rsidRPr="00B05C27">
              <w:rPr>
                <w:rFonts w:ascii="HelveticaNeueLT Std" w:eastAsia="Times New Roman" w:hAnsi="HelveticaNeueLT Std"/>
                <w:b/>
                <w:color w:val="000000"/>
                <w:u w:val="single"/>
              </w:rPr>
              <w:t>Concepto</w:t>
            </w:r>
          </w:p>
          <w:p w:rsidR="00383861" w:rsidRPr="00B05C27" w:rsidRDefault="00383861" w:rsidP="005142F5">
            <w:pPr>
              <w:spacing w:line="276" w:lineRule="auto"/>
              <w:ind w:right="-1"/>
              <w:jc w:val="both"/>
              <w:rPr>
                <w:rFonts w:ascii="HelveticaNeueLT Std" w:eastAsia="Times New Roman" w:hAnsi="HelveticaNeueLT Std"/>
                <w:color w:val="000000"/>
              </w:rPr>
            </w:pPr>
          </w:p>
          <w:p w:rsidR="00383861" w:rsidRPr="00B05C27" w:rsidRDefault="00383861" w:rsidP="005142F5">
            <w:pPr>
              <w:spacing w:line="276" w:lineRule="auto"/>
              <w:ind w:right="-1"/>
              <w:jc w:val="both"/>
              <w:rPr>
                <w:rFonts w:ascii="HelveticaNeueLT Std" w:eastAsia="Times New Roman" w:hAnsi="HelveticaNeueLT Std"/>
                <w:color w:val="000000"/>
              </w:rPr>
            </w:pPr>
            <w:r w:rsidRPr="00B05C27">
              <w:rPr>
                <w:rFonts w:ascii="HelveticaNeueLT Std" w:eastAsia="Times New Roman" w:hAnsi="HelveticaNeueLT Std"/>
                <w:color w:val="000000"/>
              </w:rPr>
              <w:t>Edificio</w:t>
            </w:r>
            <w:r>
              <w:rPr>
                <w:rFonts w:ascii="HelveticaNeueLT Std" w:eastAsia="Times New Roman" w:hAnsi="HelveticaNeueLT Std"/>
                <w:color w:val="000000"/>
              </w:rPr>
              <w:t xml:space="preserve">s </w:t>
            </w:r>
          </w:p>
          <w:p w:rsidR="00383861" w:rsidRPr="00B05C27" w:rsidRDefault="00383861" w:rsidP="005142F5">
            <w:pPr>
              <w:spacing w:line="276" w:lineRule="auto"/>
              <w:ind w:right="-1"/>
              <w:jc w:val="both"/>
              <w:rPr>
                <w:rFonts w:ascii="HelveticaNeueLT Std" w:eastAsia="Times New Roman" w:hAnsi="HelveticaNeueLT Std"/>
                <w:color w:val="000000"/>
              </w:rPr>
            </w:pPr>
            <w:r w:rsidRPr="00B05C27">
              <w:rPr>
                <w:rFonts w:ascii="HelveticaNeueLT Std" w:eastAsia="Times New Roman" w:hAnsi="HelveticaNeueLT Std"/>
                <w:color w:val="000000"/>
              </w:rPr>
              <w:t>Equipo de cómputo</w:t>
            </w:r>
            <w:r w:rsidRPr="00B05C27">
              <w:rPr>
                <w:rFonts w:ascii="HelveticaNeueLT Std" w:eastAsia="Times New Roman" w:hAnsi="HelveticaNeueLT Std"/>
                <w:color w:val="000000"/>
              </w:rPr>
              <w:tab/>
            </w:r>
          </w:p>
          <w:p w:rsidR="00383861" w:rsidRPr="00B05C27" w:rsidRDefault="00383861" w:rsidP="005142F5">
            <w:pPr>
              <w:spacing w:line="276" w:lineRule="auto"/>
              <w:ind w:right="-1"/>
              <w:jc w:val="both"/>
              <w:rPr>
                <w:rFonts w:ascii="HelveticaNeueLT Std" w:eastAsia="Times New Roman" w:hAnsi="HelveticaNeueLT Std"/>
                <w:color w:val="000000"/>
              </w:rPr>
            </w:pPr>
            <w:r w:rsidRPr="00B05C27">
              <w:rPr>
                <w:rFonts w:ascii="HelveticaNeueLT Std" w:eastAsia="Times New Roman" w:hAnsi="HelveticaNeueLT Std"/>
                <w:color w:val="000000"/>
              </w:rPr>
              <w:t>Mobiliario y equipo de oficina</w:t>
            </w:r>
          </w:p>
          <w:p w:rsidR="00383861" w:rsidRPr="00B05C27" w:rsidRDefault="00383861" w:rsidP="005142F5">
            <w:pPr>
              <w:spacing w:line="276" w:lineRule="auto"/>
              <w:ind w:right="-1"/>
              <w:rPr>
                <w:rFonts w:ascii="HelveticaNeueLT Std" w:eastAsia="Times New Roman" w:hAnsi="HelveticaNeueLT Std"/>
                <w:color w:val="000000"/>
              </w:rPr>
            </w:pPr>
            <w:r w:rsidRPr="00B05C27">
              <w:rPr>
                <w:rFonts w:ascii="HelveticaNeueLT Std" w:eastAsia="Times New Roman" w:hAnsi="HelveticaNeueLT Std"/>
                <w:color w:val="000000"/>
              </w:rPr>
              <w:t>Maquinaria</w:t>
            </w:r>
            <w:r w:rsidRPr="00B05C27">
              <w:rPr>
                <w:rFonts w:ascii="HelveticaNeueLT Std" w:eastAsia="Times New Roman" w:hAnsi="HelveticaNeueLT Std"/>
                <w:color w:val="000000"/>
              </w:rPr>
              <w:tab/>
            </w:r>
          </w:p>
          <w:p w:rsidR="00383861" w:rsidRPr="00B05C27" w:rsidRDefault="00383861" w:rsidP="005142F5">
            <w:pPr>
              <w:spacing w:line="276" w:lineRule="auto"/>
              <w:ind w:right="-1"/>
              <w:rPr>
                <w:rFonts w:ascii="HelveticaNeueLT Std" w:eastAsia="Times New Roman" w:hAnsi="HelveticaNeueLT Std"/>
              </w:rPr>
            </w:pPr>
            <w:r w:rsidRPr="00AE0997">
              <w:rPr>
                <w:rFonts w:ascii="HelveticaNeueLT Std" w:eastAsia="Times New Roman" w:hAnsi="HelveticaNeueLT Std"/>
                <w:color w:val="000000"/>
              </w:rPr>
              <w:t>Vehículos</w:t>
            </w:r>
          </w:p>
        </w:tc>
        <w:tc>
          <w:tcPr>
            <w:tcW w:w="3000" w:type="dxa"/>
          </w:tcPr>
          <w:p w:rsidR="00383861" w:rsidRPr="00B05C27" w:rsidRDefault="00383861" w:rsidP="005142F5">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Tasa</w:t>
            </w:r>
          </w:p>
          <w:p w:rsidR="00383861" w:rsidRPr="00B05C27" w:rsidRDefault="00383861" w:rsidP="005142F5">
            <w:pPr>
              <w:spacing w:line="276" w:lineRule="auto"/>
              <w:ind w:right="-1"/>
              <w:jc w:val="center"/>
              <w:rPr>
                <w:rFonts w:ascii="HelveticaNeueLT Std" w:eastAsia="Times New Roman" w:hAnsi="HelveticaNeueLT Std"/>
                <w:color w:val="000000"/>
              </w:rPr>
            </w:pPr>
          </w:p>
          <w:p w:rsidR="00383861" w:rsidRPr="00B05C27" w:rsidRDefault="00383861" w:rsidP="005142F5">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2%</w:t>
            </w:r>
          </w:p>
          <w:p w:rsidR="00383861" w:rsidRPr="00B05C27" w:rsidRDefault="00383861" w:rsidP="005142F5">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20%</w:t>
            </w:r>
          </w:p>
          <w:p w:rsidR="00383861" w:rsidRPr="00B05C27" w:rsidRDefault="00383861" w:rsidP="005142F5">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3%</w:t>
            </w:r>
          </w:p>
          <w:p w:rsidR="00383861" w:rsidRPr="00B05C27" w:rsidRDefault="00383861" w:rsidP="005142F5">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10%</w:t>
            </w:r>
          </w:p>
          <w:p w:rsidR="00383861" w:rsidRPr="00B05C27" w:rsidRDefault="00383861" w:rsidP="005142F5">
            <w:pPr>
              <w:spacing w:line="276" w:lineRule="auto"/>
              <w:ind w:right="-1"/>
              <w:jc w:val="center"/>
              <w:rPr>
                <w:rFonts w:ascii="HelveticaNeueLT Std" w:eastAsia="Times New Roman" w:hAnsi="HelveticaNeueLT Std"/>
                <w:color w:val="000000"/>
              </w:rPr>
            </w:pPr>
            <w:r w:rsidRPr="00B05C27">
              <w:rPr>
                <w:rFonts w:ascii="HelveticaNeueLT Std" w:eastAsia="Times New Roman" w:hAnsi="HelveticaNeueLT Std"/>
                <w:color w:val="000000"/>
              </w:rPr>
              <w:t>10%</w:t>
            </w:r>
          </w:p>
          <w:p w:rsidR="00383861" w:rsidRPr="00B05C27" w:rsidRDefault="00383861" w:rsidP="005142F5">
            <w:pPr>
              <w:spacing w:line="276" w:lineRule="auto"/>
              <w:ind w:right="-1"/>
              <w:jc w:val="both"/>
              <w:rPr>
                <w:rFonts w:ascii="HelveticaNeueLT Std" w:eastAsia="Times New Roman" w:hAnsi="HelveticaNeueLT Std"/>
              </w:rPr>
            </w:pPr>
          </w:p>
        </w:tc>
      </w:tr>
    </w:tbl>
    <w:p w:rsidR="00383861" w:rsidRPr="00B05C27" w:rsidRDefault="00383861" w:rsidP="00383861">
      <w:pPr>
        <w:pStyle w:val="Texto"/>
        <w:tabs>
          <w:tab w:val="left" w:pos="1803"/>
        </w:tabs>
        <w:spacing w:line="276" w:lineRule="auto"/>
        <w:ind w:right="-1" w:firstLine="0"/>
        <w:rPr>
          <w:rFonts w:ascii="HelveticaNeueLT Std" w:hAnsi="HelveticaNeueLT Std"/>
          <w:b/>
          <w:sz w:val="20"/>
          <w:lang w:val="es-MX"/>
        </w:rPr>
      </w:pPr>
    </w:p>
    <w:p w:rsidR="006351E0" w:rsidRPr="00440F0A" w:rsidRDefault="00383861" w:rsidP="00383861">
      <w:pPr>
        <w:tabs>
          <w:tab w:val="left" w:pos="1803"/>
        </w:tabs>
        <w:spacing w:after="101" w:line="276" w:lineRule="auto"/>
        <w:ind w:right="-1"/>
        <w:jc w:val="both"/>
        <w:rPr>
          <w:rFonts w:eastAsia="Times New Roman" w:cs="Arial"/>
          <w:color w:val="000000"/>
          <w:lang w:eastAsia="es-ES"/>
        </w:rPr>
      </w:pPr>
      <w:r w:rsidRPr="00B05C27">
        <w:rPr>
          <w:rFonts w:eastAsia="Times New Roman" w:cs="Arial"/>
          <w:b/>
          <w:lang w:eastAsia="es-ES"/>
        </w:rPr>
        <w:t>Depreciación, Deterioro y Amortización Acumulada de Bienes</w:t>
      </w:r>
      <w:r w:rsidRPr="00B05C27">
        <w:rPr>
          <w:rFonts w:eastAsia="Times New Roman" w:cs="Arial"/>
          <w:lang w:eastAsia="es-ES"/>
        </w:rPr>
        <w:t xml:space="preserve">. - El saldo de </w:t>
      </w:r>
      <w:r>
        <w:rPr>
          <w:rFonts w:eastAsia="Times New Roman" w:cs="Arial"/>
          <w:lang w:eastAsia="es-ES"/>
        </w:rPr>
        <w:t>126</w:t>
      </w:r>
      <w:r w:rsidRPr="00B05C27">
        <w:rPr>
          <w:rFonts w:eastAsia="Times New Roman" w:cs="Arial"/>
          <w:lang w:eastAsia="es-ES"/>
        </w:rPr>
        <w:t xml:space="preserve"> millones </w:t>
      </w:r>
      <w:r>
        <w:rPr>
          <w:rFonts w:eastAsia="Times New Roman" w:cs="Arial"/>
          <w:lang w:eastAsia="es-ES"/>
        </w:rPr>
        <w:t>444.3</w:t>
      </w:r>
      <w:r w:rsidRPr="00B05C27">
        <w:rPr>
          <w:rFonts w:eastAsia="Times New Roman" w:cs="Arial"/>
          <w:lang w:eastAsia="es-ES"/>
        </w:rPr>
        <w:t xml:space="preserve"> miles de pesos se integra con las siguientes cuentas, dando un total neto en el rubro de activo fijo </w:t>
      </w:r>
      <w:r w:rsidRPr="00B05C27">
        <w:rPr>
          <w:rFonts w:eastAsia="Times New Roman" w:cs="Arial"/>
          <w:color w:val="000000"/>
          <w:lang w:eastAsia="es-ES"/>
        </w:rPr>
        <w:t xml:space="preserve">de </w:t>
      </w:r>
      <w:r>
        <w:rPr>
          <w:rFonts w:eastAsia="Times New Roman" w:cs="Arial"/>
          <w:color w:val="000000"/>
          <w:lang w:eastAsia="es-ES"/>
        </w:rPr>
        <w:t xml:space="preserve">176 </w:t>
      </w:r>
      <w:r w:rsidRPr="00027357">
        <w:rPr>
          <w:rFonts w:eastAsia="Times New Roman" w:cs="Arial"/>
          <w:color w:val="000000"/>
          <w:lang w:eastAsia="es-ES"/>
        </w:rPr>
        <w:t xml:space="preserve">millones </w:t>
      </w:r>
      <w:r w:rsidR="004C4D2F">
        <w:rPr>
          <w:rFonts w:eastAsia="Times New Roman" w:cs="Arial"/>
          <w:color w:val="000000"/>
          <w:lang w:eastAsia="es-ES"/>
        </w:rPr>
        <w:t>854.3</w:t>
      </w:r>
      <w:r w:rsidRPr="00B05C27">
        <w:rPr>
          <w:rFonts w:eastAsia="Times New Roman" w:cs="Arial"/>
          <w:color w:val="000000"/>
          <w:lang w:eastAsia="es-ES"/>
        </w:rPr>
        <w:t xml:space="preserve"> miles de pesos.</w:t>
      </w:r>
    </w:p>
    <w:p w:rsidR="00383861" w:rsidRPr="00B05C27" w:rsidRDefault="00383861" w:rsidP="00383861">
      <w:pPr>
        <w:spacing w:after="101" w:line="276" w:lineRule="auto"/>
        <w:ind w:right="-1"/>
        <w:jc w:val="both"/>
        <w:rPr>
          <w:rFonts w:eastAsia="Times New Roman" w:cs="Arial"/>
          <w:lang w:val="es-ES" w:eastAsia="es-ES"/>
        </w:rPr>
      </w:pPr>
      <w:r w:rsidRPr="00B05C27">
        <w:rPr>
          <w:rFonts w:eastAsia="Times New Roman" w:cs="Arial"/>
          <w:b/>
          <w:lang w:eastAsia="es-ES"/>
        </w:rPr>
        <w:t>Depreciación Acumulada de Bienes Inmuebles. -</w:t>
      </w:r>
      <w:r w:rsidRPr="00B05C27">
        <w:rPr>
          <w:rFonts w:eastAsia="Times New Roman" w:cs="Arial"/>
          <w:lang w:eastAsia="es-ES"/>
        </w:rPr>
        <w:t xml:space="preserve"> El saldo de 5 millones </w:t>
      </w:r>
      <w:r>
        <w:rPr>
          <w:rFonts w:eastAsia="Times New Roman" w:cs="Arial"/>
          <w:lang w:eastAsia="es-ES"/>
        </w:rPr>
        <w:t>887.3</w:t>
      </w:r>
      <w:r w:rsidRPr="00B05C27">
        <w:rPr>
          <w:rFonts w:eastAsia="Times New Roman" w:cs="Arial"/>
          <w:lang w:eastAsia="es-ES"/>
        </w:rPr>
        <w:t xml:space="preserve"> miles de pesos, es el importe de la disminución a valores históricos de los bienes inmuebles del Instituto, el total neto en la cuenta de Edificios No Habitacionales es por 49 millones </w:t>
      </w:r>
      <w:r w:rsidR="004C4D2F">
        <w:rPr>
          <w:rFonts w:eastAsia="Times New Roman" w:cs="Arial"/>
          <w:lang w:eastAsia="es-ES"/>
        </w:rPr>
        <w:t>306.4</w:t>
      </w:r>
      <w:r w:rsidRPr="00B05C27">
        <w:rPr>
          <w:rFonts w:eastAsia="Times New Roman" w:cs="Arial"/>
          <w:lang w:eastAsia="es-ES"/>
        </w:rPr>
        <w:t xml:space="preserve"> miles de pesos.</w:t>
      </w:r>
    </w:p>
    <w:p w:rsidR="00B53B61" w:rsidRDefault="00383861" w:rsidP="00383861">
      <w:pPr>
        <w:spacing w:after="101" w:line="276" w:lineRule="auto"/>
        <w:ind w:right="-1"/>
        <w:jc w:val="both"/>
        <w:rPr>
          <w:rFonts w:eastAsia="Times New Roman" w:cs="Arial"/>
          <w:lang w:eastAsia="es-ES"/>
        </w:rPr>
      </w:pPr>
      <w:r w:rsidRPr="00B05C27">
        <w:rPr>
          <w:rFonts w:eastAsia="Times New Roman" w:cs="Arial"/>
          <w:b/>
          <w:lang w:eastAsia="es-ES"/>
        </w:rPr>
        <w:t>Depreciación Acumulada de Bienes Muebles. -</w:t>
      </w:r>
      <w:r w:rsidRPr="00B05C27">
        <w:rPr>
          <w:rFonts w:eastAsia="Times New Roman" w:cs="Arial"/>
          <w:lang w:eastAsia="es-ES"/>
        </w:rPr>
        <w:t xml:space="preserve"> El saldo de 1</w:t>
      </w:r>
      <w:r>
        <w:rPr>
          <w:rFonts w:eastAsia="Times New Roman" w:cs="Arial"/>
          <w:lang w:eastAsia="es-ES"/>
        </w:rPr>
        <w:t>20</w:t>
      </w:r>
      <w:r w:rsidRPr="00B05C27">
        <w:rPr>
          <w:rFonts w:eastAsia="Times New Roman" w:cs="Arial"/>
          <w:lang w:eastAsia="es-ES"/>
        </w:rPr>
        <w:t xml:space="preserve"> millones </w:t>
      </w:r>
      <w:r>
        <w:rPr>
          <w:rFonts w:eastAsia="Times New Roman" w:cs="Arial"/>
          <w:lang w:eastAsia="es-ES"/>
        </w:rPr>
        <w:t xml:space="preserve">557 </w:t>
      </w:r>
      <w:r w:rsidRPr="00B05C27">
        <w:rPr>
          <w:rFonts w:eastAsia="Times New Roman" w:cs="Arial"/>
          <w:lang w:eastAsia="es-ES"/>
        </w:rPr>
        <w:t xml:space="preserve">mil pesos, es el importe de la disminución a valores históricos de los bienes muebles del Instituto, dando un total neto en este rubro por </w:t>
      </w:r>
      <w:r>
        <w:rPr>
          <w:rFonts w:eastAsia="Times New Roman" w:cs="Arial"/>
          <w:lang w:eastAsia="es-ES"/>
        </w:rPr>
        <w:t>96 millones 415.9 miles de</w:t>
      </w:r>
      <w:r w:rsidRPr="00B05C27">
        <w:rPr>
          <w:rFonts w:eastAsia="Times New Roman" w:cs="Arial"/>
          <w:lang w:eastAsia="es-ES"/>
        </w:rPr>
        <w:t xml:space="preserve"> pesos.</w:t>
      </w:r>
    </w:p>
    <w:p w:rsidR="00383861" w:rsidRPr="003042BB" w:rsidRDefault="00383861" w:rsidP="00383861">
      <w:pPr>
        <w:spacing w:after="101" w:line="276" w:lineRule="auto"/>
        <w:ind w:right="-1"/>
        <w:jc w:val="both"/>
        <w:rPr>
          <w:rFonts w:eastAsia="Times New Roman" w:cs="Arial"/>
          <w:sz w:val="4"/>
          <w:lang w:eastAsia="es-ES"/>
        </w:rPr>
      </w:pPr>
    </w:p>
    <w:p w:rsidR="00383861" w:rsidRPr="00B05C27" w:rsidRDefault="00383861" w:rsidP="00383861">
      <w:pPr>
        <w:pStyle w:val="Prrafodelista"/>
        <w:numPr>
          <w:ilvl w:val="0"/>
          <w:numId w:val="12"/>
        </w:numPr>
        <w:spacing w:after="240" w:line="276" w:lineRule="auto"/>
        <w:ind w:right="-1"/>
        <w:jc w:val="both"/>
        <w:rPr>
          <w:rFonts w:ascii="HelveticaNeueLT Std" w:hAnsi="HelveticaNeueLT Std"/>
          <w:b/>
          <w:sz w:val="20"/>
          <w:szCs w:val="20"/>
        </w:rPr>
      </w:pPr>
      <w:r w:rsidRPr="00B05C27">
        <w:rPr>
          <w:rFonts w:ascii="HelveticaNeueLT Std" w:hAnsi="HelveticaNeueLT Std"/>
          <w:b/>
          <w:sz w:val="20"/>
          <w:szCs w:val="20"/>
        </w:rPr>
        <w:t>Fideicomisos, Mandatos y Análogos</w:t>
      </w:r>
    </w:p>
    <w:p w:rsidR="00383861" w:rsidRPr="00B05C27" w:rsidRDefault="00383861" w:rsidP="00383861">
      <w:pPr>
        <w:numPr>
          <w:ilvl w:val="0"/>
          <w:numId w:val="13"/>
        </w:numPr>
        <w:spacing w:after="240" w:line="276" w:lineRule="auto"/>
        <w:ind w:right="-1"/>
        <w:jc w:val="both"/>
        <w:rPr>
          <w:rFonts w:cs="Arial"/>
        </w:rPr>
      </w:pPr>
      <w:r w:rsidRPr="00B05C27">
        <w:rPr>
          <w:rFonts w:cs="Arial"/>
        </w:rPr>
        <w:t>El 12 de mayo de 2010 el Congreso del Estado de México aprobó el Decreto No. 79 (el “Decreto de Autorización”), mediante el cual se reformaron diversas disposiciones del Marco Jurídico Local (entre ellas el Código Financiero del Estado de México y Municipios) y se otorgó autorización al Instituto para: Constituir un fideicomiso; obtener financiamiento a través de dicho fideicomiso destinado a la modernización del Instituto y a Inversión Pública Productiva, traspasar los ingresos del Registro Público de la Propiedad (RPP) al fideicomiso; otorgar una garantía en relación a las obligaciones que el fideicomiso asuma; y que el fiduciario del fideicomiso contrate garantías financieras, con objeto de asegurar el pago de los financiamientos.</w:t>
      </w:r>
    </w:p>
    <w:p w:rsidR="00383861" w:rsidRPr="00B05C27" w:rsidRDefault="00383861" w:rsidP="00383861">
      <w:pPr>
        <w:numPr>
          <w:ilvl w:val="0"/>
          <w:numId w:val="13"/>
        </w:numPr>
        <w:spacing w:after="240" w:line="276" w:lineRule="auto"/>
        <w:ind w:right="-1"/>
        <w:jc w:val="both"/>
        <w:rPr>
          <w:rFonts w:cs="Arial"/>
        </w:rPr>
      </w:pPr>
      <w:r w:rsidRPr="00B05C27">
        <w:rPr>
          <w:rFonts w:cs="Arial"/>
        </w:rPr>
        <w:t>Con fecha 21 de junio de 2010, el Consejo Directivo del Instituto celebró una sesión en la cual, entre otros asuntos, autorizó la afectación de los ingresos del Instituto derivados de los servicios que preste en relación con el Registro Público de la Propiedad a un fideicomiso constituido conforme y sujeto a lo previsto en las fracciones XXXI y XXXII del artículo 3 y demás aplicables a la Ley de Creación y Decreto de Autorización.</w:t>
      </w:r>
    </w:p>
    <w:p w:rsidR="00383861" w:rsidRPr="00B05C27" w:rsidRDefault="00383861" w:rsidP="00383861">
      <w:pPr>
        <w:numPr>
          <w:ilvl w:val="0"/>
          <w:numId w:val="13"/>
        </w:numPr>
        <w:spacing w:after="240" w:line="276" w:lineRule="auto"/>
        <w:ind w:right="-1"/>
        <w:jc w:val="both"/>
        <w:rPr>
          <w:rFonts w:cs="Arial"/>
        </w:rPr>
      </w:pPr>
      <w:r w:rsidRPr="00B05C27">
        <w:rPr>
          <w:rFonts w:cs="Arial"/>
        </w:rPr>
        <w:t>De conformidad con lo establecido en el párrafo (d) del Artículo Sexto del Decreto de Autorización, mediante oficio No. 203A-0615/2010 de fecha 16 de julio de 2010, la Secretaría de Finanzas del Estado autorizó al Instituto para determinar y acordar los términos y condiciones relacionados con el Contrato de Fideicomiso Irrevocable No. 80615 y la celebración del mismo.</w:t>
      </w:r>
    </w:p>
    <w:p w:rsidR="00383861" w:rsidRPr="00B05C27" w:rsidRDefault="00383861" w:rsidP="00383861">
      <w:pPr>
        <w:numPr>
          <w:ilvl w:val="0"/>
          <w:numId w:val="13"/>
        </w:numPr>
        <w:spacing w:after="240" w:line="276" w:lineRule="auto"/>
        <w:ind w:right="-1"/>
        <w:jc w:val="both"/>
        <w:rPr>
          <w:rFonts w:cs="Arial"/>
        </w:rPr>
      </w:pPr>
      <w:r w:rsidRPr="00B05C27">
        <w:rPr>
          <w:rFonts w:cs="Arial"/>
        </w:rPr>
        <w:t xml:space="preserve">Con fecha 29 de julio de 2010, el Instituto de la Función Registral del Estado de México (el Instituto), como Fideicomitente y Fideicomisario en cuarto lugar, constituyó el Fideicomiso Irrevocable número 80615 (el “Fideicomiso de Cobranza”) con Nacional Financiera, S.N.C., Institución de Banca de Desarrollo, Dirección Fiduciaria) como Fiduciario de Cobranza al cual transfiere irrevocablemente los ingresos del RPP, como “Fideicomisario en primer lugar y Emisora” Promotora de Infraestructura Registral, S.A. de C.V. SOFOM, E. N. R., Banco </w:t>
      </w:r>
      <w:proofErr w:type="spellStart"/>
      <w:r w:rsidRPr="00B05C27">
        <w:rPr>
          <w:rFonts w:cs="Arial"/>
        </w:rPr>
        <w:t>Invex</w:t>
      </w:r>
      <w:proofErr w:type="spellEnd"/>
      <w:r w:rsidRPr="00B05C27">
        <w:rPr>
          <w:rFonts w:cs="Arial"/>
        </w:rPr>
        <w:t xml:space="preserve">, S.A., Institución de Banca Múltiple </w:t>
      </w:r>
      <w:proofErr w:type="spellStart"/>
      <w:r w:rsidRPr="00B05C27">
        <w:rPr>
          <w:rFonts w:cs="Arial"/>
        </w:rPr>
        <w:t>Invex</w:t>
      </w:r>
      <w:proofErr w:type="spellEnd"/>
      <w:r w:rsidRPr="00B05C27">
        <w:rPr>
          <w:rFonts w:cs="Arial"/>
        </w:rPr>
        <w:t xml:space="preserve"> Grupo Financiero y </w:t>
      </w:r>
      <w:proofErr w:type="spellStart"/>
      <w:r w:rsidRPr="00B05C27">
        <w:rPr>
          <w:rFonts w:cs="Arial"/>
        </w:rPr>
        <w:t>Monex</w:t>
      </w:r>
      <w:proofErr w:type="spellEnd"/>
      <w:r w:rsidRPr="00B05C27">
        <w:rPr>
          <w:rFonts w:cs="Arial"/>
        </w:rPr>
        <w:t xml:space="preserve"> Casa de Bolsa, S.A. de C.V., como “Fiduciarios” representantes comunes de los tenedores de los Certificados Bursátiles Fiduciarios Series “A” y “B”.</w:t>
      </w:r>
    </w:p>
    <w:p w:rsidR="00276066" w:rsidRPr="00440F0A" w:rsidRDefault="00383861" w:rsidP="00440F0A">
      <w:pPr>
        <w:numPr>
          <w:ilvl w:val="0"/>
          <w:numId w:val="13"/>
        </w:numPr>
        <w:spacing w:line="276" w:lineRule="auto"/>
        <w:ind w:right="-1"/>
        <w:jc w:val="both"/>
        <w:rPr>
          <w:rFonts w:cs="Arial"/>
        </w:rPr>
      </w:pPr>
      <w:r w:rsidRPr="00B05C27">
        <w:rPr>
          <w:rFonts w:cs="Arial"/>
        </w:rPr>
        <w:t xml:space="preserve">Adicionalmente el 9 de agosto de 2010, la SOFOM, como Fideicomitente, constituyó el Fideicomiso Irrevocable de Administración y Fuente de Pago número F/301051 (el “Fideicomiso de Pago”) con HSBC México, S.A., Institución de Banca Múltiple, Grupo Financiero HSBC, División Fiduciaria, como fiduciario (el “Fiduciario de Pago”), Nacional Financiera, S.N.C., Institución de Banca de Desarrollo, Dirección Fiduciaria, como Fideicomisario en segundo lugar, </w:t>
      </w:r>
      <w:proofErr w:type="spellStart"/>
      <w:r w:rsidRPr="00B05C27">
        <w:rPr>
          <w:rFonts w:cs="Arial"/>
        </w:rPr>
        <w:t>Monex</w:t>
      </w:r>
      <w:proofErr w:type="spellEnd"/>
      <w:r w:rsidRPr="00B05C27">
        <w:rPr>
          <w:rFonts w:cs="Arial"/>
        </w:rPr>
        <w:t xml:space="preserve"> Casa de Bolsa, S.A. de C.V., </w:t>
      </w:r>
      <w:proofErr w:type="spellStart"/>
      <w:r w:rsidRPr="00B05C27">
        <w:rPr>
          <w:rFonts w:cs="Arial"/>
        </w:rPr>
        <w:t>Monex</w:t>
      </w:r>
      <w:proofErr w:type="spellEnd"/>
      <w:r w:rsidRPr="00B05C27">
        <w:rPr>
          <w:rFonts w:cs="Arial"/>
        </w:rPr>
        <w:t xml:space="preserve"> Grupo Financiero, como representante común de los tenedores de los Certificados Bursátiles y </w:t>
      </w:r>
    </w:p>
    <w:p w:rsidR="00B53B61" w:rsidRPr="006351E0" w:rsidRDefault="00383861" w:rsidP="006351E0">
      <w:pPr>
        <w:spacing w:line="276" w:lineRule="auto"/>
        <w:ind w:left="786" w:right="-1"/>
        <w:jc w:val="both"/>
        <w:rPr>
          <w:rFonts w:cs="Arial"/>
        </w:rPr>
      </w:pPr>
      <w:proofErr w:type="spellStart"/>
      <w:r w:rsidRPr="006351E0">
        <w:rPr>
          <w:rFonts w:cs="Arial"/>
        </w:rPr>
        <w:t>The</w:t>
      </w:r>
      <w:proofErr w:type="spellEnd"/>
      <w:r w:rsidRPr="006351E0">
        <w:rPr>
          <w:rFonts w:cs="Arial"/>
        </w:rPr>
        <w:t xml:space="preserve"> Bank of New York </w:t>
      </w:r>
      <w:proofErr w:type="spellStart"/>
      <w:r w:rsidRPr="006351E0">
        <w:rPr>
          <w:rFonts w:cs="Arial"/>
        </w:rPr>
        <w:t>Mellon</w:t>
      </w:r>
      <w:proofErr w:type="spellEnd"/>
      <w:r w:rsidRPr="006351E0">
        <w:rPr>
          <w:rFonts w:cs="Arial"/>
        </w:rPr>
        <w:t>, S.A., Institución de Banca Múltiple como mandatario del Garante “A” y del Garante “B”.</w:t>
      </w:r>
    </w:p>
    <w:p w:rsidR="00383861" w:rsidRPr="00B05C27" w:rsidRDefault="00383861" w:rsidP="00383861">
      <w:pPr>
        <w:numPr>
          <w:ilvl w:val="0"/>
          <w:numId w:val="13"/>
        </w:numPr>
        <w:spacing w:line="276" w:lineRule="auto"/>
        <w:ind w:right="-1"/>
        <w:jc w:val="both"/>
        <w:rPr>
          <w:rFonts w:cs="Arial"/>
        </w:rPr>
      </w:pPr>
      <w:r w:rsidRPr="00B05C27">
        <w:rPr>
          <w:rFonts w:cs="Arial"/>
        </w:rPr>
        <w:t>El 23 de agosto de 2010 el Estado de México, el Instituto y Promotora de Infraestructura Registral, S.A. de C.V. SOFOM, E.N.R., celebran un Convenio Global Estabilizador, en virtud del cual el Estado y el Instituto asumen una serie de obligaciones de hacer y no hacer frente a la Emisora, así como compromisos de indemnización por el incumplimiento de dichas obligaciones.</w:t>
      </w:r>
    </w:p>
    <w:p w:rsidR="00383861" w:rsidRPr="00B05C27" w:rsidRDefault="00383861" w:rsidP="00383861">
      <w:pPr>
        <w:numPr>
          <w:ilvl w:val="0"/>
          <w:numId w:val="13"/>
        </w:numPr>
        <w:spacing w:line="276" w:lineRule="auto"/>
        <w:ind w:right="-1"/>
        <w:jc w:val="both"/>
        <w:rPr>
          <w:rFonts w:cs="Arial"/>
        </w:rPr>
      </w:pPr>
      <w:r w:rsidRPr="00B05C27">
        <w:rPr>
          <w:rFonts w:cs="Arial"/>
        </w:rPr>
        <w:t xml:space="preserve">Con esta misma fecha de conformidad con los artículos 61 a 64 de la Ley del Mercado de Valores, la Emisora Promotora de Infraestructura Registral, S.A. de C.V. SOFOM., E.N.R., emitió, ofreció y colocó, de forma privada, certificados bursátiles fiduciarios serie (i) “A” por un monto de 2 mil 765 millones de pesos, con una tasa de interés anual igual a la suma del U.S. </w:t>
      </w:r>
      <w:proofErr w:type="spellStart"/>
      <w:r w:rsidRPr="00B05C27">
        <w:rPr>
          <w:rFonts w:cs="Arial"/>
        </w:rPr>
        <w:t>Treasury</w:t>
      </w:r>
      <w:proofErr w:type="spellEnd"/>
      <w:r w:rsidRPr="00B05C27">
        <w:rPr>
          <w:rFonts w:cs="Arial"/>
        </w:rPr>
        <w:t xml:space="preserve"> </w:t>
      </w:r>
      <w:proofErr w:type="spellStart"/>
      <w:r w:rsidRPr="00B05C27">
        <w:rPr>
          <w:rFonts w:cs="Arial"/>
        </w:rPr>
        <w:t>Cost</w:t>
      </w:r>
      <w:proofErr w:type="spellEnd"/>
      <w:r w:rsidRPr="00B05C27">
        <w:rPr>
          <w:rFonts w:cs="Arial"/>
        </w:rPr>
        <w:t xml:space="preserve">, más 3.5 por ciento, y (ii) “B” por un monto de 1 mil 300 millones de pesos, con una tasa de interés anual igual al resultado de multiplicar 1.10 por la tasa moratoria que se establece en el </w:t>
      </w:r>
      <w:proofErr w:type="spellStart"/>
      <w:r w:rsidRPr="00B05C27">
        <w:rPr>
          <w:rFonts w:cs="Arial"/>
        </w:rPr>
        <w:t>Macrotítulo</w:t>
      </w:r>
      <w:proofErr w:type="spellEnd"/>
      <w:r w:rsidRPr="00B05C27">
        <w:rPr>
          <w:rFonts w:cs="Arial"/>
        </w:rPr>
        <w:t xml:space="preserve"> de los Certificados Bursátiles Fiduciarios Serie “B”, y se encuentran respaldados por los remanentes del Fideicomiso de Cobranza.</w:t>
      </w:r>
    </w:p>
    <w:p w:rsidR="00383861" w:rsidRPr="00B05C27" w:rsidRDefault="00383861" w:rsidP="00383861">
      <w:pPr>
        <w:numPr>
          <w:ilvl w:val="0"/>
          <w:numId w:val="13"/>
        </w:numPr>
        <w:spacing w:line="276" w:lineRule="auto"/>
        <w:ind w:right="-1"/>
        <w:jc w:val="both"/>
        <w:rPr>
          <w:rFonts w:cs="Arial"/>
        </w:rPr>
      </w:pPr>
      <w:r w:rsidRPr="00B05C27">
        <w:rPr>
          <w:rFonts w:cs="Arial"/>
        </w:rPr>
        <w:t>Las emisiones estarán denominadas en su totalidad en pesos, tendrán un plazo de 20 años y realizarán pagos semestrales de intereses y capital, con tasa de interés fija y amortizaciones programadas crecientes. La fuente de pago de las emisiones serán los certificados bursátiles fiduciarios (CBFS) que van a ser adquiridos por la emisora, que a su vez estarán respaldados por el 100 por ciento de los ingresos del Instituto de la Función Registral del Estado de México (el Instituto), derivados de la recaudación de derechos por la prestación de los servicios consistentes en llevar a cabo la función del Registro Público de la Propiedad (Ingresos RPP).</w:t>
      </w:r>
    </w:p>
    <w:p w:rsidR="00383861" w:rsidRPr="00B05C27" w:rsidRDefault="00383861" w:rsidP="00383861">
      <w:pPr>
        <w:numPr>
          <w:ilvl w:val="0"/>
          <w:numId w:val="13"/>
        </w:numPr>
        <w:spacing w:after="240" w:line="276" w:lineRule="auto"/>
        <w:ind w:right="-1"/>
        <w:jc w:val="both"/>
        <w:rPr>
          <w:rFonts w:cs="Arial"/>
        </w:rPr>
      </w:pPr>
      <w:r w:rsidRPr="00B05C27">
        <w:rPr>
          <w:rFonts w:cs="Arial"/>
        </w:rPr>
        <w:t xml:space="preserve">Adicionalmente los CBFS Serie A contarán con una garantía financiera de </w:t>
      </w:r>
      <w:proofErr w:type="spellStart"/>
      <w:r w:rsidRPr="00B05C27">
        <w:rPr>
          <w:rFonts w:cs="Arial"/>
        </w:rPr>
        <w:t>Overseas</w:t>
      </w:r>
      <w:proofErr w:type="spellEnd"/>
      <w:r w:rsidRPr="00B05C27">
        <w:rPr>
          <w:rFonts w:cs="Arial"/>
        </w:rPr>
        <w:t xml:space="preserve"> </w:t>
      </w:r>
      <w:proofErr w:type="spellStart"/>
      <w:r w:rsidRPr="00B05C27">
        <w:rPr>
          <w:rFonts w:cs="Arial"/>
        </w:rPr>
        <w:t>Private</w:t>
      </w:r>
      <w:proofErr w:type="spellEnd"/>
      <w:r w:rsidRPr="00B05C27">
        <w:rPr>
          <w:rFonts w:cs="Arial"/>
        </w:rPr>
        <w:t xml:space="preserve"> </w:t>
      </w:r>
      <w:proofErr w:type="spellStart"/>
      <w:r w:rsidRPr="00B05C27">
        <w:rPr>
          <w:rFonts w:cs="Arial"/>
        </w:rPr>
        <w:t>Investment</w:t>
      </w:r>
      <w:proofErr w:type="spellEnd"/>
      <w:r w:rsidRPr="00B05C27">
        <w:rPr>
          <w:rFonts w:cs="Arial"/>
        </w:rPr>
        <w:t xml:space="preserve"> </w:t>
      </w:r>
      <w:proofErr w:type="spellStart"/>
      <w:r w:rsidRPr="00B05C27">
        <w:rPr>
          <w:rFonts w:cs="Arial"/>
        </w:rPr>
        <w:t>Corporation</w:t>
      </w:r>
      <w:proofErr w:type="spellEnd"/>
      <w:r w:rsidRPr="00B05C27">
        <w:rPr>
          <w:rFonts w:cs="Arial"/>
        </w:rPr>
        <w:t xml:space="preserve"> (OPIC) por US $250 millones de dólares (MDD) de principal más los intereses asociados; mientras que los CBFS Serie B tendrán una garantía financiera de Corporación Andina de Fomento (CAF) por el 30 por ciento del saldo insoluto.</w:t>
      </w:r>
    </w:p>
    <w:p w:rsidR="00B53B61" w:rsidRDefault="00383861" w:rsidP="00B53B61">
      <w:pPr>
        <w:numPr>
          <w:ilvl w:val="0"/>
          <w:numId w:val="13"/>
        </w:numPr>
        <w:spacing w:line="276" w:lineRule="auto"/>
        <w:ind w:right="-1"/>
        <w:jc w:val="both"/>
        <w:rPr>
          <w:rFonts w:cs="Arial"/>
        </w:rPr>
      </w:pPr>
      <w:r w:rsidRPr="00B05C27">
        <w:rPr>
          <w:rFonts w:cs="Arial"/>
        </w:rPr>
        <w:t>En Sesión Ordinaria del Consejo Directivo de fecha 21 de febrero de 2011, el Instituto presentó propuesta para aprobar previa autorización de la Secretaría de Finanzas del Gobierno del Estado de México, conforme a lo establecido en el Decreto número 79, aprobado por la H. “LVII” Legislatura del Estado y publicado en la “Gaceta del Gobierno” el 12 de mayo de 2010, se celebró y se obligó conforme a los contratos y demás instrumentos que resultaron necesarios o convenientes, la emisión y suscripción de los Certificados Bursátiles Fiduciarios Subordinados (Serie “C”), equivalente a 650,901.5 miles de UDIS. A la fecha de la emisión, dichas UDIS representaron un importe de 3 mil millones 11.2 miles de pesos; tendrá un plazo de 20 años y realizarán pagos semestrales de interés y capital, con tasa de interés fija. La cobranza y garantía de los mismos, incluyendo de forma enunciativa, más no limitativa, los contratos de garantía y compra venta con los adquirentes de los Certificados Bursátiles Fiduciarios Subordinados (Serie “C”), pudiendo asumir obligaciones en beneficio de dichos adquirentes, tales como el pago de comisiones y la creación y mantenimiento de fondos de reserva o cualesquiera otros mecanismos similares, y los demás contratos y documentos relacionados a la operación antes mencionada a la fecha.</w:t>
      </w:r>
    </w:p>
    <w:p w:rsidR="006351E0" w:rsidRDefault="006351E0" w:rsidP="006351E0">
      <w:pPr>
        <w:spacing w:line="276" w:lineRule="auto"/>
        <w:ind w:right="-1"/>
        <w:jc w:val="both"/>
        <w:rPr>
          <w:rFonts w:cs="Arial"/>
        </w:rPr>
      </w:pPr>
    </w:p>
    <w:p w:rsidR="006351E0" w:rsidRPr="007D01C2" w:rsidRDefault="006351E0" w:rsidP="006351E0">
      <w:pPr>
        <w:spacing w:line="276" w:lineRule="auto"/>
        <w:ind w:right="-1"/>
        <w:jc w:val="both"/>
        <w:rPr>
          <w:rFonts w:cs="Arial"/>
        </w:rPr>
      </w:pPr>
    </w:p>
    <w:p w:rsidR="00383861" w:rsidRPr="00B05C27" w:rsidRDefault="00383861" w:rsidP="00383861">
      <w:pPr>
        <w:numPr>
          <w:ilvl w:val="0"/>
          <w:numId w:val="13"/>
        </w:numPr>
        <w:spacing w:line="276" w:lineRule="auto"/>
        <w:ind w:right="-1"/>
        <w:jc w:val="both"/>
        <w:rPr>
          <w:rFonts w:cs="Arial"/>
        </w:rPr>
      </w:pPr>
      <w:r w:rsidRPr="00B05C27">
        <w:rPr>
          <w:rFonts w:cs="Arial"/>
        </w:rPr>
        <w:t>En el caso específico del Fideicomiso de Cobranza No. 80615 el Fideicomitente es el Instituto y el Fideicomisario la SOFOM, por lo tanto, de conformidad con lo establecido en el Artículo 265 B Bis del Código Financiero del Estado de México y Municipios y en el Artículo 7 de la Ley para la Coordinación y Control de Organismos Auxiliares del Estado de México, no se trata de un fideicomiso público.</w:t>
      </w:r>
    </w:p>
    <w:p w:rsidR="00383861" w:rsidRPr="00B05C27" w:rsidRDefault="00383861" w:rsidP="00383861">
      <w:pPr>
        <w:numPr>
          <w:ilvl w:val="0"/>
          <w:numId w:val="13"/>
        </w:numPr>
        <w:spacing w:line="276" w:lineRule="auto"/>
        <w:ind w:right="-1"/>
        <w:jc w:val="both"/>
        <w:rPr>
          <w:rFonts w:cs="Arial"/>
        </w:rPr>
      </w:pPr>
      <w:r w:rsidRPr="00B05C27">
        <w:rPr>
          <w:rFonts w:cs="Arial"/>
        </w:rPr>
        <w:t>Por lo anterior, desde el ejercicio de 2010, se definió que el Fideicomiso de Cobranza se reconociera en el Instituto, de acuerdo al Manual Único de Contabilidad Gubernamental para las Dependencias y Entidades Públicas del Gobierno y Municipios del Estado de México, en cumplimiento con los lineamientos de la Guía Contabilizadora del Gobierno del Estado de México.</w:t>
      </w:r>
    </w:p>
    <w:p w:rsidR="00B53B61" w:rsidRPr="00B53B61" w:rsidRDefault="00383861" w:rsidP="006C38BA">
      <w:pPr>
        <w:numPr>
          <w:ilvl w:val="0"/>
          <w:numId w:val="13"/>
        </w:numPr>
        <w:spacing w:line="276" w:lineRule="auto"/>
        <w:ind w:right="-1"/>
        <w:jc w:val="both"/>
        <w:rPr>
          <w:rFonts w:cs="Arial"/>
        </w:rPr>
      </w:pPr>
      <w:r w:rsidRPr="00B05C27">
        <w:rPr>
          <w:rFonts w:cs="Arial"/>
        </w:rPr>
        <w:t>El día 30 de noviembre de 2015 Promotora de Infraestructura Registral II, S.A. de C.V., SOFOM E.R. (antes Promotora de Infraestructura Registral, S.A. de C.V.), fue inscrita en el registro de prestadores de servicios financieros (SIPRES) que mantiene la Comisión Nacional para la Protección y Defensa de los Usuarios de Servicios Financieros (CONDUSEF) como Sociedad Financiera de Objeto Múltiple Regulada, en términos del segundo párrafo del artículo 87-b de la Ley General de Organizaciones y Actividades Auxiliares del Crédito.</w:t>
      </w:r>
    </w:p>
    <w:p w:rsidR="00EC6092" w:rsidRPr="0094283C" w:rsidRDefault="00EC6092" w:rsidP="0094283C">
      <w:pPr>
        <w:pStyle w:val="Prrafodelista"/>
        <w:numPr>
          <w:ilvl w:val="0"/>
          <w:numId w:val="12"/>
        </w:numPr>
        <w:spacing w:line="276" w:lineRule="auto"/>
        <w:ind w:right="-1"/>
        <w:rPr>
          <w:rFonts w:cs="Arial"/>
          <w:b/>
        </w:rPr>
      </w:pPr>
      <w:r w:rsidRPr="0094283C">
        <w:rPr>
          <w:rFonts w:cs="Arial"/>
          <w:b/>
        </w:rPr>
        <w:t xml:space="preserve">Reporte de la Recaudación: </w:t>
      </w:r>
    </w:p>
    <w:p w:rsidR="00B53B61" w:rsidRDefault="00E422F5" w:rsidP="006C38BA">
      <w:pPr>
        <w:spacing w:line="276" w:lineRule="auto"/>
        <w:ind w:right="-1"/>
        <w:rPr>
          <w:sz w:val="19"/>
          <w:szCs w:val="19"/>
        </w:rPr>
      </w:pPr>
      <w:r w:rsidRPr="00E422F5">
        <w:rPr>
          <w:noProof/>
          <w:lang w:eastAsia="es-MX"/>
        </w:rPr>
        <w:drawing>
          <wp:inline distT="0" distB="0" distL="0" distR="0" wp14:anchorId="27D8793F" wp14:editId="36B02E32">
            <wp:extent cx="6388735" cy="3848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2332" cy="3850267"/>
                    </a:xfrm>
                    <a:prstGeom prst="rect">
                      <a:avLst/>
                    </a:prstGeom>
                    <a:noFill/>
                    <a:ln>
                      <a:noFill/>
                    </a:ln>
                  </pic:spPr>
                </pic:pic>
              </a:graphicData>
            </a:graphic>
          </wp:inline>
        </w:drawing>
      </w:r>
    </w:p>
    <w:p w:rsidR="006351E0" w:rsidRDefault="006351E0" w:rsidP="006C38BA">
      <w:pPr>
        <w:spacing w:line="276" w:lineRule="auto"/>
        <w:ind w:right="-1"/>
        <w:rPr>
          <w:sz w:val="19"/>
          <w:szCs w:val="19"/>
        </w:rPr>
      </w:pPr>
    </w:p>
    <w:p w:rsidR="006351E0" w:rsidRDefault="006351E0" w:rsidP="006C38BA">
      <w:pPr>
        <w:spacing w:line="276" w:lineRule="auto"/>
        <w:ind w:right="-1"/>
        <w:rPr>
          <w:sz w:val="19"/>
          <w:szCs w:val="19"/>
        </w:rPr>
      </w:pPr>
    </w:p>
    <w:p w:rsidR="006351E0" w:rsidRDefault="006351E0" w:rsidP="006C38BA">
      <w:pPr>
        <w:spacing w:line="276" w:lineRule="auto"/>
        <w:ind w:right="-1"/>
        <w:rPr>
          <w:sz w:val="19"/>
          <w:szCs w:val="19"/>
        </w:rPr>
      </w:pPr>
    </w:p>
    <w:p w:rsidR="006351E0" w:rsidRPr="006C38BA" w:rsidRDefault="006351E0" w:rsidP="006C38BA">
      <w:pPr>
        <w:spacing w:line="276" w:lineRule="auto"/>
        <w:ind w:right="-1"/>
        <w:rPr>
          <w:sz w:val="19"/>
          <w:szCs w:val="19"/>
        </w:rPr>
      </w:pPr>
    </w:p>
    <w:p w:rsidR="00EC6092" w:rsidRPr="00F6076C" w:rsidRDefault="00EC6092" w:rsidP="00EC6092">
      <w:pPr>
        <w:pStyle w:val="Sinespaciado"/>
        <w:jc w:val="both"/>
        <w:rPr>
          <w:rFonts w:cs="Arial"/>
          <w:b/>
        </w:rPr>
      </w:pPr>
      <w:r w:rsidRPr="00F6076C">
        <w:rPr>
          <w:rFonts w:cs="Arial"/>
          <w:b/>
        </w:rPr>
        <w:t>INGRESOS.</w:t>
      </w:r>
    </w:p>
    <w:p w:rsidR="00EC6092" w:rsidRPr="00D8149A" w:rsidRDefault="00EC6092" w:rsidP="00EC6092">
      <w:pPr>
        <w:pStyle w:val="Sinespaciado"/>
        <w:jc w:val="both"/>
        <w:rPr>
          <w:rFonts w:ascii="Helvetica" w:hAnsi="Helvetica"/>
        </w:rPr>
      </w:pPr>
    </w:p>
    <w:p w:rsidR="00EC6092" w:rsidRPr="000B53E2" w:rsidRDefault="00EC6092" w:rsidP="00EC6092">
      <w:pPr>
        <w:pStyle w:val="Sinespaciado"/>
        <w:jc w:val="both"/>
        <w:rPr>
          <w:rFonts w:cs="Arial"/>
        </w:rPr>
      </w:pPr>
      <w:r w:rsidRPr="000B53E2">
        <w:rPr>
          <w:rFonts w:cs="Arial"/>
        </w:rPr>
        <w:t xml:space="preserve">Inicialmente se previó recaudar en la Ley de Ingresos Estimada la cantidad de un mil 927 millones 629.4 miles de pesos, se dio una asignación en el Capítulo de inversión Pública por 64 millones 270.7 miles de pesos que corresponden a 33 millones 138.7 miles de pesos, para el Programa Acciones para el Desarrollo (PAD), denominado “Regularización de Tenencia de la Tierra, provenientes del Gobierno del Estado de México (GEM) y 31 millones 132 mil pesos </w:t>
      </w:r>
      <w:r w:rsidR="00372A64">
        <w:rPr>
          <w:rFonts w:cs="Arial"/>
        </w:rPr>
        <w:t>para</w:t>
      </w:r>
      <w:r w:rsidRPr="000B53E2">
        <w:rPr>
          <w:rFonts w:cs="Arial"/>
        </w:rPr>
        <w:t xml:space="preserve"> la “Construcción y Equipamiento de la Segunda Etapa del Archivo General de Notarias</w:t>
      </w:r>
      <w:r w:rsidR="00372A64">
        <w:rPr>
          <w:rFonts w:cs="Arial"/>
        </w:rPr>
        <w:t xml:space="preserve"> (Obra Nueva)</w:t>
      </w:r>
      <w:r w:rsidRPr="000B53E2">
        <w:rPr>
          <w:rFonts w:cs="Arial"/>
        </w:rPr>
        <w:t>”, cuya fuente de financiamiento son recursos propios, dando un total autorizado de un mil 991 millones 900.1 miles de pesos. Se realizó la cancelación presupuestal en el Capítulo 1000 “Servicios Personales”, por la cantidad de 32 millones 326.5 miles de pesos, según oficio No. 203200/0199/2018, de la Subsecretaría de Planeación y P</w:t>
      </w:r>
      <w:r>
        <w:rPr>
          <w:rFonts w:cs="Arial"/>
        </w:rPr>
        <w:t>resupuestos con el folio 1121,</w:t>
      </w:r>
      <w:r w:rsidRPr="000B53E2">
        <w:rPr>
          <w:rFonts w:cs="Arial"/>
        </w:rPr>
        <w:t xml:space="preserve"> </w:t>
      </w:r>
      <w:r w:rsidR="00372A64" w:rsidRPr="0075184C">
        <w:rPr>
          <w:rFonts w:cs="Arial"/>
        </w:rPr>
        <w:t>se realizaron ampliaciones presupuestales por 482 millones 483.1 miles de pesos</w:t>
      </w:r>
      <w:r w:rsidRPr="0075184C">
        <w:rPr>
          <w:rFonts w:cs="Arial"/>
        </w:rPr>
        <w:t>.</w:t>
      </w:r>
    </w:p>
    <w:p w:rsidR="00EC6092" w:rsidRPr="000B53E2" w:rsidRDefault="00EC6092" w:rsidP="00EC6092">
      <w:pPr>
        <w:pStyle w:val="Sinespaciado"/>
        <w:jc w:val="both"/>
        <w:rPr>
          <w:rFonts w:cs="Arial"/>
        </w:rPr>
      </w:pPr>
    </w:p>
    <w:p w:rsidR="006C38BA" w:rsidRPr="000B53E2" w:rsidRDefault="00EC6092" w:rsidP="00EC6092">
      <w:pPr>
        <w:pStyle w:val="Sinespaciado"/>
        <w:jc w:val="both"/>
        <w:rPr>
          <w:rFonts w:cs="Arial"/>
        </w:rPr>
      </w:pPr>
      <w:r w:rsidRPr="000B53E2">
        <w:rPr>
          <w:rFonts w:cs="Arial"/>
        </w:rPr>
        <w:t xml:space="preserve">El importe total recaudado al mes que se analiza fue de </w:t>
      </w:r>
      <w:r w:rsidRPr="002939A4">
        <w:rPr>
          <w:rFonts w:cs="Arial"/>
        </w:rPr>
        <w:t>2 mil 802 millones 727.2 miles de pesos, se tiene un excedente de 360 millones 670.5 miles de pesos recaudados, que repres</w:t>
      </w:r>
      <w:r w:rsidR="00130EA5">
        <w:rPr>
          <w:rFonts w:cs="Arial"/>
        </w:rPr>
        <w:t>enta el 14.8</w:t>
      </w:r>
      <w:r w:rsidRPr="002939A4">
        <w:rPr>
          <w:rFonts w:cs="Arial"/>
        </w:rPr>
        <w:t xml:space="preserve"> por ciento a favor de lo proyectado.</w:t>
      </w:r>
    </w:p>
    <w:p w:rsidR="00EC6092" w:rsidRPr="000B53E2" w:rsidRDefault="00EC6092" w:rsidP="00EC6092">
      <w:pPr>
        <w:pStyle w:val="Sinespaciado"/>
        <w:jc w:val="both"/>
        <w:rPr>
          <w:rFonts w:cs="Arial"/>
        </w:rPr>
      </w:pPr>
    </w:p>
    <w:p w:rsidR="00EC6092" w:rsidRPr="00F6076C" w:rsidRDefault="00EC6092" w:rsidP="00EC6092">
      <w:pPr>
        <w:pStyle w:val="Sinespaciado"/>
        <w:jc w:val="both"/>
        <w:rPr>
          <w:rFonts w:cs="Arial"/>
          <w:b/>
        </w:rPr>
      </w:pPr>
      <w:r w:rsidRPr="00F6076C">
        <w:rPr>
          <w:rFonts w:cs="Arial"/>
          <w:b/>
        </w:rPr>
        <w:t>INGRESOS DE GESTIÓN.</w:t>
      </w:r>
    </w:p>
    <w:p w:rsidR="00EC6092" w:rsidRPr="000B53E2" w:rsidRDefault="00EC6092" w:rsidP="00EC6092">
      <w:pPr>
        <w:pStyle w:val="Sinespaciado"/>
        <w:jc w:val="both"/>
        <w:rPr>
          <w:rFonts w:cs="Arial"/>
        </w:rPr>
      </w:pPr>
    </w:p>
    <w:p w:rsidR="00EC6092" w:rsidRDefault="00EC6092" w:rsidP="00EC6092">
      <w:pPr>
        <w:pStyle w:val="Sinespaciado"/>
        <w:jc w:val="both"/>
        <w:rPr>
          <w:rFonts w:cs="Arial"/>
        </w:rPr>
      </w:pPr>
      <w:r w:rsidRPr="000B53E2">
        <w:rPr>
          <w:rFonts w:cs="Arial"/>
        </w:rPr>
        <w:t xml:space="preserve">Inicialmente se previó recaudar ingresos por concepto de derechos del Registro Público de la Propiedad y Comercio por un mil 137 millones 516.1 miles de pesos, aquí se dio la cancelación presupuestal antes mencionada por la cantidad de 32 millones 326.5 miles de pesos y se han disminuido por traspasos internos 5 millones 689.1 miles de pesos. Se han recaudado por los derechos de los servicios que presta el Instituto un mil </w:t>
      </w:r>
      <w:r>
        <w:rPr>
          <w:rFonts w:cs="Arial"/>
        </w:rPr>
        <w:t>517</w:t>
      </w:r>
      <w:r w:rsidRPr="000B53E2">
        <w:rPr>
          <w:rFonts w:cs="Arial"/>
        </w:rPr>
        <w:t xml:space="preserve"> millones </w:t>
      </w:r>
      <w:r>
        <w:rPr>
          <w:rFonts w:cs="Arial"/>
        </w:rPr>
        <w:t>911.3</w:t>
      </w:r>
      <w:r w:rsidRPr="000B53E2">
        <w:rPr>
          <w:rFonts w:cs="Arial"/>
        </w:rPr>
        <w:t xml:space="preserve"> miles de pesos, por lo tanto, se tiene un excedente recaudado de </w:t>
      </w:r>
      <w:r w:rsidRPr="00D468F0">
        <w:rPr>
          <w:rFonts w:cs="Arial"/>
        </w:rPr>
        <w:t>390 millones 869.2 miles de pesos, equivalentes al 34.7 por ciento a favor de lo proyectado.</w:t>
      </w:r>
    </w:p>
    <w:p w:rsidR="00EC6092" w:rsidRPr="000B53E2" w:rsidRDefault="00EC6092" w:rsidP="00EC6092">
      <w:pPr>
        <w:pStyle w:val="Sinespaciado"/>
        <w:jc w:val="both"/>
        <w:rPr>
          <w:rFonts w:cs="Arial"/>
        </w:rPr>
      </w:pPr>
    </w:p>
    <w:p w:rsidR="00EC6092" w:rsidRPr="00F6076C" w:rsidRDefault="00EC6092" w:rsidP="00EC6092">
      <w:pPr>
        <w:pStyle w:val="Sinespaciado"/>
        <w:jc w:val="both"/>
        <w:rPr>
          <w:rFonts w:cs="Arial"/>
          <w:b/>
        </w:rPr>
      </w:pPr>
      <w:r w:rsidRPr="00F6076C">
        <w:rPr>
          <w:rFonts w:cs="Arial"/>
          <w:b/>
        </w:rPr>
        <w:t>PARTICIPACIONES, APORTACIONES, TRANSFERENCIAS, ASIGNACIONES, SUBSIDIOS Y OTRAS AYUDAS.</w:t>
      </w:r>
    </w:p>
    <w:p w:rsidR="00EC6092" w:rsidRPr="000B53E2" w:rsidRDefault="00EC6092" w:rsidP="00EC6092">
      <w:pPr>
        <w:pStyle w:val="Sinespaciado"/>
        <w:jc w:val="both"/>
        <w:rPr>
          <w:rFonts w:cs="Arial"/>
        </w:rPr>
      </w:pPr>
    </w:p>
    <w:p w:rsidR="00EC6092" w:rsidRDefault="00EC6092" w:rsidP="00EC6092">
      <w:pPr>
        <w:pStyle w:val="Sinespaciado"/>
        <w:jc w:val="both"/>
        <w:rPr>
          <w:rFonts w:cs="Arial"/>
        </w:rPr>
      </w:pPr>
      <w:r w:rsidRPr="000B53E2">
        <w:rPr>
          <w:rFonts w:cs="Arial"/>
        </w:rPr>
        <w:t>Se tiene autorizada la asignación presupuestal de los proyectos denominados “Regularización de Tenencia de la Tierra” por 33 millones 138.7 miles de pesos y “Construcción y Equipamiento de la segunda Etapa del Archivo General de Notarias” por 31 millones 132 mil pe</w:t>
      </w:r>
      <w:r>
        <w:rPr>
          <w:rFonts w:cs="Arial"/>
        </w:rPr>
        <w:t xml:space="preserve">sos, </w:t>
      </w:r>
      <w:r w:rsidRPr="000B53E2">
        <w:rPr>
          <w:rFonts w:cs="Arial"/>
        </w:rPr>
        <w:t>estos importes se reflejan en el rubro del Programa de Acciones para el Desarrollo (PAD) y se encuentran ejercidos en el comprometido en su totalidad, así mismo lo del programa “Regularización de Tenencia de la Tierra” se va devengando con los depósitos que realiza mensualmente el GEM, y por ser del PAD, se reflejan en el recaudado en el recaudado los 64 millones 270.7 miles de pesos.</w:t>
      </w:r>
    </w:p>
    <w:p w:rsidR="00EC6092" w:rsidRPr="000B53E2" w:rsidRDefault="00EC6092" w:rsidP="00EC6092">
      <w:pPr>
        <w:pStyle w:val="Sinespaciado"/>
        <w:jc w:val="both"/>
        <w:rPr>
          <w:rFonts w:cs="Arial"/>
        </w:rPr>
      </w:pPr>
    </w:p>
    <w:p w:rsidR="00EC6092" w:rsidRPr="00F6076C" w:rsidRDefault="00EC6092" w:rsidP="00EC6092">
      <w:pPr>
        <w:pStyle w:val="Sinespaciado"/>
        <w:jc w:val="both"/>
        <w:rPr>
          <w:rFonts w:cs="Arial"/>
          <w:b/>
        </w:rPr>
      </w:pPr>
      <w:r w:rsidRPr="00F6076C">
        <w:rPr>
          <w:rFonts w:cs="Arial"/>
          <w:b/>
        </w:rPr>
        <w:t>OTROS INGRESOS Y BENEFICIOS.</w:t>
      </w:r>
    </w:p>
    <w:p w:rsidR="00EC6092" w:rsidRPr="000B53E2" w:rsidRDefault="00EC6092" w:rsidP="00EC6092">
      <w:pPr>
        <w:pStyle w:val="Sinespaciado"/>
        <w:jc w:val="both"/>
        <w:rPr>
          <w:rFonts w:cs="Arial"/>
        </w:rPr>
      </w:pPr>
    </w:p>
    <w:p w:rsidR="00EC6092" w:rsidRPr="000B53E2" w:rsidRDefault="00EC6092" w:rsidP="00EC6092">
      <w:pPr>
        <w:pStyle w:val="Sinespaciado"/>
        <w:jc w:val="both"/>
        <w:rPr>
          <w:rFonts w:cs="Arial"/>
        </w:rPr>
      </w:pPr>
      <w:r w:rsidRPr="00E95451">
        <w:rPr>
          <w:rFonts w:cs="Arial"/>
        </w:rPr>
        <w:t xml:space="preserve">Se previeron recaudar ingresos por 790 millones 113.3 miles de pesos, integrados de la siguiente forma: 501 millones 894.2 miles de pesos de “Otros Ingresos Financieros”, </w:t>
      </w:r>
      <w:r w:rsidR="00843E6B" w:rsidRPr="00E95451">
        <w:rPr>
          <w:rFonts w:cs="Arial"/>
        </w:rPr>
        <w:t>de los cuales 493 millones 430.1</w:t>
      </w:r>
      <w:r w:rsidRPr="00E95451">
        <w:rPr>
          <w:rFonts w:cs="Arial"/>
        </w:rPr>
        <w:t xml:space="preserve"> miles de pesos son transferidos a la fiduciaria (bonos) intereses del Fideicomiso de Cobranza,</w:t>
      </w:r>
      <w:r w:rsidR="00843E6B" w:rsidRPr="00E95451">
        <w:rPr>
          <w:rFonts w:cs="Arial"/>
        </w:rPr>
        <w:t xml:space="preserve"> más 8 millones 464.1 miles de pesos de “Productos Financieros de Tipo Corriente”</w:t>
      </w:r>
      <w:r w:rsidRPr="00E95451">
        <w:rPr>
          <w:rFonts w:cs="Arial"/>
        </w:rPr>
        <w:t xml:space="preserve"> y de “Otro</w:t>
      </w:r>
      <w:r w:rsidR="001436FB" w:rsidRPr="00E95451">
        <w:rPr>
          <w:rFonts w:cs="Arial"/>
        </w:rPr>
        <w:t>s Ingresos Extraordina</w:t>
      </w:r>
      <w:r w:rsidR="00E95451" w:rsidRPr="00E95451">
        <w:rPr>
          <w:rFonts w:cs="Arial"/>
        </w:rPr>
        <w:t>rios”</w:t>
      </w:r>
      <w:r w:rsidR="00843E6B" w:rsidRPr="00E95451">
        <w:rPr>
          <w:rFonts w:cs="Arial"/>
        </w:rPr>
        <w:t xml:space="preserve"> 285 millones 838 mil</w:t>
      </w:r>
      <w:r w:rsidRPr="00E95451">
        <w:rPr>
          <w:rFonts w:cs="Arial"/>
        </w:rPr>
        <w:t xml:space="preserve"> pesos, para los pagos de amortización de capital y suficiencia presupuestal de </w:t>
      </w:r>
      <w:r w:rsidR="00160821" w:rsidRPr="00E95451">
        <w:rPr>
          <w:rFonts w:cs="Arial"/>
        </w:rPr>
        <w:t>74 mil</w:t>
      </w:r>
      <w:r w:rsidRPr="00E95451">
        <w:rPr>
          <w:rFonts w:cs="Arial"/>
        </w:rPr>
        <w:t xml:space="preserve"> pesos para los intereses del RPC, así como 2 millones 307.1 miles de pesos para “Otros Ingresos Diversos”.</w:t>
      </w:r>
    </w:p>
    <w:p w:rsidR="00EC6092" w:rsidRPr="000B53E2" w:rsidRDefault="00EC6092" w:rsidP="00EC6092">
      <w:pPr>
        <w:pStyle w:val="Sinespaciado"/>
        <w:jc w:val="both"/>
        <w:rPr>
          <w:rFonts w:cs="Arial"/>
        </w:rPr>
      </w:pPr>
    </w:p>
    <w:p w:rsidR="006351E0" w:rsidRDefault="00EC6092" w:rsidP="00EC6092">
      <w:pPr>
        <w:pStyle w:val="Sinespaciado"/>
        <w:jc w:val="both"/>
        <w:rPr>
          <w:rFonts w:cs="Arial"/>
        </w:rPr>
      </w:pPr>
      <w:r w:rsidRPr="000B53E2">
        <w:rPr>
          <w:rFonts w:cs="Arial"/>
        </w:rPr>
        <w:t>De lo anterior se han realizado ampliaciones por 460 millones 630.6 miles de pesos, que principalmente se componen de 380 millones 172.6</w:t>
      </w:r>
      <w:r>
        <w:rPr>
          <w:rFonts w:cs="Arial"/>
        </w:rPr>
        <w:t xml:space="preserve"> miles de</w:t>
      </w:r>
      <w:r w:rsidRPr="000B53E2">
        <w:rPr>
          <w:rFonts w:cs="Arial"/>
        </w:rPr>
        <w:t xml:space="preserve"> pesos correspondientes a la remesa de los remanentes que incluyen 3 millones 661.5 miles de pesos de intereses generados, así mismo se registró la autorización para el pago de </w:t>
      </w:r>
    </w:p>
    <w:p w:rsidR="006351E0" w:rsidRDefault="006351E0" w:rsidP="00EC6092">
      <w:pPr>
        <w:pStyle w:val="Sinespaciado"/>
        <w:jc w:val="both"/>
        <w:rPr>
          <w:rFonts w:cs="Arial"/>
        </w:rPr>
      </w:pPr>
    </w:p>
    <w:p w:rsidR="006351E0" w:rsidRDefault="006351E0" w:rsidP="00EC6092">
      <w:pPr>
        <w:pStyle w:val="Sinespaciado"/>
        <w:jc w:val="both"/>
        <w:rPr>
          <w:rFonts w:cs="Arial"/>
        </w:rPr>
      </w:pPr>
    </w:p>
    <w:p w:rsidR="00EC6092" w:rsidRPr="000B53E2" w:rsidRDefault="00EC6092" w:rsidP="00EC6092">
      <w:pPr>
        <w:pStyle w:val="Sinespaciado"/>
        <w:jc w:val="both"/>
        <w:rPr>
          <w:rFonts w:cs="Arial"/>
        </w:rPr>
      </w:pPr>
      <w:r w:rsidRPr="000B53E2">
        <w:rPr>
          <w:rFonts w:cs="Arial"/>
        </w:rPr>
        <w:t>Adeudos de Ejercicios Anteriores (ADEFAS), por 49 millones 297.8 miles de pesos, y para compra de bienes 18 millones 4.6 miles de pesos, así como un millón 494.1 miles de pesos para “Otros Ingresos Diversos”.</w:t>
      </w:r>
    </w:p>
    <w:p w:rsidR="00EC6092" w:rsidRPr="000B53E2" w:rsidRDefault="00EC6092" w:rsidP="00EC6092">
      <w:pPr>
        <w:pStyle w:val="Sinespaciado"/>
        <w:jc w:val="both"/>
        <w:rPr>
          <w:rFonts w:cs="Arial"/>
        </w:rPr>
      </w:pPr>
    </w:p>
    <w:p w:rsidR="00EC6092" w:rsidRPr="000B53E2" w:rsidRDefault="00EC6092" w:rsidP="00EC6092">
      <w:pPr>
        <w:pStyle w:val="Sinespaciado"/>
        <w:jc w:val="both"/>
        <w:rPr>
          <w:rFonts w:cs="Arial"/>
        </w:rPr>
      </w:pPr>
      <w:r w:rsidRPr="000B53E2">
        <w:rPr>
          <w:rFonts w:cs="Arial"/>
        </w:rPr>
        <w:t xml:space="preserve">En este rubro al mes que se analiza se ha recaudado la cantidad de </w:t>
      </w:r>
      <w:r w:rsidRPr="00093090">
        <w:rPr>
          <w:rFonts w:cs="Arial"/>
        </w:rPr>
        <w:t xml:space="preserve">un mil 220 millones </w:t>
      </w:r>
      <w:r>
        <w:rPr>
          <w:rFonts w:cs="Arial"/>
        </w:rPr>
        <w:t>545.2</w:t>
      </w:r>
      <w:r w:rsidRPr="000B53E2">
        <w:rPr>
          <w:rFonts w:cs="Arial"/>
        </w:rPr>
        <w:t xml:space="preserve"> mil</w:t>
      </w:r>
      <w:r>
        <w:rPr>
          <w:rFonts w:cs="Arial"/>
        </w:rPr>
        <w:t>es de</w:t>
      </w:r>
      <w:r w:rsidRPr="000B53E2">
        <w:rPr>
          <w:rFonts w:cs="Arial"/>
        </w:rPr>
        <w:t xml:space="preserve"> pesos, los cuales se describen como sigue:</w:t>
      </w:r>
    </w:p>
    <w:p w:rsidR="00EC6092" w:rsidRPr="000B53E2" w:rsidRDefault="00EC6092" w:rsidP="00EC6092">
      <w:pPr>
        <w:pStyle w:val="Sinespaciado"/>
        <w:jc w:val="both"/>
        <w:rPr>
          <w:rFonts w:cs="Arial"/>
        </w:rPr>
      </w:pPr>
    </w:p>
    <w:p w:rsidR="00EC6092" w:rsidRDefault="00EC6092" w:rsidP="00EC6092">
      <w:pPr>
        <w:pStyle w:val="Sinespaciado"/>
        <w:jc w:val="both"/>
        <w:rPr>
          <w:rFonts w:cs="Arial"/>
        </w:rPr>
      </w:pPr>
      <w:r w:rsidRPr="00F6076C">
        <w:rPr>
          <w:rFonts w:cs="Arial"/>
          <w:b/>
        </w:rPr>
        <w:t>Otros Ingresos Financieros. -</w:t>
      </w:r>
      <w:r w:rsidRPr="000B53E2">
        <w:rPr>
          <w:rFonts w:cs="Arial"/>
        </w:rPr>
        <w:t xml:space="preserve"> Se tiene </w:t>
      </w:r>
      <w:r>
        <w:rPr>
          <w:rFonts w:cs="Arial"/>
        </w:rPr>
        <w:t xml:space="preserve">recaudado </w:t>
      </w:r>
      <w:r w:rsidRPr="000B53E2">
        <w:rPr>
          <w:rFonts w:cs="Arial"/>
        </w:rPr>
        <w:t>la cantidad de</w:t>
      </w:r>
      <w:r>
        <w:rPr>
          <w:rFonts w:cs="Arial"/>
        </w:rPr>
        <w:t xml:space="preserve"> 508</w:t>
      </w:r>
      <w:r w:rsidRPr="000B53E2">
        <w:rPr>
          <w:rFonts w:cs="Arial"/>
        </w:rPr>
        <w:t xml:space="preserve"> millones </w:t>
      </w:r>
      <w:r w:rsidR="00B92B9D">
        <w:rPr>
          <w:rFonts w:cs="Arial"/>
        </w:rPr>
        <w:t>813.9</w:t>
      </w:r>
      <w:r w:rsidRPr="000B53E2">
        <w:rPr>
          <w:rFonts w:cs="Arial"/>
        </w:rPr>
        <w:t xml:space="preserve"> miles de pesos, los cuales se encuentran conformados por 493 millones 535.9 miles de pesos para el pago de intereses de los certificados bursátiles fiduciarios series A, B y subordinada C, así como </w:t>
      </w:r>
      <w:r>
        <w:rPr>
          <w:rFonts w:cs="Arial"/>
        </w:rPr>
        <w:t>15</w:t>
      </w:r>
      <w:r w:rsidRPr="000B53E2">
        <w:rPr>
          <w:rFonts w:cs="Arial"/>
        </w:rPr>
        <w:t xml:space="preserve"> millones </w:t>
      </w:r>
      <w:r w:rsidR="00B92B9D">
        <w:rPr>
          <w:rFonts w:cs="Arial"/>
        </w:rPr>
        <w:t>278</w:t>
      </w:r>
      <w:r w:rsidRPr="000B53E2">
        <w:rPr>
          <w:rFonts w:cs="Arial"/>
        </w:rPr>
        <w:t xml:space="preserve"> mi</w:t>
      </w:r>
      <w:r w:rsidR="00B92B9D">
        <w:rPr>
          <w:rFonts w:cs="Arial"/>
        </w:rPr>
        <w:t>l</w:t>
      </w:r>
      <w:r w:rsidRPr="000B53E2">
        <w:rPr>
          <w:rFonts w:cs="Arial"/>
        </w:rPr>
        <w:t xml:space="preserve"> pesos de rendimientos por intereses financieros generados por las inversiones a corto plazo de las Instituciones Bancarias de este Instituto.</w:t>
      </w:r>
    </w:p>
    <w:p w:rsidR="00EC6092" w:rsidRPr="000B53E2" w:rsidRDefault="00EC6092" w:rsidP="00EC6092">
      <w:pPr>
        <w:pStyle w:val="Sinespaciado"/>
        <w:jc w:val="both"/>
        <w:rPr>
          <w:rFonts w:cs="Arial"/>
        </w:rPr>
      </w:pPr>
    </w:p>
    <w:p w:rsidR="00EC6092" w:rsidRDefault="00EC6092" w:rsidP="00EC6092">
      <w:pPr>
        <w:pStyle w:val="Sinespaciado"/>
        <w:jc w:val="both"/>
        <w:rPr>
          <w:rFonts w:cs="Arial"/>
        </w:rPr>
      </w:pPr>
      <w:r w:rsidRPr="00F6076C">
        <w:rPr>
          <w:rFonts w:cs="Arial"/>
          <w:b/>
        </w:rPr>
        <w:t>Otros Ingresos Extraordinarios. -</w:t>
      </w:r>
      <w:r w:rsidRPr="000B53E2">
        <w:rPr>
          <w:rFonts w:cs="Arial"/>
        </w:rPr>
        <w:t xml:space="preserve"> Los 671 </w:t>
      </w:r>
      <w:r w:rsidRPr="00754AB7">
        <w:rPr>
          <w:rFonts w:cs="Arial"/>
        </w:rPr>
        <w:t>millones 829 mil pesos</w:t>
      </w:r>
      <w:r w:rsidRPr="000B53E2">
        <w:rPr>
          <w:rFonts w:cs="Arial"/>
        </w:rPr>
        <w:t>, conformados por 369 millones 546.3 miles de pesos de los remanentes del Fideicomiso de Cobranza, 288 millones 40.2 miles de pesos para el pago de amortizaciones de capital de los certificados bursátiles fiduciarios serie</w:t>
      </w:r>
      <w:r>
        <w:rPr>
          <w:rFonts w:cs="Arial"/>
        </w:rPr>
        <w:t>s A, B y subordinada C, más</w:t>
      </w:r>
      <w:r w:rsidRPr="000B53E2">
        <w:rPr>
          <w:rFonts w:cs="Arial"/>
        </w:rPr>
        <w:t xml:space="preserve"> </w:t>
      </w:r>
      <w:r>
        <w:rPr>
          <w:rFonts w:cs="Arial"/>
        </w:rPr>
        <w:t>113.6</w:t>
      </w:r>
      <w:r w:rsidRPr="000B53E2">
        <w:rPr>
          <w:rFonts w:cs="Arial"/>
        </w:rPr>
        <w:t xml:space="preserve"> miles de pesos de los rend</w:t>
      </w:r>
      <w:r>
        <w:rPr>
          <w:rFonts w:cs="Arial"/>
        </w:rPr>
        <w:t>imientos de las remesas del RPC y 14 millones 128.9 miles de pesos de gastos de modernización “Bienes Muebles, Inmuebles e Intangibles”.</w:t>
      </w:r>
    </w:p>
    <w:p w:rsidR="0094283C" w:rsidRPr="000B53E2" w:rsidRDefault="0094283C" w:rsidP="00EC6092">
      <w:pPr>
        <w:pStyle w:val="Sinespaciado"/>
        <w:jc w:val="both"/>
        <w:rPr>
          <w:rFonts w:cs="Arial"/>
        </w:rPr>
      </w:pPr>
    </w:p>
    <w:p w:rsidR="005B362E" w:rsidRDefault="00EC6092" w:rsidP="00EC6092">
      <w:pPr>
        <w:pStyle w:val="Sinespaciado"/>
        <w:jc w:val="both"/>
        <w:rPr>
          <w:rFonts w:cs="Arial"/>
        </w:rPr>
      </w:pPr>
      <w:r w:rsidRPr="00F6076C">
        <w:rPr>
          <w:rFonts w:cs="Arial"/>
          <w:b/>
        </w:rPr>
        <w:t>Otros Ingresos Diversos. -</w:t>
      </w:r>
      <w:r w:rsidRPr="000B53E2">
        <w:rPr>
          <w:rFonts w:cs="Arial"/>
        </w:rPr>
        <w:t xml:space="preserve"> Se recaudó </w:t>
      </w:r>
      <w:r w:rsidRPr="00D468F0">
        <w:rPr>
          <w:rFonts w:cs="Arial"/>
        </w:rPr>
        <w:t>5 millones 665.</w:t>
      </w:r>
      <w:r>
        <w:rPr>
          <w:rFonts w:cs="Arial"/>
        </w:rPr>
        <w:t xml:space="preserve">5 </w:t>
      </w:r>
      <w:r w:rsidRPr="000B53E2">
        <w:rPr>
          <w:rFonts w:cs="Arial"/>
        </w:rPr>
        <w:t>miles de pesos correspondientes a las operaciones esporádicas como depósitos en efectivo no referenciados, llamadas telefónicas no oficiales, indemnización de bienes, venta de bases y la donación de un vehículo para la Contraloría Interna, entre otros.</w:t>
      </w:r>
    </w:p>
    <w:p w:rsidR="0094283C" w:rsidRDefault="0094283C" w:rsidP="00EC6092">
      <w:pPr>
        <w:pStyle w:val="Sinespaciado"/>
        <w:jc w:val="both"/>
        <w:rPr>
          <w:rFonts w:cs="Arial"/>
        </w:rPr>
      </w:pPr>
    </w:p>
    <w:p w:rsidR="00EC6092" w:rsidRDefault="005B362E" w:rsidP="00EC6092">
      <w:pPr>
        <w:pStyle w:val="Sinespaciado"/>
        <w:jc w:val="both"/>
        <w:rPr>
          <w:rFonts w:cs="Arial"/>
        </w:rPr>
      </w:pPr>
      <w:r w:rsidRPr="005B362E">
        <w:rPr>
          <w:rFonts w:ascii="Helvetica" w:hAnsi="Helvetica"/>
          <w:b/>
        </w:rPr>
        <w:t>Disponibilidades Financieras de Ejercicios Anteriores</w:t>
      </w:r>
      <w:r>
        <w:rPr>
          <w:rFonts w:ascii="Helvetica" w:hAnsi="Helvetica"/>
          <w:b/>
        </w:rPr>
        <w:t xml:space="preserve">. - </w:t>
      </w:r>
      <w:r>
        <w:rPr>
          <w:rFonts w:cs="Arial"/>
        </w:rPr>
        <w:t>P</w:t>
      </w:r>
      <w:r w:rsidR="00843E6B">
        <w:rPr>
          <w:rFonts w:cs="Arial"/>
        </w:rPr>
        <w:t xml:space="preserve">ara la </w:t>
      </w:r>
      <w:r w:rsidRPr="000B53E2">
        <w:rPr>
          <w:rFonts w:cs="Arial"/>
        </w:rPr>
        <w:t>compra de bienes</w:t>
      </w:r>
      <w:r>
        <w:rPr>
          <w:rFonts w:cs="Arial"/>
        </w:rPr>
        <w:t xml:space="preserve"> y equipamiento de las Oficinas Registrales</w:t>
      </w:r>
      <w:r w:rsidRPr="000B53E2">
        <w:rPr>
          <w:rFonts w:cs="Arial"/>
        </w:rPr>
        <w:t xml:space="preserve"> </w:t>
      </w:r>
      <w:r w:rsidR="00843E6B">
        <w:rPr>
          <w:rFonts w:cs="Arial"/>
        </w:rPr>
        <w:t xml:space="preserve">se recaudaron </w:t>
      </w:r>
      <w:r w:rsidRPr="000B53E2">
        <w:rPr>
          <w:rFonts w:cs="Arial"/>
        </w:rPr>
        <w:t>18 millones 4.6 miles de pesos</w:t>
      </w:r>
      <w:r w:rsidR="00843E6B">
        <w:rPr>
          <w:rFonts w:cs="Arial"/>
        </w:rPr>
        <w:t>.</w:t>
      </w:r>
    </w:p>
    <w:p w:rsidR="0094283C" w:rsidRPr="005B362E" w:rsidRDefault="0094283C" w:rsidP="00EC6092">
      <w:pPr>
        <w:pStyle w:val="Sinespaciado"/>
        <w:jc w:val="both"/>
        <w:rPr>
          <w:rFonts w:ascii="Helvetica" w:hAnsi="Helvetica"/>
          <w:b/>
        </w:rPr>
      </w:pPr>
    </w:p>
    <w:p w:rsidR="00EC6092" w:rsidRPr="0046627D" w:rsidRDefault="005B362E" w:rsidP="00EC6092">
      <w:pPr>
        <w:pStyle w:val="Sinespaciado"/>
        <w:jc w:val="both"/>
        <w:rPr>
          <w:rFonts w:ascii="Helvetica" w:hAnsi="Helvetica"/>
        </w:rPr>
      </w:pPr>
      <w:r w:rsidRPr="005B362E">
        <w:rPr>
          <w:rFonts w:ascii="Helvetica" w:hAnsi="Helvetica"/>
          <w:b/>
        </w:rPr>
        <w:t>Pasivos Derivados de Erogaciones Devengadas y Pendientes de Ejercicios Anteriores</w:t>
      </w:r>
      <w:r>
        <w:rPr>
          <w:rFonts w:ascii="Helvetica" w:hAnsi="Helvetica"/>
          <w:b/>
        </w:rPr>
        <w:t xml:space="preserve">. - </w:t>
      </w:r>
      <w:r w:rsidR="00EC6092" w:rsidRPr="00D468F0">
        <w:rPr>
          <w:rFonts w:ascii="Helvetica" w:hAnsi="Helvetica"/>
        </w:rPr>
        <w:t>Se recaudó</w:t>
      </w:r>
      <w:r w:rsidR="00EC6092" w:rsidRPr="00D468F0">
        <w:rPr>
          <w:rFonts w:ascii="Helvetica" w:hAnsi="Helvetica"/>
          <w:b/>
        </w:rPr>
        <w:t xml:space="preserve"> </w:t>
      </w:r>
      <w:r w:rsidR="00B92B9D">
        <w:rPr>
          <w:rFonts w:ascii="Helvetica" w:hAnsi="Helvetica"/>
        </w:rPr>
        <w:t>16 millones 232.2</w:t>
      </w:r>
      <w:r w:rsidR="00EC6092" w:rsidRPr="00D468F0">
        <w:rPr>
          <w:rFonts w:ascii="Helvetica" w:hAnsi="Helvetica"/>
        </w:rPr>
        <w:t xml:space="preserve"> miles de pesos (ADEFAS 2018).</w:t>
      </w:r>
    </w:p>
    <w:p w:rsidR="003042BB" w:rsidRPr="00B53B61" w:rsidRDefault="003042BB" w:rsidP="00B53B61">
      <w:pPr>
        <w:spacing w:line="276" w:lineRule="auto"/>
        <w:ind w:right="-1"/>
        <w:jc w:val="both"/>
        <w:rPr>
          <w:sz w:val="18"/>
          <w:szCs w:val="18"/>
        </w:rPr>
      </w:pPr>
    </w:p>
    <w:p w:rsidR="00383861" w:rsidRPr="00B05C27" w:rsidRDefault="00383861" w:rsidP="00383861">
      <w:pPr>
        <w:pStyle w:val="Prrafodelista"/>
        <w:numPr>
          <w:ilvl w:val="0"/>
          <w:numId w:val="12"/>
        </w:numPr>
        <w:spacing w:after="160" w:line="276" w:lineRule="auto"/>
        <w:ind w:right="-1"/>
        <w:rPr>
          <w:rFonts w:ascii="HelveticaNeueLT Std" w:hAnsi="HelveticaNeueLT Std" w:cs="Arial"/>
          <w:b/>
          <w:sz w:val="20"/>
          <w:szCs w:val="20"/>
        </w:rPr>
      </w:pPr>
      <w:r w:rsidRPr="00B05C27">
        <w:rPr>
          <w:rFonts w:ascii="HelveticaNeueLT Std" w:hAnsi="HelveticaNeueLT Std" w:cs="Arial"/>
          <w:b/>
          <w:sz w:val="20"/>
          <w:szCs w:val="20"/>
        </w:rPr>
        <w:t>Información sobre la Deuda y el Reporte Analítico de la Deuda</w:t>
      </w:r>
    </w:p>
    <w:p w:rsidR="00383861" w:rsidRPr="00B05C27" w:rsidRDefault="00383861" w:rsidP="00383861">
      <w:pPr>
        <w:spacing w:line="276" w:lineRule="auto"/>
        <w:ind w:right="-1"/>
        <w:jc w:val="both"/>
        <w:rPr>
          <w:rFonts w:cs="Arial"/>
          <w:lang w:eastAsia="es-ES"/>
        </w:rPr>
      </w:pPr>
      <w:r w:rsidRPr="00B05C27">
        <w:rPr>
          <w:rFonts w:cs="Arial"/>
          <w:lang w:eastAsia="es-ES"/>
        </w:rPr>
        <w:t>La operación del Fideicomiso de Cobranza se ha comportado de la siguiente forma:</w:t>
      </w:r>
    </w:p>
    <w:p w:rsidR="00383861" w:rsidRPr="00B05C27" w:rsidRDefault="00383861" w:rsidP="008E7569">
      <w:pPr>
        <w:tabs>
          <w:tab w:val="left" w:pos="438"/>
        </w:tabs>
        <w:spacing w:line="276" w:lineRule="auto"/>
        <w:ind w:left="644" w:right="-1" w:hanging="644"/>
        <w:contextualSpacing/>
        <w:jc w:val="center"/>
        <w:rPr>
          <w:rFonts w:eastAsia="Times New Roman" w:cs="Arial"/>
          <w:lang w:eastAsia="es-ES"/>
        </w:rPr>
      </w:pPr>
      <w:r w:rsidRPr="00256F88">
        <w:rPr>
          <w:noProof/>
          <w:lang w:eastAsia="es-MX"/>
        </w:rPr>
        <w:drawing>
          <wp:inline distT="0" distB="0" distL="0" distR="0" wp14:anchorId="5098D8FB" wp14:editId="12C906C7">
            <wp:extent cx="6386830" cy="2324100"/>
            <wp:effectExtent l="0" t="0" r="0" b="0"/>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1038" cy="2332909"/>
                    </a:xfrm>
                    <a:prstGeom prst="rect">
                      <a:avLst/>
                    </a:prstGeom>
                    <a:noFill/>
                    <a:ln>
                      <a:noFill/>
                    </a:ln>
                  </pic:spPr>
                </pic:pic>
              </a:graphicData>
            </a:graphic>
          </wp:inline>
        </w:drawing>
      </w:r>
    </w:p>
    <w:p w:rsidR="006351E0" w:rsidRDefault="00383861" w:rsidP="003042BB">
      <w:pPr>
        <w:spacing w:before="240" w:line="276" w:lineRule="auto"/>
        <w:ind w:right="-1"/>
        <w:jc w:val="both"/>
        <w:rPr>
          <w:rFonts w:cs="Arial"/>
        </w:rPr>
      </w:pPr>
      <w:r w:rsidRPr="00B05C27">
        <w:rPr>
          <w:rFonts w:cs="Arial"/>
        </w:rPr>
        <w:t>El saldo de la cuenta 2221 “Documentos Comerciales Por Pagar a Largo Plazo es</w:t>
      </w:r>
      <w:r>
        <w:rPr>
          <w:rFonts w:cs="Arial"/>
        </w:rPr>
        <w:t xml:space="preserve"> de 5 mil 627 millones 785.4 miles de pesos que se componen de</w:t>
      </w:r>
      <w:r w:rsidRPr="00B05C27">
        <w:rPr>
          <w:rFonts w:cs="Arial"/>
        </w:rPr>
        <w:t>; los CBFS de la Serie “</w:t>
      </w:r>
      <w:r w:rsidRPr="00B05C27">
        <w:rPr>
          <w:rFonts w:cs="Arial"/>
          <w:b/>
        </w:rPr>
        <w:t>A</w:t>
      </w:r>
      <w:r w:rsidRPr="00B05C27">
        <w:rPr>
          <w:rFonts w:cs="Arial"/>
        </w:rPr>
        <w:t xml:space="preserve">”, </w:t>
      </w:r>
      <w:r w:rsidRPr="00B05C27">
        <w:rPr>
          <w:rFonts w:cs="Arial"/>
          <w:b/>
        </w:rPr>
        <w:t>2 mil 2</w:t>
      </w:r>
      <w:r>
        <w:rPr>
          <w:rFonts w:cs="Arial"/>
          <w:b/>
        </w:rPr>
        <w:t>04</w:t>
      </w:r>
      <w:r w:rsidRPr="00B05C27">
        <w:rPr>
          <w:rFonts w:cs="Arial"/>
          <w:b/>
        </w:rPr>
        <w:t xml:space="preserve"> millones </w:t>
      </w:r>
      <w:r>
        <w:rPr>
          <w:rFonts w:cs="Arial"/>
          <w:b/>
        </w:rPr>
        <w:t>278.4</w:t>
      </w:r>
      <w:r w:rsidRPr="00B05C27">
        <w:rPr>
          <w:rFonts w:cs="Arial"/>
          <w:b/>
        </w:rPr>
        <w:t xml:space="preserve"> miles de pesos</w:t>
      </w:r>
      <w:r w:rsidRPr="00B05C27">
        <w:rPr>
          <w:rFonts w:cs="Arial"/>
        </w:rPr>
        <w:t>, para los CBFS de la Serie “</w:t>
      </w:r>
      <w:r w:rsidRPr="00B05C27">
        <w:rPr>
          <w:rFonts w:cs="Arial"/>
          <w:b/>
        </w:rPr>
        <w:t>B</w:t>
      </w:r>
      <w:r w:rsidRPr="00B05C27">
        <w:rPr>
          <w:rFonts w:cs="Arial"/>
        </w:rPr>
        <w:t xml:space="preserve">”, </w:t>
      </w:r>
      <w:r w:rsidRPr="00B05C27">
        <w:rPr>
          <w:rFonts w:cs="Arial"/>
          <w:b/>
        </w:rPr>
        <w:t xml:space="preserve">un mil </w:t>
      </w:r>
      <w:r>
        <w:rPr>
          <w:rFonts w:cs="Arial"/>
          <w:b/>
        </w:rPr>
        <w:t>36</w:t>
      </w:r>
      <w:r w:rsidRPr="00B05C27">
        <w:rPr>
          <w:rFonts w:cs="Arial"/>
          <w:b/>
        </w:rPr>
        <w:t xml:space="preserve"> millones </w:t>
      </w:r>
      <w:r>
        <w:rPr>
          <w:rFonts w:cs="Arial"/>
          <w:b/>
        </w:rPr>
        <w:t>369.6</w:t>
      </w:r>
      <w:r w:rsidRPr="00B05C27">
        <w:rPr>
          <w:rFonts w:cs="Arial"/>
          <w:b/>
        </w:rPr>
        <w:t xml:space="preserve"> mil</w:t>
      </w:r>
      <w:r>
        <w:rPr>
          <w:rFonts w:cs="Arial"/>
          <w:b/>
        </w:rPr>
        <w:t>es de</w:t>
      </w:r>
      <w:r w:rsidRPr="00B05C27">
        <w:rPr>
          <w:rFonts w:cs="Arial"/>
          <w:b/>
        </w:rPr>
        <w:t xml:space="preserve"> pesos</w:t>
      </w:r>
      <w:r w:rsidRPr="00B05C27">
        <w:rPr>
          <w:rFonts w:cs="Arial"/>
        </w:rPr>
        <w:t xml:space="preserve">, y para los CBFS Subordinados de la Serie </w:t>
      </w:r>
    </w:p>
    <w:p w:rsidR="006351E0" w:rsidRPr="006351E0" w:rsidRDefault="006351E0" w:rsidP="003042BB">
      <w:pPr>
        <w:spacing w:before="240" w:line="276" w:lineRule="auto"/>
        <w:ind w:right="-1"/>
        <w:jc w:val="both"/>
        <w:rPr>
          <w:rFonts w:cs="Arial"/>
          <w:sz w:val="2"/>
        </w:rPr>
      </w:pPr>
    </w:p>
    <w:p w:rsidR="0094283C" w:rsidRDefault="00383861" w:rsidP="006351E0">
      <w:pPr>
        <w:spacing w:before="240" w:line="276" w:lineRule="auto"/>
        <w:ind w:right="-1"/>
        <w:jc w:val="both"/>
        <w:rPr>
          <w:rFonts w:cs="Arial"/>
        </w:rPr>
      </w:pPr>
      <w:r w:rsidRPr="00B05C27">
        <w:rPr>
          <w:rFonts w:cs="Arial"/>
        </w:rPr>
        <w:t>“</w:t>
      </w:r>
      <w:r w:rsidRPr="00B05C27">
        <w:rPr>
          <w:rFonts w:cs="Arial"/>
          <w:b/>
        </w:rPr>
        <w:t>C</w:t>
      </w:r>
      <w:r w:rsidRPr="00B05C27">
        <w:rPr>
          <w:rFonts w:cs="Arial"/>
        </w:rPr>
        <w:t xml:space="preserve">”, </w:t>
      </w:r>
      <w:r>
        <w:rPr>
          <w:rFonts w:cs="Arial"/>
          <w:b/>
        </w:rPr>
        <w:t>2 mil 315</w:t>
      </w:r>
      <w:r w:rsidRPr="00B05C27">
        <w:rPr>
          <w:rFonts w:cs="Arial"/>
          <w:b/>
        </w:rPr>
        <w:t xml:space="preserve"> millones </w:t>
      </w:r>
      <w:r>
        <w:rPr>
          <w:rFonts w:cs="Arial"/>
          <w:b/>
        </w:rPr>
        <w:t xml:space="preserve">746.4 </w:t>
      </w:r>
      <w:r w:rsidRPr="00B05C27">
        <w:rPr>
          <w:rFonts w:cs="Arial"/>
          <w:b/>
        </w:rPr>
        <w:t>miles de pesos</w:t>
      </w:r>
      <w:r w:rsidRPr="00B05C27">
        <w:rPr>
          <w:rFonts w:cs="Arial"/>
        </w:rPr>
        <w:t xml:space="preserve">. </w:t>
      </w:r>
      <w:r w:rsidRPr="00CE10AA">
        <w:rPr>
          <w:rFonts w:cs="Arial"/>
        </w:rPr>
        <w:t xml:space="preserve">Cabe mencionar que la serie subordinada “C” se encuentra en UDIS, por lo tanto, </w:t>
      </w:r>
      <w:r w:rsidRPr="008115F2">
        <w:rPr>
          <w:rFonts w:cs="Arial"/>
        </w:rPr>
        <w:t>el Saldo Capital es de 539, 240,491.25; y para la amortización de capital fue de 11, 693,495.19 y para los intereses pagados fu</w:t>
      </w:r>
      <w:r w:rsidR="006351E0">
        <w:rPr>
          <w:rFonts w:cs="Arial"/>
        </w:rPr>
        <w:t>e de 16,454.024.84 UDIS.</w:t>
      </w:r>
    </w:p>
    <w:p w:rsidR="00383861" w:rsidRPr="00B05C27" w:rsidRDefault="00383861" w:rsidP="00383861">
      <w:pPr>
        <w:spacing w:line="276" w:lineRule="auto"/>
        <w:ind w:right="-1"/>
        <w:rPr>
          <w:rFonts w:cs="Arial"/>
        </w:rPr>
      </w:pPr>
      <w:r w:rsidRPr="00B05C27">
        <w:rPr>
          <w:rFonts w:cs="Arial"/>
        </w:rPr>
        <w:t>Los intereses pagados más la amortización de capital por los cupones programados se observan en el siguiente cuadro:</w:t>
      </w:r>
    </w:p>
    <w:p w:rsidR="00383861" w:rsidRPr="004A0297" w:rsidRDefault="00383861" w:rsidP="004A0297">
      <w:pPr>
        <w:jc w:val="center"/>
      </w:pPr>
      <w:r w:rsidRPr="00256F88">
        <w:rPr>
          <w:noProof/>
          <w:lang w:eastAsia="es-MX"/>
        </w:rPr>
        <w:drawing>
          <wp:inline distT="0" distB="0" distL="0" distR="0" wp14:anchorId="4515C1DB" wp14:editId="6EBAC5EC">
            <wp:extent cx="5040630" cy="2209800"/>
            <wp:effectExtent l="0" t="0" r="7620" b="0"/>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4337" cy="2211425"/>
                    </a:xfrm>
                    <a:prstGeom prst="rect">
                      <a:avLst/>
                    </a:prstGeom>
                    <a:noFill/>
                    <a:ln>
                      <a:noFill/>
                    </a:ln>
                  </pic:spPr>
                </pic:pic>
              </a:graphicData>
            </a:graphic>
          </wp:inline>
        </w:drawing>
      </w:r>
    </w:p>
    <w:p w:rsidR="00383861" w:rsidRPr="00B05C27" w:rsidRDefault="00383861" w:rsidP="00383861">
      <w:pPr>
        <w:spacing w:line="276" w:lineRule="auto"/>
        <w:ind w:right="-1"/>
        <w:jc w:val="both"/>
        <w:rPr>
          <w:rFonts w:cs="Arial"/>
        </w:rPr>
      </w:pPr>
      <w:r w:rsidRPr="00B05C27">
        <w:rPr>
          <w:rFonts w:cs="Arial"/>
        </w:rPr>
        <w:t>Las transferencias al Gobierno del Estado de México de los remanentes del Fideicomiso de Cobranza, más los intereses generados, se destinan a la inversión productiva de acuerdo a lo establecido en el contrato irrevocable No. 80615 se han llevado a cabo como sigue:</w:t>
      </w:r>
    </w:p>
    <w:p w:rsidR="00383861" w:rsidRDefault="00383861" w:rsidP="00383861">
      <w:pPr>
        <w:spacing w:line="276" w:lineRule="auto"/>
        <w:ind w:right="-1"/>
        <w:jc w:val="center"/>
        <w:rPr>
          <w:rFonts w:cs="Arial"/>
        </w:rPr>
      </w:pPr>
      <w:r w:rsidRPr="006A225B">
        <w:rPr>
          <w:noProof/>
          <w:lang w:eastAsia="es-MX"/>
        </w:rPr>
        <w:drawing>
          <wp:inline distT="0" distB="0" distL="0" distR="0" wp14:anchorId="0E47E6FF" wp14:editId="77758CA4">
            <wp:extent cx="4743450" cy="2524125"/>
            <wp:effectExtent l="0" t="0" r="0" b="9525"/>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3450" cy="2524125"/>
                    </a:xfrm>
                    <a:prstGeom prst="rect">
                      <a:avLst/>
                    </a:prstGeom>
                    <a:noFill/>
                    <a:ln>
                      <a:noFill/>
                    </a:ln>
                  </pic:spPr>
                </pic:pic>
              </a:graphicData>
            </a:graphic>
          </wp:inline>
        </w:drawing>
      </w:r>
    </w:p>
    <w:p w:rsidR="006351E0" w:rsidRPr="00B05C27" w:rsidRDefault="006351E0" w:rsidP="00383861">
      <w:pPr>
        <w:spacing w:line="276" w:lineRule="auto"/>
        <w:ind w:right="-1"/>
        <w:jc w:val="center"/>
        <w:rPr>
          <w:rFonts w:cs="Arial"/>
        </w:rPr>
      </w:pPr>
    </w:p>
    <w:p w:rsidR="00383861" w:rsidRPr="00B05C27" w:rsidRDefault="00383861" w:rsidP="00383861">
      <w:pPr>
        <w:tabs>
          <w:tab w:val="left" w:pos="3994"/>
        </w:tabs>
        <w:spacing w:after="0" w:line="276" w:lineRule="auto"/>
        <w:ind w:right="-1"/>
        <w:contextualSpacing/>
        <w:jc w:val="both"/>
        <w:rPr>
          <w:rFonts w:eastAsia="Times New Roman" w:cs="Arial"/>
          <w:b/>
          <w:lang w:eastAsia="es-MX"/>
        </w:rPr>
      </w:pPr>
    </w:p>
    <w:p w:rsidR="005B2D41" w:rsidRDefault="005B2D41" w:rsidP="00383861">
      <w:pPr>
        <w:spacing w:line="276" w:lineRule="auto"/>
        <w:ind w:right="-1"/>
        <w:jc w:val="both"/>
        <w:rPr>
          <w:rFonts w:cs="Arial"/>
        </w:rPr>
      </w:pPr>
    </w:p>
    <w:p w:rsidR="005B2D41" w:rsidRDefault="005B2D41" w:rsidP="00383861">
      <w:pPr>
        <w:spacing w:line="276" w:lineRule="auto"/>
        <w:ind w:right="-1"/>
        <w:jc w:val="both"/>
        <w:rPr>
          <w:rFonts w:cs="Arial"/>
        </w:rPr>
      </w:pPr>
    </w:p>
    <w:p w:rsidR="005B2D41" w:rsidRDefault="005B2D41" w:rsidP="00383861">
      <w:pPr>
        <w:spacing w:line="276" w:lineRule="auto"/>
        <w:ind w:right="-1"/>
        <w:jc w:val="both"/>
        <w:rPr>
          <w:rFonts w:cs="Arial"/>
        </w:rPr>
      </w:pPr>
    </w:p>
    <w:p w:rsidR="00383861" w:rsidRPr="00B05C27" w:rsidRDefault="00383861" w:rsidP="00383861">
      <w:pPr>
        <w:spacing w:line="276" w:lineRule="auto"/>
        <w:ind w:right="-1"/>
        <w:jc w:val="both"/>
        <w:rPr>
          <w:rFonts w:cs="Arial"/>
        </w:rPr>
      </w:pPr>
      <w:r w:rsidRPr="00B05C27">
        <w:rPr>
          <w:rFonts w:cs="Arial"/>
        </w:rPr>
        <w:t>Al mes actual el análisis de la deuda se integra de la siguiente manera:</w:t>
      </w:r>
    </w:p>
    <w:p w:rsidR="00AD53F5" w:rsidRPr="00B05C27" w:rsidRDefault="00383861" w:rsidP="00E867FA">
      <w:pPr>
        <w:spacing w:line="276" w:lineRule="auto"/>
        <w:ind w:right="-1"/>
        <w:rPr>
          <w:rFonts w:cs="Arial"/>
        </w:rPr>
      </w:pPr>
      <w:r w:rsidRPr="00B05C27">
        <w:rPr>
          <w:rFonts w:cs="Arial"/>
        </w:rPr>
        <w:t>Mensual:</w:t>
      </w:r>
      <w:r w:rsidRPr="006A225B">
        <w:rPr>
          <w:rFonts w:cs="Arial"/>
        </w:rPr>
        <w:t xml:space="preserve"> </w:t>
      </w:r>
      <w:r w:rsidR="005B2D41" w:rsidRPr="005B2D41">
        <w:rPr>
          <w:noProof/>
          <w:lang w:eastAsia="es-MX"/>
        </w:rPr>
        <w:drawing>
          <wp:inline distT="0" distB="0" distL="0" distR="0">
            <wp:extent cx="6389370" cy="2163898"/>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9370" cy="2163898"/>
                    </a:xfrm>
                    <a:prstGeom prst="rect">
                      <a:avLst/>
                    </a:prstGeom>
                    <a:noFill/>
                    <a:ln>
                      <a:noFill/>
                    </a:ln>
                  </pic:spPr>
                </pic:pic>
              </a:graphicData>
            </a:graphic>
          </wp:inline>
        </w:drawing>
      </w:r>
    </w:p>
    <w:p w:rsidR="00383861" w:rsidRPr="00B05C27" w:rsidRDefault="00383861" w:rsidP="00383861">
      <w:pPr>
        <w:spacing w:line="276" w:lineRule="auto"/>
        <w:ind w:right="-1"/>
        <w:rPr>
          <w:rFonts w:cs="Arial"/>
        </w:rPr>
      </w:pPr>
      <w:r>
        <w:rPr>
          <w:rFonts w:cs="Arial"/>
        </w:rPr>
        <w:t>Acumulada:</w:t>
      </w:r>
    </w:p>
    <w:p w:rsidR="007D292F" w:rsidRDefault="005B2D41" w:rsidP="005B2D41">
      <w:pPr>
        <w:spacing w:line="276" w:lineRule="auto"/>
        <w:ind w:right="-1"/>
        <w:contextualSpacing/>
        <w:jc w:val="center"/>
        <w:rPr>
          <w:rFonts w:eastAsia="Times New Roman" w:cs="Arial"/>
          <w:b/>
          <w:lang w:eastAsia="es-MX"/>
        </w:rPr>
      </w:pPr>
      <w:r w:rsidRPr="005B2D41">
        <w:rPr>
          <w:noProof/>
          <w:lang w:eastAsia="es-MX"/>
        </w:rPr>
        <w:drawing>
          <wp:inline distT="0" distB="0" distL="0" distR="0">
            <wp:extent cx="6389370" cy="2187734"/>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9370" cy="2187734"/>
                    </a:xfrm>
                    <a:prstGeom prst="rect">
                      <a:avLst/>
                    </a:prstGeom>
                    <a:noFill/>
                    <a:ln>
                      <a:noFill/>
                    </a:ln>
                  </pic:spPr>
                </pic:pic>
              </a:graphicData>
            </a:graphic>
          </wp:inline>
        </w:drawing>
      </w:r>
    </w:p>
    <w:p w:rsidR="00A82606" w:rsidRDefault="00A82606" w:rsidP="00383861">
      <w:pPr>
        <w:spacing w:line="276" w:lineRule="auto"/>
        <w:ind w:left="567" w:right="-1"/>
        <w:contextualSpacing/>
        <w:jc w:val="both"/>
        <w:rPr>
          <w:rFonts w:eastAsia="Times New Roman" w:cs="Arial"/>
          <w:b/>
          <w:lang w:eastAsia="es-MX"/>
        </w:rPr>
      </w:pPr>
    </w:p>
    <w:p w:rsidR="007D292F" w:rsidRPr="006351E0" w:rsidRDefault="007D292F" w:rsidP="008E7569">
      <w:pPr>
        <w:spacing w:line="276" w:lineRule="auto"/>
        <w:ind w:right="-1"/>
        <w:contextualSpacing/>
        <w:jc w:val="both"/>
        <w:rPr>
          <w:rFonts w:eastAsia="Times New Roman" w:cs="Arial"/>
          <w:b/>
          <w:sz w:val="2"/>
          <w:lang w:eastAsia="es-MX"/>
        </w:rPr>
      </w:pPr>
    </w:p>
    <w:p w:rsidR="00383861" w:rsidRDefault="00383861" w:rsidP="00383861">
      <w:pPr>
        <w:numPr>
          <w:ilvl w:val="0"/>
          <w:numId w:val="12"/>
        </w:numPr>
        <w:spacing w:line="276" w:lineRule="auto"/>
        <w:ind w:left="567" w:right="-1" w:hanging="567"/>
        <w:contextualSpacing/>
        <w:jc w:val="both"/>
        <w:rPr>
          <w:rFonts w:eastAsia="Times New Roman" w:cs="Arial"/>
          <w:b/>
          <w:lang w:eastAsia="es-MX"/>
        </w:rPr>
      </w:pPr>
      <w:r w:rsidRPr="00B05C27">
        <w:rPr>
          <w:rFonts w:eastAsia="Times New Roman" w:cs="Arial"/>
          <w:b/>
          <w:lang w:eastAsia="es-MX"/>
        </w:rPr>
        <w:t>Calificaciones otorgadas:</w:t>
      </w:r>
    </w:p>
    <w:p w:rsidR="00A82606" w:rsidRDefault="00A82606" w:rsidP="00A82606">
      <w:pPr>
        <w:spacing w:line="276" w:lineRule="auto"/>
        <w:ind w:left="567" w:right="-1"/>
        <w:contextualSpacing/>
        <w:jc w:val="both"/>
        <w:rPr>
          <w:rFonts w:eastAsia="Times New Roman" w:cs="Arial"/>
          <w:b/>
          <w:lang w:eastAsia="es-MX"/>
        </w:rPr>
      </w:pPr>
    </w:p>
    <w:p w:rsidR="00343555" w:rsidRPr="00343555" w:rsidRDefault="00DE4911" w:rsidP="00343555">
      <w:pPr>
        <w:numPr>
          <w:ilvl w:val="1"/>
          <w:numId w:val="1"/>
        </w:numPr>
        <w:spacing w:before="240" w:line="276" w:lineRule="auto"/>
        <w:ind w:right="-1"/>
        <w:contextualSpacing/>
        <w:jc w:val="both"/>
        <w:rPr>
          <w:rFonts w:eastAsia="Times New Roman" w:cs="Arial"/>
          <w:lang w:eastAsia="es-MX"/>
        </w:rPr>
      </w:pPr>
      <w:r>
        <w:rPr>
          <w:i/>
        </w:rPr>
        <w:t>“</w:t>
      </w:r>
      <w:proofErr w:type="spellStart"/>
      <w:r w:rsidRPr="00DE4911">
        <w:rPr>
          <w:i/>
        </w:rPr>
        <w:t>Fitch</w:t>
      </w:r>
      <w:proofErr w:type="spellEnd"/>
      <w:r w:rsidRPr="00DE4911">
        <w:rPr>
          <w:i/>
        </w:rPr>
        <w:t xml:space="preserve"> Ratifica en </w:t>
      </w:r>
      <w:proofErr w:type="gramStart"/>
      <w:r w:rsidRPr="00DE4911">
        <w:rPr>
          <w:i/>
        </w:rPr>
        <w:t>‘AAA(</w:t>
      </w:r>
      <w:proofErr w:type="spellStart"/>
      <w:proofErr w:type="gramEnd"/>
      <w:r w:rsidRPr="00DE4911">
        <w:rPr>
          <w:i/>
        </w:rPr>
        <w:t>mex</w:t>
      </w:r>
      <w:proofErr w:type="spellEnd"/>
      <w:r w:rsidRPr="00DE4911">
        <w:rPr>
          <w:i/>
        </w:rPr>
        <w:t>)</w:t>
      </w:r>
      <w:proofErr w:type="spellStart"/>
      <w:r w:rsidRPr="00DE4911">
        <w:rPr>
          <w:i/>
        </w:rPr>
        <w:t>vra</w:t>
      </w:r>
      <w:proofErr w:type="spellEnd"/>
      <w:r w:rsidRPr="00DE4911">
        <w:rPr>
          <w:i/>
        </w:rPr>
        <w:t xml:space="preserve">’ la Calificación del Crédito </w:t>
      </w:r>
      <w:proofErr w:type="spellStart"/>
      <w:r w:rsidRPr="00DE4911">
        <w:rPr>
          <w:i/>
        </w:rPr>
        <w:t>Banobras</w:t>
      </w:r>
      <w:proofErr w:type="spellEnd"/>
      <w:r w:rsidRPr="00DE4911">
        <w:rPr>
          <w:i/>
        </w:rPr>
        <w:t xml:space="preserve"> 11 de IFREM, Tras Reestructura</w:t>
      </w:r>
      <w:r>
        <w:rPr>
          <w:i/>
        </w:rPr>
        <w:t>”</w:t>
      </w:r>
      <w:r w:rsidR="00383861" w:rsidRPr="00830279">
        <w:rPr>
          <w:i/>
        </w:rPr>
        <w:t xml:space="preserve">. </w:t>
      </w:r>
      <w:r w:rsidR="00155A9D">
        <w:rPr>
          <w:i/>
        </w:rPr>
        <w:t>Diciembre</w:t>
      </w:r>
      <w:r w:rsidR="00383861">
        <w:rPr>
          <w:rFonts w:eastAsia="Times New Roman" w:cs="Arial"/>
          <w:i/>
          <w:lang w:eastAsia="es-MX"/>
        </w:rPr>
        <w:t xml:space="preserve"> </w:t>
      </w:r>
      <w:r w:rsidR="00155A9D">
        <w:rPr>
          <w:rFonts w:eastAsia="Times New Roman" w:cs="Arial"/>
          <w:i/>
          <w:lang w:eastAsia="es-MX"/>
        </w:rPr>
        <w:t>07</w:t>
      </w:r>
      <w:r w:rsidR="00383861" w:rsidRPr="00830279">
        <w:rPr>
          <w:rFonts w:eastAsia="Times New Roman" w:cs="Arial"/>
          <w:i/>
          <w:lang w:eastAsia="es-MX"/>
        </w:rPr>
        <w:t>, 2018.</w:t>
      </w:r>
      <w:r w:rsidR="00383861" w:rsidRPr="008F34D9">
        <w:t xml:space="preserve"> </w:t>
      </w:r>
    </w:p>
    <w:p w:rsidR="00383861" w:rsidRDefault="00440F0A" w:rsidP="00343555">
      <w:pPr>
        <w:spacing w:before="240" w:line="276" w:lineRule="auto"/>
        <w:ind w:left="720" w:right="-1"/>
        <w:contextualSpacing/>
        <w:jc w:val="both"/>
        <w:rPr>
          <w:rStyle w:val="Hipervnculo"/>
        </w:rPr>
      </w:pPr>
      <w:hyperlink r:id="rId31" w:history="1">
        <w:r w:rsidR="00A82606" w:rsidRPr="00B75961">
          <w:rPr>
            <w:rStyle w:val="Hipervnculo"/>
          </w:rPr>
          <w:t>https://www.bmv.com.mx/docs-pub/eventoca/eventoca_881399_2.pdf</w:t>
        </w:r>
      </w:hyperlink>
    </w:p>
    <w:p w:rsidR="00A82606" w:rsidRPr="008F34D9" w:rsidRDefault="00A82606" w:rsidP="00343555">
      <w:pPr>
        <w:spacing w:before="240" w:line="276" w:lineRule="auto"/>
        <w:ind w:left="720" w:right="-1"/>
        <w:contextualSpacing/>
        <w:jc w:val="both"/>
        <w:rPr>
          <w:rFonts w:eastAsia="Times New Roman" w:cs="Arial"/>
          <w:lang w:eastAsia="es-MX"/>
        </w:rPr>
      </w:pPr>
    </w:p>
    <w:p w:rsidR="00DE4911" w:rsidRDefault="00DE4911" w:rsidP="00383861">
      <w:pPr>
        <w:spacing w:line="276" w:lineRule="auto"/>
        <w:ind w:right="-1"/>
        <w:jc w:val="both"/>
        <w:rPr>
          <w:i/>
        </w:rPr>
      </w:pPr>
      <w:r>
        <w:rPr>
          <w:i/>
        </w:rPr>
        <w:t>“</w:t>
      </w:r>
      <w:proofErr w:type="spellStart"/>
      <w:r w:rsidRPr="00DE4911">
        <w:rPr>
          <w:i/>
        </w:rPr>
        <w:t>Fitch</w:t>
      </w:r>
      <w:proofErr w:type="spellEnd"/>
      <w:r w:rsidRPr="00DE4911">
        <w:rPr>
          <w:i/>
        </w:rPr>
        <w:t xml:space="preserve"> Ratings ratificó en </w:t>
      </w:r>
      <w:proofErr w:type="gramStart"/>
      <w:r w:rsidRPr="00DE4911">
        <w:rPr>
          <w:i/>
        </w:rPr>
        <w:t>‘AAA(</w:t>
      </w:r>
      <w:proofErr w:type="spellStart"/>
      <w:proofErr w:type="gramEnd"/>
      <w:r w:rsidRPr="00DE4911">
        <w:rPr>
          <w:i/>
        </w:rPr>
        <w:t>mex</w:t>
      </w:r>
      <w:proofErr w:type="spellEnd"/>
      <w:r w:rsidRPr="00DE4911">
        <w:rPr>
          <w:i/>
        </w:rPr>
        <w:t>)</w:t>
      </w:r>
      <w:proofErr w:type="spellStart"/>
      <w:r w:rsidRPr="00DE4911">
        <w:rPr>
          <w:i/>
        </w:rPr>
        <w:t>vra</w:t>
      </w:r>
      <w:proofErr w:type="spellEnd"/>
      <w:r w:rsidRPr="00DE4911">
        <w:rPr>
          <w:i/>
        </w:rPr>
        <w:t>’ la calificación específica del crédito contratado por el Instituto de la Función Registral del Estado de México (IFREM) [AA-(</w:t>
      </w:r>
      <w:proofErr w:type="spellStart"/>
      <w:r w:rsidRPr="00DE4911">
        <w:rPr>
          <w:i/>
        </w:rPr>
        <w:t>mex</w:t>
      </w:r>
      <w:proofErr w:type="spellEnd"/>
      <w:r w:rsidRPr="00DE4911">
        <w:rPr>
          <w:i/>
        </w:rPr>
        <w:t xml:space="preserve">)] con </w:t>
      </w:r>
      <w:proofErr w:type="spellStart"/>
      <w:r w:rsidRPr="00DE4911">
        <w:rPr>
          <w:i/>
        </w:rPr>
        <w:t>Banobras</w:t>
      </w:r>
      <w:proofErr w:type="spellEnd"/>
      <w:r w:rsidRPr="00DE4911">
        <w:rPr>
          <w:i/>
        </w:rPr>
        <w:t xml:space="preserve"> en 2011 (</w:t>
      </w:r>
      <w:proofErr w:type="spellStart"/>
      <w:r w:rsidRPr="00DE4911">
        <w:rPr>
          <w:i/>
        </w:rPr>
        <w:t>Banobras</w:t>
      </w:r>
      <w:proofErr w:type="spellEnd"/>
      <w:r w:rsidRPr="00DE4911">
        <w:rPr>
          <w:i/>
        </w:rPr>
        <w:t xml:space="preserve"> 11), por un monto inicial de 654.2 millones de Unidades de Inversión (</w:t>
      </w:r>
      <w:proofErr w:type="spellStart"/>
      <w:r w:rsidRPr="00DE4911">
        <w:rPr>
          <w:i/>
        </w:rPr>
        <w:t>Udis</w:t>
      </w:r>
      <w:proofErr w:type="spellEnd"/>
      <w:r w:rsidRPr="00DE4911">
        <w:rPr>
          <w:i/>
        </w:rPr>
        <w:t xml:space="preserve">), saldo de 527.5 millones de </w:t>
      </w:r>
      <w:proofErr w:type="spellStart"/>
      <w:r w:rsidRPr="00DE4911">
        <w:rPr>
          <w:i/>
        </w:rPr>
        <w:t>Udis</w:t>
      </w:r>
      <w:proofErr w:type="spellEnd"/>
      <w:r w:rsidRPr="00DE4911">
        <w:rPr>
          <w:i/>
        </w:rPr>
        <w:t xml:space="preserve"> al 30 de noviembre de 2018. Lo anterior tras la firma del Convenio de Reestructura celebrado el 18 de octubre de 2018 entre el Estado de México [AA-(</w:t>
      </w:r>
      <w:proofErr w:type="spellStart"/>
      <w:r w:rsidRPr="00DE4911">
        <w:rPr>
          <w:i/>
        </w:rPr>
        <w:t>mex</w:t>
      </w:r>
      <w:proofErr w:type="spellEnd"/>
      <w:r w:rsidRPr="00DE4911">
        <w:rPr>
          <w:i/>
        </w:rPr>
        <w:t xml:space="preserve">)] y </w:t>
      </w:r>
      <w:proofErr w:type="spellStart"/>
      <w:r w:rsidRPr="00DE4911">
        <w:rPr>
          <w:i/>
        </w:rPr>
        <w:t>Banobras</w:t>
      </w:r>
      <w:proofErr w:type="spellEnd"/>
      <w:r w:rsidRPr="00DE4911">
        <w:rPr>
          <w:i/>
        </w:rPr>
        <w:t>, mediante el cual se modificó el contrato de apertura de crédito en cuenta corriente, irrevocable y contingente que se describe más adelante.</w:t>
      </w:r>
      <w:r>
        <w:rPr>
          <w:i/>
        </w:rPr>
        <w:t>”</w:t>
      </w:r>
    </w:p>
    <w:p w:rsidR="006351E0" w:rsidRPr="006351E0" w:rsidRDefault="006351E0" w:rsidP="00383861">
      <w:pPr>
        <w:spacing w:line="276" w:lineRule="auto"/>
        <w:ind w:right="-1"/>
        <w:jc w:val="both"/>
        <w:rPr>
          <w:i/>
          <w:sz w:val="2"/>
        </w:rPr>
      </w:pPr>
    </w:p>
    <w:p w:rsidR="00DE4911" w:rsidRDefault="00DE4911" w:rsidP="00DE4911">
      <w:pPr>
        <w:spacing w:line="276" w:lineRule="auto"/>
        <w:ind w:right="-1"/>
        <w:jc w:val="both"/>
        <w:rPr>
          <w:i/>
        </w:rPr>
      </w:pPr>
      <w:r w:rsidRPr="00DE4911">
        <w:rPr>
          <w:i/>
        </w:rPr>
        <w:t>… Las emisiones PROIN 10 [</w:t>
      </w:r>
      <w:proofErr w:type="gramStart"/>
      <w:r w:rsidRPr="00DE4911">
        <w:rPr>
          <w:i/>
        </w:rPr>
        <w:t>AAA(</w:t>
      </w:r>
      <w:proofErr w:type="spellStart"/>
      <w:proofErr w:type="gramEnd"/>
      <w:r w:rsidRPr="00DE4911">
        <w:rPr>
          <w:i/>
        </w:rPr>
        <w:t>mex</w:t>
      </w:r>
      <w:proofErr w:type="spellEnd"/>
      <w:r w:rsidRPr="00DE4911">
        <w:rPr>
          <w:i/>
        </w:rPr>
        <w:t>)</w:t>
      </w:r>
      <w:proofErr w:type="spellStart"/>
      <w:r w:rsidRPr="00DE4911">
        <w:rPr>
          <w:i/>
        </w:rPr>
        <w:t>vra</w:t>
      </w:r>
      <w:proofErr w:type="spellEnd"/>
      <w:r w:rsidRPr="00DE4911">
        <w:rPr>
          <w:i/>
        </w:rPr>
        <w:t>] y PROIN 10-2 [AAA(</w:t>
      </w:r>
      <w:proofErr w:type="spellStart"/>
      <w:r w:rsidRPr="00DE4911">
        <w:rPr>
          <w:i/>
        </w:rPr>
        <w:t>mex</w:t>
      </w:r>
      <w:proofErr w:type="spellEnd"/>
      <w:r w:rsidRPr="00DE4911">
        <w:rPr>
          <w:i/>
        </w:rPr>
        <w:t>)</w:t>
      </w:r>
      <w:proofErr w:type="spellStart"/>
      <w:r w:rsidRPr="00DE4911">
        <w:rPr>
          <w:i/>
        </w:rPr>
        <w:t>vra</w:t>
      </w:r>
      <w:proofErr w:type="spellEnd"/>
      <w:r w:rsidRPr="00DE4911">
        <w:rPr>
          <w:i/>
        </w:rPr>
        <w:t>] están respaldadas por 100% de los ingresos de IFREM derivados de la recaudación de derechos por la prestación del servicio de registro público de la propiedad (ingresos de RPP). Los ingresos de RPP ingresan a un fideicomiso de cobranza por medio de depósitos que hacen los bancos recaudadores vía mandatos irrevocables girados por IFREM y se envían a un fideicomiso de pago</w:t>
      </w:r>
      <w:r>
        <w:rPr>
          <w:i/>
        </w:rPr>
        <w:t>.”</w:t>
      </w:r>
    </w:p>
    <w:p w:rsidR="00383861" w:rsidRPr="00B05C27" w:rsidRDefault="00DE4911" w:rsidP="007D292F">
      <w:pPr>
        <w:numPr>
          <w:ilvl w:val="1"/>
          <w:numId w:val="1"/>
        </w:numPr>
        <w:spacing w:before="240" w:line="276" w:lineRule="auto"/>
        <w:ind w:right="-1"/>
        <w:contextualSpacing/>
        <w:jc w:val="both"/>
        <w:rPr>
          <w:rFonts w:eastAsia="Times New Roman" w:cs="Arial"/>
          <w:lang w:eastAsia="es-MX"/>
        </w:rPr>
      </w:pPr>
      <w:r>
        <w:rPr>
          <w:i/>
        </w:rPr>
        <w:t xml:space="preserve"> </w:t>
      </w:r>
      <w:r w:rsidR="00383861">
        <w:rPr>
          <w:i/>
        </w:rPr>
        <w:t>“</w:t>
      </w:r>
      <w:r w:rsidR="00383861" w:rsidRPr="00B05C27">
        <w:rPr>
          <w:i/>
        </w:rPr>
        <w:t>S&amp;P Global Ratings confirma calificaciones de '</w:t>
      </w:r>
      <w:proofErr w:type="spellStart"/>
      <w:r w:rsidR="00383861" w:rsidRPr="00B05C27">
        <w:rPr>
          <w:i/>
        </w:rPr>
        <w:t>mxAAA</w:t>
      </w:r>
      <w:proofErr w:type="spellEnd"/>
      <w:r w:rsidR="00383861" w:rsidRPr="00B05C27">
        <w:rPr>
          <w:i/>
        </w:rPr>
        <w:t xml:space="preserve">' de los certificados PROIN 10, PROIN 10-2 y del crédito del IFREM con </w:t>
      </w:r>
      <w:proofErr w:type="spellStart"/>
      <w:r w:rsidR="00383861" w:rsidRPr="00B05C27">
        <w:rPr>
          <w:i/>
        </w:rPr>
        <w:t>Banobras</w:t>
      </w:r>
      <w:proofErr w:type="spellEnd"/>
      <w:r w:rsidR="00383861">
        <w:rPr>
          <w:i/>
        </w:rPr>
        <w:t>”</w:t>
      </w:r>
      <w:r w:rsidR="00383861" w:rsidRPr="00B05C27">
        <w:rPr>
          <w:i/>
        </w:rPr>
        <w:t>.</w:t>
      </w:r>
      <w:r w:rsidR="00383861" w:rsidRPr="00B05C27">
        <w:rPr>
          <w:rFonts w:eastAsia="Times New Roman" w:cs="Arial"/>
          <w:lang w:eastAsia="es-MX"/>
        </w:rPr>
        <w:t xml:space="preserve"> </w:t>
      </w:r>
      <w:r w:rsidR="00383861">
        <w:rPr>
          <w:rFonts w:eastAsia="Times New Roman" w:cs="Arial"/>
          <w:lang w:eastAsia="es-MX"/>
        </w:rPr>
        <w:t>30</w:t>
      </w:r>
      <w:r w:rsidR="00383861" w:rsidRPr="00B05C27">
        <w:rPr>
          <w:rFonts w:eastAsia="Times New Roman" w:cs="Arial"/>
          <w:lang w:eastAsia="es-MX"/>
        </w:rPr>
        <w:t xml:space="preserve"> de </w:t>
      </w:r>
      <w:proofErr w:type="gramStart"/>
      <w:r w:rsidR="00383861" w:rsidRPr="00B05C27">
        <w:rPr>
          <w:rFonts w:eastAsia="Times New Roman" w:cs="Arial"/>
          <w:lang w:eastAsia="es-MX"/>
        </w:rPr>
        <w:t>Julio</w:t>
      </w:r>
      <w:proofErr w:type="gramEnd"/>
      <w:r w:rsidR="00383861" w:rsidRPr="00B05C27">
        <w:rPr>
          <w:rFonts w:eastAsia="Times New Roman" w:cs="Arial"/>
          <w:lang w:eastAsia="es-MX"/>
        </w:rPr>
        <w:t xml:space="preserve"> 201</w:t>
      </w:r>
      <w:r w:rsidR="00383861">
        <w:rPr>
          <w:rFonts w:eastAsia="Times New Roman" w:cs="Arial"/>
          <w:lang w:eastAsia="es-MX"/>
        </w:rPr>
        <w:t>8</w:t>
      </w:r>
      <w:r w:rsidR="00383861" w:rsidRPr="00B05C27">
        <w:rPr>
          <w:rFonts w:eastAsia="Times New Roman" w:cs="Arial"/>
          <w:lang w:eastAsia="es-MX"/>
        </w:rPr>
        <w:t>.</w:t>
      </w:r>
    </w:p>
    <w:p w:rsidR="00383861" w:rsidRDefault="00440F0A" w:rsidP="00383861">
      <w:pPr>
        <w:spacing w:line="276" w:lineRule="auto"/>
        <w:ind w:right="-1"/>
        <w:jc w:val="both"/>
      </w:pPr>
      <w:hyperlink r:id="rId32" w:history="1">
        <w:r w:rsidR="00383861" w:rsidRPr="00537BA9">
          <w:rPr>
            <w:rStyle w:val="Hipervnculo"/>
          </w:rPr>
          <w:t>https://www.bmv.com.mx/docs-pub/eventoca/eventoca_851313_1.pdf</w:t>
        </w:r>
      </w:hyperlink>
    </w:p>
    <w:p w:rsidR="00383861" w:rsidRDefault="00383861" w:rsidP="00383861">
      <w:pPr>
        <w:spacing w:line="276" w:lineRule="auto"/>
        <w:ind w:right="-1"/>
        <w:jc w:val="both"/>
        <w:rPr>
          <w:i/>
        </w:rPr>
      </w:pPr>
      <w:r w:rsidRPr="00B05C27">
        <w:rPr>
          <w:rFonts w:cs="Arial"/>
          <w:i/>
        </w:rPr>
        <w:t>“</w:t>
      </w:r>
      <w:r w:rsidRPr="00997782">
        <w:rPr>
          <w:i/>
        </w:rPr>
        <w:t>* Confirmamos nuestras calificaciones de deuda de '</w:t>
      </w:r>
      <w:proofErr w:type="spellStart"/>
      <w:r w:rsidRPr="00997782">
        <w:rPr>
          <w:i/>
        </w:rPr>
        <w:t>mxAAA</w:t>
      </w:r>
      <w:proofErr w:type="spellEnd"/>
      <w:r w:rsidRPr="00997782">
        <w:rPr>
          <w:i/>
        </w:rPr>
        <w:t xml:space="preserve">' de los certificados bursátiles Serie A (con clave de pizarra PROIN 10) y Serie B (con clave de pizarra PROIN 10-2), así como del crédito subordinado que contrató el IFREM con </w:t>
      </w:r>
      <w:proofErr w:type="spellStart"/>
      <w:r w:rsidRPr="00997782">
        <w:rPr>
          <w:i/>
        </w:rPr>
        <w:t>Banobras</w:t>
      </w:r>
      <w:proofErr w:type="spellEnd"/>
      <w:r w:rsidRPr="00997782">
        <w:rPr>
          <w:i/>
        </w:rPr>
        <w:t>. * Las calificaciones toman como punto de partida la calificación crediticia de emisor del IFREM y del Estado de México (ambos con calificación crediticia de emisor de '</w:t>
      </w:r>
      <w:proofErr w:type="spellStart"/>
      <w:r w:rsidRPr="00997782">
        <w:rPr>
          <w:i/>
        </w:rPr>
        <w:t>mxA</w:t>
      </w:r>
      <w:proofErr w:type="spellEnd"/>
      <w:r w:rsidRPr="00997782">
        <w:rPr>
          <w:i/>
        </w:rPr>
        <w:t>+'). * La confirmación de las calificaciones refleja el análisis de los flujos disponibles en los fideicomisos e incorpora los mecanismos de respaldo crediticio adicional que son suficientes para mantener una calificación de deuda de '</w:t>
      </w:r>
      <w:proofErr w:type="spellStart"/>
      <w:r w:rsidRPr="00997782">
        <w:rPr>
          <w:i/>
        </w:rPr>
        <w:t>mxAAA</w:t>
      </w:r>
      <w:proofErr w:type="spellEnd"/>
      <w:r w:rsidRPr="00997782">
        <w:rPr>
          <w:i/>
        </w:rPr>
        <w:t>'. * Nuestro análisis incorpora los niveles de cobertura del servicio de la deuda proyectados bajo nuestros escenarios de estrés, los cuales son suficientes para respaldar la calificación</w:t>
      </w:r>
      <w:r>
        <w:rPr>
          <w:i/>
        </w:rPr>
        <w:t>.</w:t>
      </w:r>
    </w:p>
    <w:p w:rsidR="00383861" w:rsidRDefault="00383861" w:rsidP="00383861">
      <w:pPr>
        <w:spacing w:line="276" w:lineRule="auto"/>
        <w:ind w:right="-1"/>
        <w:jc w:val="both"/>
        <w:rPr>
          <w:i/>
        </w:rPr>
      </w:pPr>
      <w:r w:rsidRPr="00997782">
        <w:rPr>
          <w:i/>
        </w:rPr>
        <w:t>Acción de Calificación</w:t>
      </w:r>
    </w:p>
    <w:p w:rsidR="008E7569" w:rsidRDefault="00383861" w:rsidP="00383861">
      <w:pPr>
        <w:spacing w:line="276" w:lineRule="auto"/>
        <w:ind w:right="-1"/>
        <w:jc w:val="both"/>
        <w:rPr>
          <w:rFonts w:cs="Arial"/>
          <w:i/>
        </w:rPr>
      </w:pPr>
      <w:r w:rsidRPr="00997782">
        <w:rPr>
          <w:i/>
        </w:rPr>
        <w:t xml:space="preserve"> Ciudad de México, 30 de julio de 2018 - S&amp;P Global Ratings confirmó hoy sus calificaciones de deuda de largo plazo en escala nacional -</w:t>
      </w:r>
      <w:proofErr w:type="spellStart"/>
      <w:r w:rsidRPr="00997782">
        <w:rPr>
          <w:i/>
        </w:rPr>
        <w:t>CaVal</w:t>
      </w:r>
      <w:proofErr w:type="spellEnd"/>
      <w:r w:rsidRPr="00997782">
        <w:rPr>
          <w:i/>
        </w:rPr>
        <w:t>- de '</w:t>
      </w:r>
      <w:proofErr w:type="spellStart"/>
      <w:r w:rsidRPr="00997782">
        <w:rPr>
          <w:i/>
        </w:rPr>
        <w:t>mxAAA</w:t>
      </w:r>
      <w:proofErr w:type="spellEnd"/>
      <w:r w:rsidRPr="00997782">
        <w:rPr>
          <w:i/>
        </w:rPr>
        <w:t xml:space="preserve">' de los certificados bursátiles Serie A, con clave de pizarra PROIN 10, y Serie B, con clave de pizarra PROIN 10-2, así como de un crédito bancario que contrató el Instituto de la Función Registral del Estado de México (IFREM; </w:t>
      </w:r>
      <w:proofErr w:type="spellStart"/>
      <w:r w:rsidRPr="00997782">
        <w:rPr>
          <w:i/>
        </w:rPr>
        <w:t>mxA</w:t>
      </w:r>
      <w:proofErr w:type="spellEnd"/>
      <w:r w:rsidRPr="00997782">
        <w:rPr>
          <w:i/>
        </w:rPr>
        <w:t>+/Estable/--) con el Banco Nacional de Obras y Servicios Públicos, S.N.C. (</w:t>
      </w:r>
      <w:proofErr w:type="spellStart"/>
      <w:r w:rsidRPr="00997782">
        <w:rPr>
          <w:i/>
        </w:rPr>
        <w:t>Banobras</w:t>
      </w:r>
      <w:proofErr w:type="spellEnd"/>
      <w:r w:rsidRPr="00997782">
        <w:rPr>
          <w:i/>
        </w:rPr>
        <w:t>)</w:t>
      </w:r>
      <w:r w:rsidRPr="00B05C27">
        <w:rPr>
          <w:rFonts w:cs="Arial"/>
          <w:i/>
        </w:rPr>
        <w:t>”.</w:t>
      </w:r>
    </w:p>
    <w:p w:rsidR="00383861" w:rsidRPr="00B05C27" w:rsidRDefault="00383861" w:rsidP="00383861">
      <w:pPr>
        <w:numPr>
          <w:ilvl w:val="0"/>
          <w:numId w:val="12"/>
        </w:numPr>
        <w:spacing w:line="276" w:lineRule="auto"/>
        <w:ind w:left="567" w:right="-1" w:hanging="567"/>
        <w:contextualSpacing/>
        <w:jc w:val="both"/>
        <w:rPr>
          <w:rFonts w:eastAsia="Times New Roman"/>
          <w:b/>
          <w:lang w:eastAsia="es-MX"/>
        </w:rPr>
      </w:pPr>
      <w:r w:rsidRPr="00B05C27">
        <w:rPr>
          <w:rFonts w:eastAsia="Times New Roman"/>
          <w:b/>
          <w:lang w:eastAsia="es-MX"/>
        </w:rPr>
        <w:t>Proceso de Mejora:</w:t>
      </w:r>
    </w:p>
    <w:p w:rsidR="00383861" w:rsidRPr="00B05C27" w:rsidRDefault="00383861" w:rsidP="00383861">
      <w:pPr>
        <w:spacing w:before="240" w:line="276" w:lineRule="auto"/>
        <w:ind w:right="-1"/>
        <w:jc w:val="both"/>
      </w:pPr>
      <w:r w:rsidRPr="00B05C27">
        <w:t xml:space="preserve">El Instituto se certificó bajo la norma </w:t>
      </w:r>
      <w:r w:rsidRPr="00B05C27">
        <w:rPr>
          <w:b/>
        </w:rPr>
        <w:t>ISO 9001:2015</w:t>
      </w:r>
      <w:r w:rsidRPr="00B05C27">
        <w:t xml:space="preserve">, en el mes de noviembre </w:t>
      </w:r>
      <w:r w:rsidR="0094283C" w:rsidRPr="0094283C">
        <w:t>de 2017</w:t>
      </w:r>
      <w:r w:rsidRPr="0094283C">
        <w:t>,</w:t>
      </w:r>
      <w:r w:rsidRPr="00B05C27">
        <w:t xml:space="preserve"> se encuentra inmerso en el proceso de mejora continua y sigue modernizando sus procesos.</w:t>
      </w:r>
    </w:p>
    <w:p w:rsidR="00016F2A" w:rsidRDefault="00383861" w:rsidP="00383861">
      <w:pPr>
        <w:spacing w:line="276" w:lineRule="auto"/>
        <w:ind w:right="-1"/>
        <w:jc w:val="both"/>
      </w:pPr>
      <w:r w:rsidRPr="00B05C27">
        <w:t xml:space="preserve">El Estado de México ha pasado a mostrar un avance sobresaliente en la clasificación </w:t>
      </w:r>
      <w:proofErr w:type="spellStart"/>
      <w:r w:rsidRPr="00B05C27">
        <w:rPr>
          <w:b/>
        </w:rPr>
        <w:t>Doing</w:t>
      </w:r>
      <w:proofErr w:type="spellEnd"/>
      <w:r w:rsidRPr="00B05C27">
        <w:rPr>
          <w:b/>
        </w:rPr>
        <w:t xml:space="preserve"> Business en México</w:t>
      </w:r>
      <w:r w:rsidRPr="00B05C27">
        <w:t xml:space="preserve"> de 16 posiciones con respecto al año 2012, habiéndose clasificado en ese periodo en el lugar décimo octavo de 32 entidades económicas. En 2016 logró posicionarse en el segundo lugar de acuerdo a los siguientes indicadores: apertura de una empresa, obtención de permisos de construcción, registro de la propiedad y cumplimiento de contratos; lo que conlleva a que el Estado de México sea uno de los casos de mejor desempeño en todo el país.</w:t>
      </w:r>
    </w:p>
    <w:p w:rsidR="00383861" w:rsidRDefault="00383861" w:rsidP="00383861">
      <w:pPr>
        <w:numPr>
          <w:ilvl w:val="0"/>
          <w:numId w:val="12"/>
        </w:numPr>
        <w:spacing w:after="0" w:line="276" w:lineRule="auto"/>
        <w:ind w:left="567" w:right="-1" w:hanging="567"/>
        <w:contextualSpacing/>
        <w:jc w:val="both"/>
        <w:rPr>
          <w:rFonts w:eastAsia="Times New Roman"/>
          <w:b/>
          <w:lang w:eastAsia="es-MX"/>
        </w:rPr>
      </w:pPr>
      <w:r w:rsidRPr="00B05C27">
        <w:rPr>
          <w:rFonts w:eastAsia="Times New Roman"/>
          <w:b/>
          <w:lang w:eastAsia="es-MX"/>
        </w:rPr>
        <w:t>Información por Segmentos</w:t>
      </w:r>
    </w:p>
    <w:p w:rsidR="00A82606" w:rsidRPr="008E7569" w:rsidRDefault="00A82606" w:rsidP="00A82606">
      <w:pPr>
        <w:spacing w:after="0" w:line="276" w:lineRule="auto"/>
        <w:ind w:left="567" w:right="-1"/>
        <w:contextualSpacing/>
        <w:jc w:val="both"/>
        <w:rPr>
          <w:rFonts w:eastAsia="Times New Roman"/>
          <w:b/>
          <w:sz w:val="10"/>
          <w:lang w:eastAsia="es-MX"/>
        </w:rPr>
      </w:pPr>
    </w:p>
    <w:p w:rsidR="00383861" w:rsidRPr="00B05C27" w:rsidRDefault="00383861" w:rsidP="00383861">
      <w:pPr>
        <w:spacing w:line="276" w:lineRule="auto"/>
        <w:ind w:right="-1"/>
        <w:jc w:val="both"/>
        <w:rPr>
          <w:bCs/>
        </w:rPr>
      </w:pPr>
      <w:r w:rsidRPr="00B05C27">
        <w:rPr>
          <w:bCs/>
        </w:rPr>
        <w:t>El Instituto no cuenta con información por segmentos.</w:t>
      </w:r>
    </w:p>
    <w:p w:rsidR="00383861" w:rsidRDefault="00383861" w:rsidP="00383861">
      <w:pPr>
        <w:numPr>
          <w:ilvl w:val="0"/>
          <w:numId w:val="12"/>
        </w:numPr>
        <w:spacing w:after="0" w:line="276" w:lineRule="auto"/>
        <w:ind w:left="567" w:right="-1" w:hanging="567"/>
        <w:contextualSpacing/>
        <w:jc w:val="both"/>
        <w:rPr>
          <w:rFonts w:eastAsia="Times New Roman"/>
          <w:b/>
          <w:lang w:eastAsia="es-MX"/>
        </w:rPr>
      </w:pPr>
      <w:r w:rsidRPr="00B05C27">
        <w:rPr>
          <w:rFonts w:eastAsia="Times New Roman"/>
          <w:b/>
          <w:lang w:eastAsia="es-MX"/>
        </w:rPr>
        <w:t>Eventos Posteriores al Cierre</w:t>
      </w:r>
    </w:p>
    <w:p w:rsidR="00383861" w:rsidRPr="008E7569" w:rsidRDefault="00383861" w:rsidP="00383861">
      <w:pPr>
        <w:spacing w:after="0" w:line="276" w:lineRule="auto"/>
        <w:ind w:right="-1"/>
        <w:jc w:val="both"/>
        <w:rPr>
          <w:bCs/>
          <w:sz w:val="14"/>
        </w:rPr>
      </w:pPr>
    </w:p>
    <w:p w:rsidR="00383861" w:rsidRDefault="00383861" w:rsidP="00383861">
      <w:pPr>
        <w:spacing w:line="276" w:lineRule="auto"/>
        <w:ind w:right="-1"/>
        <w:jc w:val="both"/>
      </w:pPr>
      <w:r w:rsidRPr="00B05C27">
        <w:t>El Instituto no presenta eventos posteriores al cierre que pudieran tener un efecto importante en su situación financiera y resultados de operación futuros.</w:t>
      </w:r>
    </w:p>
    <w:p w:rsidR="006351E0" w:rsidRDefault="006351E0" w:rsidP="00383861">
      <w:pPr>
        <w:spacing w:line="276" w:lineRule="auto"/>
        <w:ind w:right="-1"/>
        <w:jc w:val="both"/>
      </w:pPr>
    </w:p>
    <w:p w:rsidR="006351E0" w:rsidRPr="006351E0" w:rsidRDefault="006351E0" w:rsidP="00383861">
      <w:pPr>
        <w:spacing w:line="276" w:lineRule="auto"/>
        <w:ind w:right="-1"/>
        <w:jc w:val="both"/>
        <w:rPr>
          <w:sz w:val="6"/>
        </w:rPr>
      </w:pPr>
    </w:p>
    <w:p w:rsidR="006351E0" w:rsidRPr="006351E0" w:rsidRDefault="006351E0" w:rsidP="00383861">
      <w:pPr>
        <w:spacing w:line="276" w:lineRule="auto"/>
        <w:ind w:right="-1"/>
        <w:jc w:val="both"/>
        <w:rPr>
          <w:sz w:val="6"/>
        </w:rPr>
      </w:pPr>
    </w:p>
    <w:p w:rsidR="00383861" w:rsidRPr="00B05C27" w:rsidRDefault="00383861" w:rsidP="00383861">
      <w:pPr>
        <w:numPr>
          <w:ilvl w:val="0"/>
          <w:numId w:val="12"/>
        </w:numPr>
        <w:spacing w:after="0" w:line="276" w:lineRule="auto"/>
        <w:ind w:left="567" w:right="-1" w:hanging="567"/>
        <w:contextualSpacing/>
        <w:jc w:val="both"/>
        <w:rPr>
          <w:rFonts w:eastAsia="Times New Roman" w:cs="Arial"/>
          <w:lang w:eastAsia="es-MX"/>
        </w:rPr>
      </w:pPr>
      <w:r w:rsidRPr="00B05C27">
        <w:rPr>
          <w:rFonts w:eastAsia="Times New Roman" w:cs="Arial"/>
          <w:b/>
          <w:lang w:eastAsia="es-MX"/>
        </w:rPr>
        <w:t>Partes Relacionadas</w:t>
      </w:r>
    </w:p>
    <w:p w:rsidR="00383861" w:rsidRPr="008E7569" w:rsidRDefault="00383861" w:rsidP="00383861">
      <w:pPr>
        <w:spacing w:after="0" w:line="276" w:lineRule="auto"/>
        <w:ind w:right="-1"/>
        <w:jc w:val="both"/>
        <w:rPr>
          <w:bCs/>
          <w:sz w:val="16"/>
        </w:rPr>
      </w:pPr>
    </w:p>
    <w:p w:rsidR="00383861" w:rsidRPr="00B05C27" w:rsidRDefault="00383861" w:rsidP="00383861">
      <w:pPr>
        <w:spacing w:line="276" w:lineRule="auto"/>
        <w:ind w:right="-1"/>
        <w:jc w:val="both"/>
        <w:rPr>
          <w:rFonts w:cs="Arial"/>
        </w:rPr>
      </w:pPr>
      <w:r w:rsidRPr="00B05C27">
        <w:rPr>
          <w:rFonts w:cs="Arial"/>
        </w:rPr>
        <w:t>No existen partes relacionadas que pudieran ejercer influencia significativa sobre la toma de decisiones financieras y operativas en este Instituto.</w:t>
      </w:r>
    </w:p>
    <w:p w:rsidR="00383861" w:rsidRPr="00B05C27" w:rsidRDefault="00383861" w:rsidP="00383861">
      <w:pPr>
        <w:numPr>
          <w:ilvl w:val="0"/>
          <w:numId w:val="12"/>
        </w:numPr>
        <w:spacing w:after="0" w:line="276" w:lineRule="auto"/>
        <w:ind w:left="567" w:right="-1" w:hanging="567"/>
        <w:contextualSpacing/>
        <w:jc w:val="both"/>
        <w:rPr>
          <w:bCs/>
        </w:rPr>
      </w:pPr>
      <w:r w:rsidRPr="00B05C27">
        <w:rPr>
          <w:rFonts w:eastAsia="Times New Roman" w:cs="Arial"/>
          <w:b/>
          <w:lang w:eastAsia="es-MX"/>
        </w:rPr>
        <w:t>Responsabilidad Sobre la Presentación Razonable de los Estados Financieros</w:t>
      </w:r>
    </w:p>
    <w:p w:rsidR="00A82606" w:rsidRDefault="00383861" w:rsidP="00383861">
      <w:pPr>
        <w:spacing w:line="276" w:lineRule="auto"/>
        <w:ind w:right="-1"/>
        <w:jc w:val="both"/>
        <w:rPr>
          <w:rFonts w:cs="Arial"/>
        </w:rPr>
      </w:pPr>
      <w:r w:rsidRPr="00B05C27">
        <w:rPr>
          <w:rFonts w:cs="Arial"/>
        </w:rPr>
        <w:t>“Bajo protesta de decir verdad declaramos que los Estados Financieros y sus Notas, son razonablemente correctos y son responsabilidad del emisor”.</w:t>
      </w:r>
    </w:p>
    <w:p w:rsidR="0094283C" w:rsidRDefault="0094283C" w:rsidP="00383861">
      <w:pPr>
        <w:spacing w:line="276" w:lineRule="auto"/>
        <w:ind w:right="-1"/>
        <w:jc w:val="both"/>
        <w:rPr>
          <w:rFonts w:cs="Arial"/>
        </w:rPr>
      </w:pPr>
    </w:p>
    <w:p w:rsidR="00A82606" w:rsidRPr="008E7569" w:rsidRDefault="00A82606" w:rsidP="00383861">
      <w:pPr>
        <w:spacing w:line="276" w:lineRule="auto"/>
        <w:ind w:right="-1"/>
        <w:jc w:val="both"/>
        <w:rPr>
          <w:rFonts w:cs="Arial"/>
          <w:sz w:val="2"/>
        </w:rPr>
      </w:pPr>
    </w:p>
    <w:p w:rsidR="00A82606" w:rsidRPr="008E7569" w:rsidRDefault="00A82606" w:rsidP="00383861">
      <w:pPr>
        <w:spacing w:line="276" w:lineRule="auto"/>
        <w:ind w:right="-1"/>
        <w:jc w:val="both"/>
        <w:rPr>
          <w:rFonts w:cs="Arial"/>
          <w:sz w:val="2"/>
        </w:rPr>
      </w:pPr>
    </w:p>
    <w:p w:rsidR="00383861" w:rsidRPr="00B05C27" w:rsidRDefault="00383861" w:rsidP="00383861">
      <w:pPr>
        <w:tabs>
          <w:tab w:val="left" w:pos="3994"/>
        </w:tabs>
        <w:spacing w:after="0" w:line="276" w:lineRule="auto"/>
        <w:ind w:right="-1"/>
        <w:contextualSpacing/>
        <w:jc w:val="center"/>
        <w:rPr>
          <w:rFonts w:eastAsia="Times New Roman" w:cs="Arial"/>
          <w:lang w:eastAsia="es-MX"/>
        </w:rPr>
      </w:pPr>
      <w:r w:rsidRPr="00B05C27">
        <w:rPr>
          <w:rFonts w:eastAsia="Times New Roman" w:cs="Arial"/>
          <w:b/>
          <w:lang w:eastAsia="es-MX"/>
        </w:rPr>
        <w:t>Firmas:</w:t>
      </w:r>
    </w:p>
    <w:tbl>
      <w:tblPr>
        <w:tblW w:w="9937" w:type="dxa"/>
        <w:jc w:val="center"/>
        <w:tblLook w:val="04A0" w:firstRow="1" w:lastRow="0" w:firstColumn="1" w:lastColumn="0" w:noHBand="0" w:noVBand="1"/>
      </w:tblPr>
      <w:tblGrid>
        <w:gridCol w:w="5447"/>
        <w:gridCol w:w="4490"/>
      </w:tblGrid>
      <w:tr w:rsidR="00383861" w:rsidRPr="00B05C27" w:rsidTr="0094283C">
        <w:trPr>
          <w:trHeight w:val="902"/>
          <w:jc w:val="center"/>
        </w:trPr>
        <w:tc>
          <w:tcPr>
            <w:tcW w:w="5447" w:type="dxa"/>
            <w:shd w:val="clear" w:color="auto" w:fill="auto"/>
          </w:tcPr>
          <w:p w:rsidR="00383861" w:rsidRDefault="00383861" w:rsidP="005142F5">
            <w:pPr>
              <w:spacing w:line="276" w:lineRule="auto"/>
              <w:ind w:right="-1"/>
              <w:jc w:val="center"/>
              <w:rPr>
                <w:rFonts w:cs="Arial"/>
              </w:rPr>
            </w:pPr>
          </w:p>
          <w:p w:rsidR="00440F0A" w:rsidRDefault="00440F0A" w:rsidP="005142F5">
            <w:pPr>
              <w:spacing w:line="276" w:lineRule="auto"/>
              <w:ind w:right="-1"/>
              <w:jc w:val="center"/>
              <w:rPr>
                <w:rFonts w:cs="Arial"/>
              </w:rPr>
            </w:pPr>
          </w:p>
          <w:p w:rsidR="004378BA" w:rsidRPr="00B05C27" w:rsidRDefault="004378BA" w:rsidP="005142F5">
            <w:pPr>
              <w:spacing w:line="276" w:lineRule="auto"/>
              <w:ind w:right="-1"/>
              <w:jc w:val="center"/>
              <w:rPr>
                <w:rFonts w:cs="Arial"/>
              </w:rPr>
            </w:pPr>
          </w:p>
          <w:p w:rsidR="00383861" w:rsidRPr="00B05C27" w:rsidRDefault="00383861" w:rsidP="005142F5">
            <w:pPr>
              <w:spacing w:line="276" w:lineRule="auto"/>
              <w:ind w:right="-1"/>
              <w:jc w:val="center"/>
              <w:rPr>
                <w:rFonts w:cs="Arial"/>
              </w:rPr>
            </w:pPr>
            <w:r w:rsidRPr="00B05C27">
              <w:rPr>
                <w:rFonts w:cs="Arial"/>
              </w:rPr>
              <w:t>________________________________</w:t>
            </w:r>
          </w:p>
          <w:p w:rsidR="00383861" w:rsidRPr="00B05C27" w:rsidRDefault="00383861" w:rsidP="005142F5">
            <w:pPr>
              <w:spacing w:after="0" w:line="276" w:lineRule="auto"/>
              <w:ind w:right="-1"/>
              <w:jc w:val="center"/>
              <w:rPr>
                <w:rFonts w:cs="Arial"/>
              </w:rPr>
            </w:pPr>
            <w:r w:rsidRPr="00B05C27">
              <w:rPr>
                <w:rFonts w:cs="Arial"/>
              </w:rPr>
              <w:t>M. en D. Tania Lorena Lugo Paz</w:t>
            </w:r>
          </w:p>
          <w:p w:rsidR="00383861" w:rsidRPr="00B05C27" w:rsidRDefault="00383861" w:rsidP="005142F5">
            <w:pPr>
              <w:spacing w:line="276" w:lineRule="auto"/>
              <w:ind w:right="-1"/>
              <w:jc w:val="center"/>
              <w:rPr>
                <w:rFonts w:cs="Arial"/>
              </w:rPr>
            </w:pPr>
            <w:r w:rsidRPr="00B05C27">
              <w:rPr>
                <w:rFonts w:cs="Arial"/>
                <w:b/>
              </w:rPr>
              <w:t>Directora General del IFREM</w:t>
            </w:r>
          </w:p>
        </w:tc>
        <w:tc>
          <w:tcPr>
            <w:tcW w:w="4490" w:type="dxa"/>
            <w:shd w:val="clear" w:color="auto" w:fill="auto"/>
          </w:tcPr>
          <w:p w:rsidR="00383861" w:rsidRDefault="00383861" w:rsidP="005142F5">
            <w:pPr>
              <w:spacing w:line="276" w:lineRule="auto"/>
              <w:ind w:right="-1"/>
              <w:jc w:val="center"/>
              <w:rPr>
                <w:rFonts w:cs="Arial"/>
              </w:rPr>
            </w:pPr>
          </w:p>
          <w:p w:rsidR="00440F0A" w:rsidRDefault="00440F0A" w:rsidP="005142F5">
            <w:pPr>
              <w:spacing w:line="276" w:lineRule="auto"/>
              <w:ind w:right="-1"/>
              <w:jc w:val="center"/>
              <w:rPr>
                <w:rFonts w:cs="Arial"/>
              </w:rPr>
            </w:pPr>
          </w:p>
          <w:p w:rsidR="004378BA" w:rsidRPr="00B05C27" w:rsidRDefault="004378BA" w:rsidP="005142F5">
            <w:pPr>
              <w:spacing w:line="276" w:lineRule="auto"/>
              <w:ind w:right="-1"/>
              <w:jc w:val="center"/>
              <w:rPr>
                <w:rFonts w:cs="Arial"/>
              </w:rPr>
            </w:pPr>
          </w:p>
          <w:p w:rsidR="00383861" w:rsidRPr="00B05C27" w:rsidRDefault="00383861" w:rsidP="005142F5">
            <w:pPr>
              <w:spacing w:line="276" w:lineRule="auto"/>
              <w:ind w:right="-1"/>
              <w:jc w:val="center"/>
              <w:rPr>
                <w:rFonts w:cs="Arial"/>
              </w:rPr>
            </w:pPr>
            <w:r w:rsidRPr="00B05C27">
              <w:rPr>
                <w:rFonts w:cs="Arial"/>
              </w:rPr>
              <w:t>________________________________</w:t>
            </w:r>
          </w:p>
          <w:p w:rsidR="00383861" w:rsidRPr="00B05C27" w:rsidRDefault="00383861" w:rsidP="005142F5">
            <w:pPr>
              <w:spacing w:after="0" w:line="276" w:lineRule="auto"/>
              <w:ind w:left="544" w:right="-1" w:hanging="261"/>
              <w:jc w:val="center"/>
              <w:rPr>
                <w:rFonts w:cs="Arial"/>
              </w:rPr>
            </w:pPr>
            <w:r w:rsidRPr="00B05C27">
              <w:rPr>
                <w:rFonts w:cs="Arial"/>
              </w:rPr>
              <w:t>L.A.E. Patricia Herrera Vallejo</w:t>
            </w:r>
          </w:p>
          <w:p w:rsidR="00383861" w:rsidRPr="00B05C27" w:rsidRDefault="00383861" w:rsidP="005142F5">
            <w:pPr>
              <w:spacing w:line="276" w:lineRule="auto"/>
              <w:ind w:right="-1"/>
              <w:jc w:val="center"/>
              <w:rPr>
                <w:rFonts w:cs="Arial"/>
              </w:rPr>
            </w:pPr>
            <w:r w:rsidRPr="00B05C27">
              <w:rPr>
                <w:rFonts w:cs="Arial"/>
                <w:b/>
              </w:rPr>
              <w:t>Directora de Administración y Finanzas</w:t>
            </w:r>
          </w:p>
        </w:tc>
      </w:tr>
      <w:tr w:rsidR="00383861" w:rsidRPr="00B05C27" w:rsidTr="0094283C">
        <w:tblPrEx>
          <w:tblCellMar>
            <w:left w:w="70" w:type="dxa"/>
            <w:right w:w="70" w:type="dxa"/>
          </w:tblCellMar>
        </w:tblPrEx>
        <w:trPr>
          <w:trHeight w:val="171"/>
          <w:jc w:val="center"/>
        </w:trPr>
        <w:tc>
          <w:tcPr>
            <w:tcW w:w="9937" w:type="dxa"/>
            <w:gridSpan w:val="2"/>
            <w:shd w:val="clear" w:color="auto" w:fill="auto"/>
            <w:noWrap/>
            <w:vAlign w:val="bottom"/>
            <w:hideMark/>
          </w:tcPr>
          <w:p w:rsidR="00E867FA" w:rsidRDefault="00E867FA" w:rsidP="004A0297">
            <w:pPr>
              <w:spacing w:line="276" w:lineRule="auto"/>
              <w:ind w:right="-1"/>
              <w:rPr>
                <w:rFonts w:cs="Arial"/>
              </w:rPr>
            </w:pPr>
          </w:p>
          <w:p w:rsidR="004378BA" w:rsidRDefault="004378BA" w:rsidP="004A0297">
            <w:pPr>
              <w:spacing w:line="276" w:lineRule="auto"/>
              <w:ind w:right="-1"/>
              <w:rPr>
                <w:rFonts w:cs="Arial"/>
              </w:rPr>
            </w:pPr>
          </w:p>
          <w:p w:rsidR="00CA6DC8" w:rsidRPr="008E7569" w:rsidRDefault="00CA6DC8" w:rsidP="004A0297">
            <w:pPr>
              <w:spacing w:line="276" w:lineRule="auto"/>
              <w:ind w:right="-1"/>
              <w:rPr>
                <w:rFonts w:cs="Arial"/>
                <w:sz w:val="2"/>
              </w:rPr>
            </w:pPr>
          </w:p>
          <w:p w:rsidR="00A82606" w:rsidRPr="008E7569" w:rsidRDefault="00A82606" w:rsidP="004A0297">
            <w:pPr>
              <w:spacing w:line="276" w:lineRule="auto"/>
              <w:ind w:right="-1"/>
              <w:rPr>
                <w:rFonts w:cs="Arial"/>
                <w:sz w:val="2"/>
              </w:rPr>
            </w:pPr>
          </w:p>
          <w:p w:rsidR="00383861" w:rsidRPr="00B05C27" w:rsidRDefault="00383861" w:rsidP="005142F5">
            <w:pPr>
              <w:spacing w:line="276" w:lineRule="auto"/>
              <w:ind w:right="-1"/>
              <w:jc w:val="center"/>
              <w:rPr>
                <w:rFonts w:cs="Arial"/>
              </w:rPr>
            </w:pPr>
            <w:r w:rsidRPr="00B05C27">
              <w:rPr>
                <w:rFonts w:cs="Arial"/>
              </w:rPr>
              <w:t>________________________________</w:t>
            </w:r>
          </w:p>
          <w:p w:rsidR="00383861" w:rsidRPr="00B05C27" w:rsidRDefault="00383861" w:rsidP="005142F5">
            <w:pPr>
              <w:spacing w:after="0" w:line="276" w:lineRule="auto"/>
              <w:ind w:right="-1"/>
              <w:jc w:val="center"/>
              <w:rPr>
                <w:rFonts w:cs="Arial"/>
              </w:rPr>
            </w:pPr>
            <w:r w:rsidRPr="00B05C27">
              <w:rPr>
                <w:rFonts w:cs="Arial"/>
              </w:rPr>
              <w:t>Lic. Antonio Hernández Tenorio</w:t>
            </w:r>
          </w:p>
          <w:p w:rsidR="00383861" w:rsidRPr="00B05C27" w:rsidRDefault="00383861" w:rsidP="005142F5">
            <w:pPr>
              <w:spacing w:line="276" w:lineRule="auto"/>
              <w:ind w:right="-1"/>
              <w:jc w:val="center"/>
              <w:rPr>
                <w:rFonts w:cs="Arial"/>
              </w:rPr>
            </w:pPr>
            <w:r w:rsidRPr="00B05C27">
              <w:rPr>
                <w:rFonts w:cs="Arial"/>
                <w:b/>
              </w:rPr>
              <w:t>Subdirector de Finanzas</w:t>
            </w:r>
          </w:p>
        </w:tc>
      </w:tr>
    </w:tbl>
    <w:p w:rsidR="004378BA" w:rsidRDefault="004378BA" w:rsidP="00CA6DC8"/>
    <w:p w:rsidR="004378BA" w:rsidRPr="004378BA" w:rsidRDefault="004378BA" w:rsidP="004378BA"/>
    <w:p w:rsidR="004378BA" w:rsidRPr="004378BA" w:rsidRDefault="004378BA" w:rsidP="004378BA"/>
    <w:p w:rsidR="004378BA" w:rsidRPr="004378BA" w:rsidRDefault="004378BA" w:rsidP="004378BA"/>
    <w:p w:rsidR="004378BA" w:rsidRPr="004378BA" w:rsidRDefault="004378BA" w:rsidP="004378BA"/>
    <w:p w:rsidR="004378BA" w:rsidRPr="004378BA" w:rsidRDefault="004378BA" w:rsidP="004378BA"/>
    <w:p w:rsidR="004378BA" w:rsidRDefault="004378BA" w:rsidP="004378BA"/>
    <w:p w:rsidR="00383861" w:rsidRPr="004378BA" w:rsidRDefault="00383861" w:rsidP="004378BA">
      <w:pPr>
        <w:jc w:val="center"/>
      </w:pPr>
      <w:bookmarkStart w:id="0" w:name="_GoBack"/>
      <w:bookmarkEnd w:id="0"/>
    </w:p>
    <w:sectPr w:rsidR="00383861" w:rsidRPr="004378BA" w:rsidSect="00FD4233">
      <w:headerReference w:type="default" r:id="rId33"/>
      <w:footerReference w:type="default" r:id="rId34"/>
      <w:pgSz w:w="12240" w:h="15840" w:code="1"/>
      <w:pgMar w:top="1418" w:right="902" w:bottom="1985" w:left="1276"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5E6" w:rsidRDefault="000265E6" w:rsidP="0033212B">
      <w:pPr>
        <w:spacing w:after="0" w:line="240" w:lineRule="auto"/>
      </w:pPr>
      <w:r>
        <w:separator/>
      </w:r>
    </w:p>
  </w:endnote>
  <w:endnote w:type="continuationSeparator" w:id="0">
    <w:p w:rsidR="000265E6" w:rsidRDefault="000265E6" w:rsidP="0033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otham Book">
    <w:altName w:val="Times New Roman"/>
    <w:panose1 w:val="02000603040000020004"/>
    <w:charset w:val="00"/>
    <w:family w:val="auto"/>
    <w:pitch w:val="variable"/>
    <w:sig w:usb0="A00000AF" w:usb1="40000048" w:usb2="00000000" w:usb3="00000000" w:csb0="00000111" w:csb1="00000000"/>
  </w:font>
  <w:font w:name="HelveticaNeueLT Std">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Helvetica">
    <w:panose1 w:val="020B0504020202030204"/>
    <w:charset w:val="00"/>
    <w:family w:val="swiss"/>
    <w:pitch w:val="variable"/>
    <w:sig w:usb0="20002A87" w:usb1="00000000" w:usb2="00000000" w:usb3="00000000" w:csb0="000001FF" w:csb1="00000000"/>
  </w:font>
  <w:font w:name="Gotham Bold">
    <w:altName w:val="Segoe UI Semibold"/>
    <w:panose1 w:val="0200080303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9029720"/>
      <w:docPartObj>
        <w:docPartGallery w:val="Page Numbers (Bottom of Page)"/>
        <w:docPartUnique/>
      </w:docPartObj>
    </w:sdtPr>
    <w:sdtEndPr/>
    <w:sdtContent>
      <w:p w:rsidR="00AB0FF1" w:rsidRDefault="00AB0FF1" w:rsidP="006351E0">
        <w:pPr>
          <w:tabs>
            <w:tab w:val="left" w:pos="5685"/>
            <w:tab w:val="left" w:pos="8745"/>
            <w:tab w:val="right" w:pos="10062"/>
          </w:tabs>
        </w:pPr>
        <w:r>
          <w:rPr>
            <w:noProof/>
            <w:lang w:eastAsia="es-MX"/>
          </w:rPr>
          <w:drawing>
            <wp:anchor distT="0" distB="0" distL="114300" distR="114300" simplePos="0" relativeHeight="251657216" behindDoc="1" locked="0" layoutInCell="1" allowOverlap="1" wp14:anchorId="48955C3C" wp14:editId="250043DD">
              <wp:simplePos x="0" y="0"/>
              <wp:positionH relativeFrom="column">
                <wp:posOffset>-800735</wp:posOffset>
              </wp:positionH>
              <wp:positionV relativeFrom="paragraph">
                <wp:posOffset>-179070</wp:posOffset>
              </wp:positionV>
              <wp:extent cx="7760970" cy="1419225"/>
              <wp:effectExtent l="0" t="0" r="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ja IFREM pie.jpg"/>
                      <pic:cNvPicPr/>
                    </pic:nvPicPr>
                    <pic:blipFill>
                      <a:blip r:embed="rId1">
                        <a:extLst>
                          <a:ext uri="{28A0092B-C50C-407E-A947-70E740481C1C}">
                            <a14:useLocalDpi xmlns:a14="http://schemas.microsoft.com/office/drawing/2010/main" val="0"/>
                          </a:ext>
                        </a:extLst>
                      </a:blip>
                      <a:stretch>
                        <a:fillRect/>
                      </a:stretch>
                    </pic:blipFill>
                    <pic:spPr>
                      <a:xfrm>
                        <a:off x="0" y="0"/>
                        <a:ext cx="7760970" cy="1419225"/>
                      </a:xfrm>
                      <a:prstGeom prst="rect">
                        <a:avLst/>
                      </a:prstGeom>
                    </pic:spPr>
                  </pic:pic>
                </a:graphicData>
              </a:graphic>
              <wp14:sizeRelH relativeFrom="margin">
                <wp14:pctWidth>0</wp14:pctWidth>
              </wp14:sizeRelH>
              <wp14:sizeRelV relativeFrom="margin">
                <wp14:pctHeight>0</wp14:pctHeight>
              </wp14:sizeRelV>
            </wp:anchor>
          </w:drawing>
        </w:r>
        <w:r w:rsidR="006351E0">
          <w:tab/>
        </w:r>
      </w:p>
      <w:p w:rsidR="00F4606C" w:rsidRDefault="00AB0FF1" w:rsidP="00FD4233">
        <w:pPr>
          <w:tabs>
            <w:tab w:val="left" w:pos="1635"/>
            <w:tab w:val="center" w:pos="5031"/>
            <w:tab w:val="left" w:pos="6360"/>
            <w:tab w:val="left" w:pos="8445"/>
            <w:tab w:val="right" w:pos="10062"/>
          </w:tabs>
        </w:pPr>
        <w:r>
          <w:tab/>
        </w:r>
        <w:r>
          <w:tab/>
        </w:r>
        <w:r w:rsidR="00996471">
          <w:fldChar w:fldCharType="begin"/>
        </w:r>
        <w:r w:rsidR="001A70A8">
          <w:instrText>PAGE   \* MERGEFORMAT</w:instrText>
        </w:r>
        <w:r w:rsidR="00996471">
          <w:fldChar w:fldCharType="separate"/>
        </w:r>
        <w:r w:rsidR="00440F0A" w:rsidRPr="00440F0A">
          <w:rPr>
            <w:noProof/>
            <w:lang w:val="es-ES"/>
          </w:rPr>
          <w:t>26</w:t>
        </w:r>
        <w:r w:rsidR="00996471">
          <w:fldChar w:fldCharType="end"/>
        </w:r>
        <w:r w:rsidR="00B64830">
          <w:t xml:space="preserve"> de </w:t>
        </w:r>
        <w:r w:rsidR="00997782">
          <w:t>2</w:t>
        </w:r>
        <w:r w:rsidR="006351E0">
          <w:t>7</w:t>
        </w:r>
        <w:r>
          <w:tab/>
        </w:r>
        <w:r>
          <w:tab/>
        </w:r>
        <w:r w:rsidR="00FD4233">
          <w:tab/>
        </w:r>
      </w:p>
      <w:p w:rsidR="00D67BE0" w:rsidRDefault="00D67BE0" w:rsidP="001A70A8">
        <w:pPr>
          <w:pStyle w:val="Piedepgina"/>
          <w:jc w:val="center"/>
        </w:pPr>
      </w:p>
      <w:p w:rsidR="00EF77CA" w:rsidRDefault="00EF77CA" w:rsidP="00FD4233">
        <w:pPr>
          <w:pStyle w:val="Piedepgina"/>
          <w:jc w:val="right"/>
        </w:pPr>
      </w:p>
      <w:p w:rsidR="00A41AEE" w:rsidRDefault="00A41AEE" w:rsidP="001A70A8">
        <w:pPr>
          <w:pStyle w:val="Piedepgina"/>
          <w:jc w:val="center"/>
        </w:pPr>
      </w:p>
      <w:p w:rsidR="001A70A8" w:rsidRDefault="00AB0FF1" w:rsidP="00AB0FF1">
        <w:pPr>
          <w:pStyle w:val="Piedepgina"/>
          <w:tabs>
            <w:tab w:val="center" w:pos="5031"/>
            <w:tab w:val="left" w:pos="8520"/>
          </w:tabs>
        </w:pPr>
        <w:r>
          <w:tab/>
        </w:r>
        <w:r>
          <w:tab/>
        </w:r>
        <w:r>
          <w:tab/>
        </w:r>
      </w:p>
    </w:sdtContent>
  </w:sdt>
  <w:p w:rsidR="0033212B" w:rsidRDefault="001A70A8" w:rsidP="00CA6DC8">
    <w:pPr>
      <w:pStyle w:val="Piedepgina"/>
      <w:tabs>
        <w:tab w:val="clear" w:pos="4419"/>
        <w:tab w:val="center" w:pos="4181"/>
        <w:tab w:val="left" w:pos="8838"/>
      </w:tabs>
      <w:ind w:left="-1701"/>
    </w:pPr>
    <w:r>
      <w:rPr>
        <w:noProof/>
        <w:lang w:eastAsia="es-MX"/>
      </w:rPr>
      <w:t xml:space="preserve"> </w:t>
    </w:r>
    <w:r w:rsidR="00D67BE0">
      <w:rPr>
        <w:noProof/>
        <w:lang w:eastAsia="es-MX"/>
      </w:rPr>
      <w:tab/>
    </w:r>
    <w:r w:rsidR="00CA6DC8">
      <w:rPr>
        <w:noProof/>
        <w:lang w:eastAsia="es-MX"/>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5E6" w:rsidRDefault="000265E6" w:rsidP="0033212B">
      <w:pPr>
        <w:spacing w:after="0" w:line="240" w:lineRule="auto"/>
      </w:pPr>
      <w:r>
        <w:separator/>
      </w:r>
    </w:p>
  </w:footnote>
  <w:footnote w:type="continuationSeparator" w:id="0">
    <w:p w:rsidR="000265E6" w:rsidRDefault="000265E6" w:rsidP="00332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6C" w:rsidRDefault="00F4606C" w:rsidP="000316D9">
    <w:pPr>
      <w:pStyle w:val="Encabezado"/>
      <w:tabs>
        <w:tab w:val="clear" w:pos="4419"/>
        <w:tab w:val="clear" w:pos="8838"/>
      </w:tabs>
      <w:ind w:left="-1560" w:right="-1652"/>
      <w:jc w:val="center"/>
      <w:rPr>
        <w:noProof/>
        <w:lang w:eastAsia="es-MX"/>
      </w:rPr>
    </w:pPr>
    <w:r w:rsidRPr="007C7EC0">
      <w:rPr>
        <w:noProof/>
        <w:lang w:eastAsia="es-MX"/>
      </w:rPr>
      <w:drawing>
        <wp:anchor distT="0" distB="0" distL="114300" distR="114300" simplePos="0" relativeHeight="251672576" behindDoc="1" locked="0" layoutInCell="1" allowOverlap="1" wp14:anchorId="57B24DAF" wp14:editId="6E5B297C">
          <wp:simplePos x="0" y="0"/>
          <wp:positionH relativeFrom="page">
            <wp:posOffset>209550</wp:posOffset>
          </wp:positionH>
          <wp:positionV relativeFrom="page">
            <wp:posOffset>161925</wp:posOffset>
          </wp:positionV>
          <wp:extent cx="7356475" cy="657225"/>
          <wp:effectExtent l="0" t="0" r="0" b="0"/>
          <wp:wrapNone/>
          <wp:docPr id="37" name="Imagen 37" descr="C:\Users\Bruce\Google Drive\U - Informática_\Diseño Grafico\Diseño 2018\Hoja Membretada 2018\VertiU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ce\Google Drive\U - Informática_\Diseño Grafico\Diseño 2018\Hoja Membretada 2018\VertiUp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64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0132" w:rsidRDefault="000C0132" w:rsidP="000316D9">
    <w:pPr>
      <w:pStyle w:val="Encabezado"/>
      <w:tabs>
        <w:tab w:val="clear" w:pos="4419"/>
        <w:tab w:val="clear" w:pos="8838"/>
      </w:tabs>
      <w:ind w:left="-1560" w:right="-1652"/>
      <w:jc w:val="center"/>
      <w:rPr>
        <w:noProof/>
        <w:lang w:eastAsia="es-MX"/>
      </w:rPr>
    </w:pPr>
  </w:p>
  <w:p w:rsidR="000C0132" w:rsidRDefault="000C0132" w:rsidP="000316D9">
    <w:pPr>
      <w:pStyle w:val="Encabezado"/>
      <w:tabs>
        <w:tab w:val="clear" w:pos="4419"/>
        <w:tab w:val="clear" w:pos="8838"/>
      </w:tabs>
      <w:ind w:left="-1560" w:right="-1652"/>
      <w:jc w:val="center"/>
      <w:rPr>
        <w:noProof/>
        <w:lang w:eastAsia="es-MX"/>
      </w:rPr>
    </w:pPr>
  </w:p>
  <w:p w:rsidR="000C0132" w:rsidRDefault="00F4606C" w:rsidP="00AB0FF1">
    <w:pPr>
      <w:pStyle w:val="Encabezado"/>
      <w:tabs>
        <w:tab w:val="clear" w:pos="4419"/>
        <w:tab w:val="clear" w:pos="8838"/>
        <w:tab w:val="left" w:pos="165"/>
        <w:tab w:val="left" w:pos="1710"/>
      </w:tabs>
      <w:ind w:left="-1560" w:right="-1652"/>
      <w:rPr>
        <w:noProof/>
        <w:lang w:eastAsia="es-MX"/>
      </w:rPr>
    </w:pPr>
    <w:r>
      <w:rPr>
        <w:noProof/>
        <w:lang w:eastAsia="es-MX"/>
      </w:rPr>
      <w:tab/>
    </w:r>
    <w:r w:rsidR="00AB0FF1">
      <w:rPr>
        <w:noProof/>
        <w:lang w:eastAsia="es-MX"/>
      </w:rPr>
      <w:tab/>
    </w:r>
  </w:p>
  <w:p w:rsidR="000C0132" w:rsidRDefault="00AB0FF1" w:rsidP="00AB0FF1">
    <w:pPr>
      <w:pStyle w:val="Encabezado"/>
      <w:tabs>
        <w:tab w:val="clear" w:pos="4419"/>
        <w:tab w:val="clear" w:pos="8838"/>
        <w:tab w:val="left" w:pos="6345"/>
      </w:tabs>
      <w:ind w:left="-1560" w:right="-1652"/>
      <w:rPr>
        <w:noProof/>
        <w:lang w:eastAsia="es-MX"/>
      </w:rPr>
    </w:pPr>
    <w:r>
      <w:rPr>
        <w:noProof/>
        <w:lang w:eastAsia="es-MX"/>
      </w:rPr>
      <w:tab/>
    </w:r>
  </w:p>
  <w:p w:rsidR="000316D9" w:rsidRPr="009D03C8" w:rsidRDefault="000316D9" w:rsidP="000316D9">
    <w:pPr>
      <w:pStyle w:val="Encabezado"/>
      <w:tabs>
        <w:tab w:val="clear" w:pos="4419"/>
        <w:tab w:val="clear" w:pos="8838"/>
      </w:tabs>
      <w:ind w:left="-1560" w:right="-1652"/>
      <w:jc w:val="center"/>
    </w:pPr>
    <w:r>
      <w:rPr>
        <w:rFonts w:ascii="Gotham Bold" w:hAnsi="Gotham Bold"/>
      </w:rPr>
      <w:t>“2019. Año del Centésimo Aniversario Luctuoso de Emiliano Zapata Salazar. El Caudillo del Sur”.</w:t>
    </w:r>
  </w:p>
  <w:p w:rsidR="00DF66A9" w:rsidRPr="00DF66A9" w:rsidRDefault="00DF66A9" w:rsidP="00E77535">
    <w:pPr>
      <w:pStyle w:val="Encabezado"/>
      <w:tabs>
        <w:tab w:val="clear" w:pos="4419"/>
        <w:tab w:val="clear" w:pos="8838"/>
      </w:tabs>
      <w:jc w:val="center"/>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F6BFF"/>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122136D0"/>
    <w:multiLevelType w:val="hybridMultilevel"/>
    <w:tmpl w:val="F2FEA366"/>
    <w:lvl w:ilvl="0" w:tplc="FDCC1F98">
      <w:start w:val="7"/>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5728BD"/>
    <w:multiLevelType w:val="hybridMultilevel"/>
    <w:tmpl w:val="497EDE4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1CAE7C0B"/>
    <w:multiLevelType w:val="hybridMultilevel"/>
    <w:tmpl w:val="497EDE4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21394F90"/>
    <w:multiLevelType w:val="hybridMultilevel"/>
    <w:tmpl w:val="6FD6DFE4"/>
    <w:lvl w:ilvl="0" w:tplc="6C7E976C">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27437978"/>
    <w:multiLevelType w:val="hybridMultilevel"/>
    <w:tmpl w:val="F2FEA366"/>
    <w:lvl w:ilvl="0" w:tplc="FDCC1F98">
      <w:start w:val="7"/>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2B6C21"/>
    <w:multiLevelType w:val="multilevel"/>
    <w:tmpl w:val="1F76466C"/>
    <w:lvl w:ilvl="0">
      <w:start w:val="1"/>
      <w:numFmt w:val="decimal"/>
      <w:lvlText w:val="%1."/>
      <w:lvlJc w:val="left"/>
      <w:pPr>
        <w:ind w:left="360" w:hanging="360"/>
      </w:pPr>
      <w:rPr>
        <w:rFonts w:ascii="Gotham Book" w:hAnsi="Gotham Book"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53A2A73"/>
    <w:multiLevelType w:val="hybridMultilevel"/>
    <w:tmpl w:val="9740EF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36A9284A"/>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3AD84045"/>
    <w:multiLevelType w:val="hybridMultilevel"/>
    <w:tmpl w:val="86EEDAF2"/>
    <w:lvl w:ilvl="0" w:tplc="202826A4">
      <w:start w:val="1"/>
      <w:numFmt w:val="decimal"/>
      <w:lvlText w:val="%1."/>
      <w:lvlJc w:val="left"/>
      <w:pPr>
        <w:ind w:left="644" w:hanging="360"/>
      </w:pPr>
      <w:rPr>
        <w:rFonts w:ascii="HelveticaNeueLT Std" w:hAnsi="HelveticaNeueLT Std" w:hint="default"/>
        <w:b/>
        <w:sz w:val="20"/>
        <w:szCs w:val="2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nsid w:val="3FA14BF1"/>
    <w:multiLevelType w:val="hybridMultilevel"/>
    <w:tmpl w:val="492214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5AA83998"/>
    <w:multiLevelType w:val="hybridMultilevel"/>
    <w:tmpl w:val="6E146308"/>
    <w:lvl w:ilvl="0" w:tplc="A810E21A">
      <w:start w:val="5"/>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F2C641A"/>
    <w:multiLevelType w:val="hybridMultilevel"/>
    <w:tmpl w:val="A8E4D0E4"/>
    <w:lvl w:ilvl="0" w:tplc="65DABA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769454E5"/>
    <w:multiLevelType w:val="hybridMultilevel"/>
    <w:tmpl w:val="2788FF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B757B43"/>
    <w:multiLevelType w:val="hybridMultilevel"/>
    <w:tmpl w:val="16D40F6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nsid w:val="7E7A66D6"/>
    <w:multiLevelType w:val="hybridMultilevel"/>
    <w:tmpl w:val="412491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4"/>
  </w:num>
  <w:num w:numId="5">
    <w:abstractNumId w:val="15"/>
  </w:num>
  <w:num w:numId="6">
    <w:abstractNumId w:val="3"/>
  </w:num>
  <w:num w:numId="7">
    <w:abstractNumId w:val="12"/>
  </w:num>
  <w:num w:numId="8">
    <w:abstractNumId w:val="13"/>
  </w:num>
  <w:num w:numId="9">
    <w:abstractNumId w:val="14"/>
  </w:num>
  <w:num w:numId="10">
    <w:abstractNumId w:val="11"/>
  </w:num>
  <w:num w:numId="11">
    <w:abstractNumId w:val="8"/>
  </w:num>
  <w:num w:numId="12">
    <w:abstractNumId w:val="1"/>
  </w:num>
  <w:num w:numId="13">
    <w:abstractNumId w:val="7"/>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trackedChanges" w:enforcement="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12B"/>
    <w:rsid w:val="000027DB"/>
    <w:rsid w:val="00010FD9"/>
    <w:rsid w:val="00012845"/>
    <w:rsid w:val="0001352F"/>
    <w:rsid w:val="00015E63"/>
    <w:rsid w:val="00016F2A"/>
    <w:rsid w:val="0001768C"/>
    <w:rsid w:val="00022C7E"/>
    <w:rsid w:val="000265E6"/>
    <w:rsid w:val="00026EBB"/>
    <w:rsid w:val="000316D9"/>
    <w:rsid w:val="0003577A"/>
    <w:rsid w:val="0003731C"/>
    <w:rsid w:val="00037C59"/>
    <w:rsid w:val="000405AF"/>
    <w:rsid w:val="00045845"/>
    <w:rsid w:val="000526C7"/>
    <w:rsid w:val="000564CF"/>
    <w:rsid w:val="00057473"/>
    <w:rsid w:val="00061AB7"/>
    <w:rsid w:val="00064186"/>
    <w:rsid w:val="0007108F"/>
    <w:rsid w:val="00072B06"/>
    <w:rsid w:val="00073B8C"/>
    <w:rsid w:val="0008290A"/>
    <w:rsid w:val="00082CB1"/>
    <w:rsid w:val="00083D56"/>
    <w:rsid w:val="00094DD0"/>
    <w:rsid w:val="0009517D"/>
    <w:rsid w:val="000A081E"/>
    <w:rsid w:val="000A228A"/>
    <w:rsid w:val="000A2ADF"/>
    <w:rsid w:val="000A30E0"/>
    <w:rsid w:val="000A3489"/>
    <w:rsid w:val="000A3DA3"/>
    <w:rsid w:val="000A4CD9"/>
    <w:rsid w:val="000A4FB8"/>
    <w:rsid w:val="000A52F1"/>
    <w:rsid w:val="000B03BB"/>
    <w:rsid w:val="000B07D7"/>
    <w:rsid w:val="000B0F33"/>
    <w:rsid w:val="000C0132"/>
    <w:rsid w:val="000C08D7"/>
    <w:rsid w:val="000C5056"/>
    <w:rsid w:val="000D01F5"/>
    <w:rsid w:val="000D09FF"/>
    <w:rsid w:val="000D1290"/>
    <w:rsid w:val="000D1B63"/>
    <w:rsid w:val="000D40F1"/>
    <w:rsid w:val="000D5865"/>
    <w:rsid w:val="000E57F1"/>
    <w:rsid w:val="000E650B"/>
    <w:rsid w:val="000F737A"/>
    <w:rsid w:val="001135F5"/>
    <w:rsid w:val="00114174"/>
    <w:rsid w:val="001167C1"/>
    <w:rsid w:val="00121D31"/>
    <w:rsid w:val="00124778"/>
    <w:rsid w:val="00124F83"/>
    <w:rsid w:val="00125235"/>
    <w:rsid w:val="00130EA5"/>
    <w:rsid w:val="00136FAC"/>
    <w:rsid w:val="001436FB"/>
    <w:rsid w:val="00143879"/>
    <w:rsid w:val="00152B8F"/>
    <w:rsid w:val="00154103"/>
    <w:rsid w:val="00155A9D"/>
    <w:rsid w:val="001570DC"/>
    <w:rsid w:val="001600FB"/>
    <w:rsid w:val="00160821"/>
    <w:rsid w:val="00163812"/>
    <w:rsid w:val="001678EA"/>
    <w:rsid w:val="00173CC3"/>
    <w:rsid w:val="00173DBF"/>
    <w:rsid w:val="001800B6"/>
    <w:rsid w:val="00180232"/>
    <w:rsid w:val="001811A8"/>
    <w:rsid w:val="00181B3F"/>
    <w:rsid w:val="00183F2F"/>
    <w:rsid w:val="00194F29"/>
    <w:rsid w:val="001A70A8"/>
    <w:rsid w:val="001B1326"/>
    <w:rsid w:val="001B3BFD"/>
    <w:rsid w:val="001B4811"/>
    <w:rsid w:val="001C1913"/>
    <w:rsid w:val="001C33D8"/>
    <w:rsid w:val="001C36BA"/>
    <w:rsid w:val="001D237E"/>
    <w:rsid w:val="001D5057"/>
    <w:rsid w:val="001D5210"/>
    <w:rsid w:val="001D5A6E"/>
    <w:rsid w:val="001D74CB"/>
    <w:rsid w:val="001D793E"/>
    <w:rsid w:val="001E06EF"/>
    <w:rsid w:val="001E1B89"/>
    <w:rsid w:val="001E396C"/>
    <w:rsid w:val="001E4762"/>
    <w:rsid w:val="001E4D68"/>
    <w:rsid w:val="001E5489"/>
    <w:rsid w:val="001F1FF9"/>
    <w:rsid w:val="001F5305"/>
    <w:rsid w:val="00200343"/>
    <w:rsid w:val="0020245B"/>
    <w:rsid w:val="00213972"/>
    <w:rsid w:val="00216916"/>
    <w:rsid w:val="002174D6"/>
    <w:rsid w:val="002201A1"/>
    <w:rsid w:val="00221377"/>
    <w:rsid w:val="00221CB3"/>
    <w:rsid w:val="00225CA1"/>
    <w:rsid w:val="002279D7"/>
    <w:rsid w:val="002332C2"/>
    <w:rsid w:val="00234940"/>
    <w:rsid w:val="0023626F"/>
    <w:rsid w:val="002406D4"/>
    <w:rsid w:val="00240E9D"/>
    <w:rsid w:val="00242134"/>
    <w:rsid w:val="00245317"/>
    <w:rsid w:val="0024535F"/>
    <w:rsid w:val="00246044"/>
    <w:rsid w:val="002465BB"/>
    <w:rsid w:val="00251395"/>
    <w:rsid w:val="00256473"/>
    <w:rsid w:val="00256F96"/>
    <w:rsid w:val="00264D0E"/>
    <w:rsid w:val="002734FE"/>
    <w:rsid w:val="00273EB5"/>
    <w:rsid w:val="00276066"/>
    <w:rsid w:val="00280535"/>
    <w:rsid w:val="00280B40"/>
    <w:rsid w:val="0028147E"/>
    <w:rsid w:val="002911AD"/>
    <w:rsid w:val="00292418"/>
    <w:rsid w:val="00293DA7"/>
    <w:rsid w:val="00296101"/>
    <w:rsid w:val="002A193B"/>
    <w:rsid w:val="002A7A96"/>
    <w:rsid w:val="002B0BED"/>
    <w:rsid w:val="002B23B8"/>
    <w:rsid w:val="002B6494"/>
    <w:rsid w:val="002B7DCD"/>
    <w:rsid w:val="002C089B"/>
    <w:rsid w:val="002C1500"/>
    <w:rsid w:val="002C2C79"/>
    <w:rsid w:val="002C44BF"/>
    <w:rsid w:val="002C6A51"/>
    <w:rsid w:val="002D0E71"/>
    <w:rsid w:val="002D109B"/>
    <w:rsid w:val="002D29BC"/>
    <w:rsid w:val="002D4356"/>
    <w:rsid w:val="002D5D22"/>
    <w:rsid w:val="002E0E52"/>
    <w:rsid w:val="002E2BBF"/>
    <w:rsid w:val="002E3F91"/>
    <w:rsid w:val="002F1339"/>
    <w:rsid w:val="002F7710"/>
    <w:rsid w:val="00300C9C"/>
    <w:rsid w:val="00301158"/>
    <w:rsid w:val="003042BB"/>
    <w:rsid w:val="003047F9"/>
    <w:rsid w:val="00306181"/>
    <w:rsid w:val="003217AE"/>
    <w:rsid w:val="0032595A"/>
    <w:rsid w:val="0033212B"/>
    <w:rsid w:val="00333772"/>
    <w:rsid w:val="003432D8"/>
    <w:rsid w:val="00343555"/>
    <w:rsid w:val="003476D9"/>
    <w:rsid w:val="00347A93"/>
    <w:rsid w:val="0035214D"/>
    <w:rsid w:val="003547B9"/>
    <w:rsid w:val="00356C4C"/>
    <w:rsid w:val="00361EF9"/>
    <w:rsid w:val="00362C2A"/>
    <w:rsid w:val="003648E4"/>
    <w:rsid w:val="003651B1"/>
    <w:rsid w:val="0036630F"/>
    <w:rsid w:val="00367E78"/>
    <w:rsid w:val="00372A64"/>
    <w:rsid w:val="003734DF"/>
    <w:rsid w:val="00373AD7"/>
    <w:rsid w:val="00373C05"/>
    <w:rsid w:val="00374D28"/>
    <w:rsid w:val="003807BD"/>
    <w:rsid w:val="00383861"/>
    <w:rsid w:val="0038425C"/>
    <w:rsid w:val="003A05A0"/>
    <w:rsid w:val="003A7B09"/>
    <w:rsid w:val="003B2588"/>
    <w:rsid w:val="003C037F"/>
    <w:rsid w:val="003E5B9A"/>
    <w:rsid w:val="003F0258"/>
    <w:rsid w:val="003F07F3"/>
    <w:rsid w:val="003F18B1"/>
    <w:rsid w:val="003F517E"/>
    <w:rsid w:val="003F6EAF"/>
    <w:rsid w:val="00407A26"/>
    <w:rsid w:val="00407C3C"/>
    <w:rsid w:val="004161C8"/>
    <w:rsid w:val="00416696"/>
    <w:rsid w:val="00416D8B"/>
    <w:rsid w:val="0041778B"/>
    <w:rsid w:val="00422EE1"/>
    <w:rsid w:val="00424CE4"/>
    <w:rsid w:val="00425087"/>
    <w:rsid w:val="00425ED0"/>
    <w:rsid w:val="004264A2"/>
    <w:rsid w:val="0043257C"/>
    <w:rsid w:val="00432E72"/>
    <w:rsid w:val="00435EDC"/>
    <w:rsid w:val="004378BA"/>
    <w:rsid w:val="00440F0A"/>
    <w:rsid w:val="00441158"/>
    <w:rsid w:val="00443064"/>
    <w:rsid w:val="004443F1"/>
    <w:rsid w:val="004469C7"/>
    <w:rsid w:val="004472ED"/>
    <w:rsid w:val="004500FD"/>
    <w:rsid w:val="004520EC"/>
    <w:rsid w:val="00452CB3"/>
    <w:rsid w:val="00452FAB"/>
    <w:rsid w:val="004559AD"/>
    <w:rsid w:val="00457D93"/>
    <w:rsid w:val="00457F14"/>
    <w:rsid w:val="00461CA3"/>
    <w:rsid w:val="00465387"/>
    <w:rsid w:val="004723C3"/>
    <w:rsid w:val="00473507"/>
    <w:rsid w:val="00475177"/>
    <w:rsid w:val="004756FF"/>
    <w:rsid w:val="00477F60"/>
    <w:rsid w:val="004804B4"/>
    <w:rsid w:val="0048444A"/>
    <w:rsid w:val="004852AC"/>
    <w:rsid w:val="004852C4"/>
    <w:rsid w:val="004860DC"/>
    <w:rsid w:val="00493A69"/>
    <w:rsid w:val="00494444"/>
    <w:rsid w:val="004A0297"/>
    <w:rsid w:val="004A0A66"/>
    <w:rsid w:val="004A1DEA"/>
    <w:rsid w:val="004A2C5A"/>
    <w:rsid w:val="004A3EEB"/>
    <w:rsid w:val="004A5E62"/>
    <w:rsid w:val="004A7DE6"/>
    <w:rsid w:val="004B02A5"/>
    <w:rsid w:val="004B580C"/>
    <w:rsid w:val="004B6E4E"/>
    <w:rsid w:val="004B7331"/>
    <w:rsid w:val="004C2625"/>
    <w:rsid w:val="004C4D2F"/>
    <w:rsid w:val="004C6C82"/>
    <w:rsid w:val="004D31AC"/>
    <w:rsid w:val="004D3578"/>
    <w:rsid w:val="004E32A4"/>
    <w:rsid w:val="004E5AD9"/>
    <w:rsid w:val="004E5C54"/>
    <w:rsid w:val="004E62E7"/>
    <w:rsid w:val="004F62FB"/>
    <w:rsid w:val="005021B6"/>
    <w:rsid w:val="0050315F"/>
    <w:rsid w:val="00511D50"/>
    <w:rsid w:val="00516075"/>
    <w:rsid w:val="0052527A"/>
    <w:rsid w:val="00530C8F"/>
    <w:rsid w:val="005315E2"/>
    <w:rsid w:val="00531E46"/>
    <w:rsid w:val="00535EEE"/>
    <w:rsid w:val="00540099"/>
    <w:rsid w:val="005401DA"/>
    <w:rsid w:val="00540D74"/>
    <w:rsid w:val="00543F0C"/>
    <w:rsid w:val="0054413A"/>
    <w:rsid w:val="0054468D"/>
    <w:rsid w:val="0054544A"/>
    <w:rsid w:val="0054583C"/>
    <w:rsid w:val="00561128"/>
    <w:rsid w:val="00561944"/>
    <w:rsid w:val="005664C2"/>
    <w:rsid w:val="005749BF"/>
    <w:rsid w:val="00575F71"/>
    <w:rsid w:val="00576382"/>
    <w:rsid w:val="005838D0"/>
    <w:rsid w:val="00592EEE"/>
    <w:rsid w:val="00597F23"/>
    <w:rsid w:val="005A04FC"/>
    <w:rsid w:val="005A152D"/>
    <w:rsid w:val="005A19BD"/>
    <w:rsid w:val="005A2590"/>
    <w:rsid w:val="005A2D24"/>
    <w:rsid w:val="005A30FD"/>
    <w:rsid w:val="005A3ADB"/>
    <w:rsid w:val="005A71C4"/>
    <w:rsid w:val="005B0D19"/>
    <w:rsid w:val="005B2D41"/>
    <w:rsid w:val="005B3276"/>
    <w:rsid w:val="005B362E"/>
    <w:rsid w:val="005B5595"/>
    <w:rsid w:val="005B7E9C"/>
    <w:rsid w:val="005C0109"/>
    <w:rsid w:val="005C38DA"/>
    <w:rsid w:val="005C5D67"/>
    <w:rsid w:val="005C7E42"/>
    <w:rsid w:val="005D19DA"/>
    <w:rsid w:val="005E1C2B"/>
    <w:rsid w:val="005E71C8"/>
    <w:rsid w:val="005F2A70"/>
    <w:rsid w:val="005F49EE"/>
    <w:rsid w:val="005F5123"/>
    <w:rsid w:val="005F6990"/>
    <w:rsid w:val="005F78B1"/>
    <w:rsid w:val="00601E78"/>
    <w:rsid w:val="00601EF7"/>
    <w:rsid w:val="00605468"/>
    <w:rsid w:val="00625B63"/>
    <w:rsid w:val="006263F4"/>
    <w:rsid w:val="00626624"/>
    <w:rsid w:val="00627139"/>
    <w:rsid w:val="00627646"/>
    <w:rsid w:val="00633775"/>
    <w:rsid w:val="006349FF"/>
    <w:rsid w:val="006351E0"/>
    <w:rsid w:val="00641BEC"/>
    <w:rsid w:val="00643245"/>
    <w:rsid w:val="006469D5"/>
    <w:rsid w:val="00650A58"/>
    <w:rsid w:val="0065176D"/>
    <w:rsid w:val="006520D8"/>
    <w:rsid w:val="006550DA"/>
    <w:rsid w:val="00656782"/>
    <w:rsid w:val="006606B4"/>
    <w:rsid w:val="00663398"/>
    <w:rsid w:val="0066623A"/>
    <w:rsid w:val="00666E99"/>
    <w:rsid w:val="006672D5"/>
    <w:rsid w:val="00670AFA"/>
    <w:rsid w:val="00674E6E"/>
    <w:rsid w:val="00677C31"/>
    <w:rsid w:val="006879C5"/>
    <w:rsid w:val="00687E64"/>
    <w:rsid w:val="0069079F"/>
    <w:rsid w:val="0069441D"/>
    <w:rsid w:val="00697072"/>
    <w:rsid w:val="006A26F4"/>
    <w:rsid w:val="006B39D4"/>
    <w:rsid w:val="006B7E1E"/>
    <w:rsid w:val="006C38BA"/>
    <w:rsid w:val="006C60C9"/>
    <w:rsid w:val="006D0054"/>
    <w:rsid w:val="006D0936"/>
    <w:rsid w:val="006D7A83"/>
    <w:rsid w:val="006E3956"/>
    <w:rsid w:val="006E7E9B"/>
    <w:rsid w:val="006F13E1"/>
    <w:rsid w:val="006F3847"/>
    <w:rsid w:val="006F452D"/>
    <w:rsid w:val="006F4BB9"/>
    <w:rsid w:val="007063EF"/>
    <w:rsid w:val="007068B0"/>
    <w:rsid w:val="00707787"/>
    <w:rsid w:val="00711A9F"/>
    <w:rsid w:val="00714FBB"/>
    <w:rsid w:val="00717D74"/>
    <w:rsid w:val="00721F8D"/>
    <w:rsid w:val="007239A4"/>
    <w:rsid w:val="007240D6"/>
    <w:rsid w:val="0072571C"/>
    <w:rsid w:val="00725891"/>
    <w:rsid w:val="00725C9B"/>
    <w:rsid w:val="00726A0A"/>
    <w:rsid w:val="007301D1"/>
    <w:rsid w:val="00731A5E"/>
    <w:rsid w:val="007408E5"/>
    <w:rsid w:val="007504F6"/>
    <w:rsid w:val="0075184C"/>
    <w:rsid w:val="00752500"/>
    <w:rsid w:val="00752C13"/>
    <w:rsid w:val="00753983"/>
    <w:rsid w:val="0075427E"/>
    <w:rsid w:val="0075655B"/>
    <w:rsid w:val="00757FE6"/>
    <w:rsid w:val="00761311"/>
    <w:rsid w:val="007623BC"/>
    <w:rsid w:val="007628FC"/>
    <w:rsid w:val="00763B0C"/>
    <w:rsid w:val="007646CA"/>
    <w:rsid w:val="00765B40"/>
    <w:rsid w:val="00781304"/>
    <w:rsid w:val="00783D18"/>
    <w:rsid w:val="00783DEF"/>
    <w:rsid w:val="00784929"/>
    <w:rsid w:val="00784C3E"/>
    <w:rsid w:val="0079110E"/>
    <w:rsid w:val="00791488"/>
    <w:rsid w:val="00791C27"/>
    <w:rsid w:val="00792087"/>
    <w:rsid w:val="00792CCB"/>
    <w:rsid w:val="00793AE1"/>
    <w:rsid w:val="0079423F"/>
    <w:rsid w:val="007971CE"/>
    <w:rsid w:val="007A67F3"/>
    <w:rsid w:val="007A7E25"/>
    <w:rsid w:val="007B0AE7"/>
    <w:rsid w:val="007B3BFE"/>
    <w:rsid w:val="007C042A"/>
    <w:rsid w:val="007C593C"/>
    <w:rsid w:val="007C6090"/>
    <w:rsid w:val="007C7046"/>
    <w:rsid w:val="007D01C2"/>
    <w:rsid w:val="007D292F"/>
    <w:rsid w:val="007D2F15"/>
    <w:rsid w:val="007D3EBF"/>
    <w:rsid w:val="007D400C"/>
    <w:rsid w:val="007E1BD5"/>
    <w:rsid w:val="007E2496"/>
    <w:rsid w:val="007E4E7D"/>
    <w:rsid w:val="007E59A7"/>
    <w:rsid w:val="007F0F78"/>
    <w:rsid w:val="007F1C30"/>
    <w:rsid w:val="007F5F1A"/>
    <w:rsid w:val="007F7B65"/>
    <w:rsid w:val="007F7F08"/>
    <w:rsid w:val="008021B2"/>
    <w:rsid w:val="00802B5E"/>
    <w:rsid w:val="00803C02"/>
    <w:rsid w:val="00804268"/>
    <w:rsid w:val="0080451F"/>
    <w:rsid w:val="0080755B"/>
    <w:rsid w:val="00811740"/>
    <w:rsid w:val="008119D8"/>
    <w:rsid w:val="008131C5"/>
    <w:rsid w:val="00820188"/>
    <w:rsid w:val="00821F53"/>
    <w:rsid w:val="00825DCC"/>
    <w:rsid w:val="00826352"/>
    <w:rsid w:val="00827824"/>
    <w:rsid w:val="008328D1"/>
    <w:rsid w:val="00834FF2"/>
    <w:rsid w:val="0084311D"/>
    <w:rsid w:val="00843E6B"/>
    <w:rsid w:val="008539AE"/>
    <w:rsid w:val="00862B11"/>
    <w:rsid w:val="00864416"/>
    <w:rsid w:val="008662B0"/>
    <w:rsid w:val="00867002"/>
    <w:rsid w:val="0087085A"/>
    <w:rsid w:val="00875C64"/>
    <w:rsid w:val="00875E19"/>
    <w:rsid w:val="00876140"/>
    <w:rsid w:val="0088225A"/>
    <w:rsid w:val="008921C4"/>
    <w:rsid w:val="00892230"/>
    <w:rsid w:val="00896138"/>
    <w:rsid w:val="0089650D"/>
    <w:rsid w:val="00896EB2"/>
    <w:rsid w:val="00897355"/>
    <w:rsid w:val="00897969"/>
    <w:rsid w:val="00897BE1"/>
    <w:rsid w:val="008A012E"/>
    <w:rsid w:val="008A52B6"/>
    <w:rsid w:val="008A7301"/>
    <w:rsid w:val="008B6E8F"/>
    <w:rsid w:val="008C055D"/>
    <w:rsid w:val="008C2D66"/>
    <w:rsid w:val="008D0126"/>
    <w:rsid w:val="008D0BF7"/>
    <w:rsid w:val="008D12EB"/>
    <w:rsid w:val="008D1C5A"/>
    <w:rsid w:val="008D33A4"/>
    <w:rsid w:val="008D3E04"/>
    <w:rsid w:val="008D565C"/>
    <w:rsid w:val="008D6F7B"/>
    <w:rsid w:val="008E7569"/>
    <w:rsid w:val="008F0D9F"/>
    <w:rsid w:val="008F14E4"/>
    <w:rsid w:val="008F1E48"/>
    <w:rsid w:val="008F398D"/>
    <w:rsid w:val="008F4043"/>
    <w:rsid w:val="008F4238"/>
    <w:rsid w:val="008F4CB0"/>
    <w:rsid w:val="00904FB4"/>
    <w:rsid w:val="009057C4"/>
    <w:rsid w:val="00907D12"/>
    <w:rsid w:val="00910D00"/>
    <w:rsid w:val="0091309B"/>
    <w:rsid w:val="009142E1"/>
    <w:rsid w:val="00921052"/>
    <w:rsid w:val="0092183E"/>
    <w:rsid w:val="009258E5"/>
    <w:rsid w:val="00926548"/>
    <w:rsid w:val="00930E4B"/>
    <w:rsid w:val="00933A7E"/>
    <w:rsid w:val="009359E2"/>
    <w:rsid w:val="0094010C"/>
    <w:rsid w:val="009402E4"/>
    <w:rsid w:val="0094283C"/>
    <w:rsid w:val="00946589"/>
    <w:rsid w:val="009473A6"/>
    <w:rsid w:val="00950E16"/>
    <w:rsid w:val="00952388"/>
    <w:rsid w:val="00954369"/>
    <w:rsid w:val="0095616A"/>
    <w:rsid w:val="009564FE"/>
    <w:rsid w:val="00962936"/>
    <w:rsid w:val="00962EB1"/>
    <w:rsid w:val="00970C90"/>
    <w:rsid w:val="00977941"/>
    <w:rsid w:val="00981A6F"/>
    <w:rsid w:val="00982F2A"/>
    <w:rsid w:val="00983C0A"/>
    <w:rsid w:val="00991145"/>
    <w:rsid w:val="00996471"/>
    <w:rsid w:val="00997782"/>
    <w:rsid w:val="009A3A01"/>
    <w:rsid w:val="009B4ECA"/>
    <w:rsid w:val="009B6214"/>
    <w:rsid w:val="009B64BB"/>
    <w:rsid w:val="009B6EC5"/>
    <w:rsid w:val="009C3A16"/>
    <w:rsid w:val="009C44FD"/>
    <w:rsid w:val="009C672B"/>
    <w:rsid w:val="009D7C62"/>
    <w:rsid w:val="009E0BA9"/>
    <w:rsid w:val="009E1FE3"/>
    <w:rsid w:val="009E4120"/>
    <w:rsid w:val="009E444C"/>
    <w:rsid w:val="009E5A17"/>
    <w:rsid w:val="009E5F12"/>
    <w:rsid w:val="009F239C"/>
    <w:rsid w:val="009F6B76"/>
    <w:rsid w:val="00A02EAF"/>
    <w:rsid w:val="00A1410C"/>
    <w:rsid w:val="00A23E00"/>
    <w:rsid w:val="00A24B10"/>
    <w:rsid w:val="00A2671E"/>
    <w:rsid w:val="00A26D6F"/>
    <w:rsid w:val="00A31A8B"/>
    <w:rsid w:val="00A328A0"/>
    <w:rsid w:val="00A32EDA"/>
    <w:rsid w:val="00A3578F"/>
    <w:rsid w:val="00A40C5C"/>
    <w:rsid w:val="00A41AEE"/>
    <w:rsid w:val="00A42651"/>
    <w:rsid w:val="00A44016"/>
    <w:rsid w:val="00A51DEC"/>
    <w:rsid w:val="00A569E7"/>
    <w:rsid w:val="00A6055F"/>
    <w:rsid w:val="00A62738"/>
    <w:rsid w:val="00A63604"/>
    <w:rsid w:val="00A65071"/>
    <w:rsid w:val="00A6593D"/>
    <w:rsid w:val="00A672D7"/>
    <w:rsid w:val="00A707BA"/>
    <w:rsid w:val="00A70EB4"/>
    <w:rsid w:val="00A73A68"/>
    <w:rsid w:val="00A74195"/>
    <w:rsid w:val="00A74B2E"/>
    <w:rsid w:val="00A76BB0"/>
    <w:rsid w:val="00A7721D"/>
    <w:rsid w:val="00A80AFC"/>
    <w:rsid w:val="00A82606"/>
    <w:rsid w:val="00A83D46"/>
    <w:rsid w:val="00A84344"/>
    <w:rsid w:val="00A879BD"/>
    <w:rsid w:val="00A90B63"/>
    <w:rsid w:val="00A924A8"/>
    <w:rsid w:val="00AA05BC"/>
    <w:rsid w:val="00AA52EB"/>
    <w:rsid w:val="00AA7849"/>
    <w:rsid w:val="00AB0FF1"/>
    <w:rsid w:val="00AB1E5E"/>
    <w:rsid w:val="00AB4738"/>
    <w:rsid w:val="00AB5BD0"/>
    <w:rsid w:val="00AC3664"/>
    <w:rsid w:val="00AC55F6"/>
    <w:rsid w:val="00AD2C10"/>
    <w:rsid w:val="00AD2CD9"/>
    <w:rsid w:val="00AD53F5"/>
    <w:rsid w:val="00AD6BC1"/>
    <w:rsid w:val="00AE0997"/>
    <w:rsid w:val="00AE25F2"/>
    <w:rsid w:val="00AE5877"/>
    <w:rsid w:val="00AE62F2"/>
    <w:rsid w:val="00AF00BD"/>
    <w:rsid w:val="00AF1DA3"/>
    <w:rsid w:val="00AF281C"/>
    <w:rsid w:val="00AF34C2"/>
    <w:rsid w:val="00B0168C"/>
    <w:rsid w:val="00B043A9"/>
    <w:rsid w:val="00B05C27"/>
    <w:rsid w:val="00B1158B"/>
    <w:rsid w:val="00B13F7E"/>
    <w:rsid w:val="00B210BD"/>
    <w:rsid w:val="00B21998"/>
    <w:rsid w:val="00B32860"/>
    <w:rsid w:val="00B36CC4"/>
    <w:rsid w:val="00B41652"/>
    <w:rsid w:val="00B42C27"/>
    <w:rsid w:val="00B44E44"/>
    <w:rsid w:val="00B45292"/>
    <w:rsid w:val="00B455C0"/>
    <w:rsid w:val="00B53B61"/>
    <w:rsid w:val="00B55FC5"/>
    <w:rsid w:val="00B62631"/>
    <w:rsid w:val="00B64830"/>
    <w:rsid w:val="00B70F1A"/>
    <w:rsid w:val="00B7172F"/>
    <w:rsid w:val="00B726A0"/>
    <w:rsid w:val="00B73277"/>
    <w:rsid w:val="00B82165"/>
    <w:rsid w:val="00B824B4"/>
    <w:rsid w:val="00B83713"/>
    <w:rsid w:val="00B90C03"/>
    <w:rsid w:val="00B92B9D"/>
    <w:rsid w:val="00B943ED"/>
    <w:rsid w:val="00B971FE"/>
    <w:rsid w:val="00BA5651"/>
    <w:rsid w:val="00BA606D"/>
    <w:rsid w:val="00BB127A"/>
    <w:rsid w:val="00BB1290"/>
    <w:rsid w:val="00BB297A"/>
    <w:rsid w:val="00BB4D84"/>
    <w:rsid w:val="00BD0D53"/>
    <w:rsid w:val="00BD28D1"/>
    <w:rsid w:val="00BD56D0"/>
    <w:rsid w:val="00BD6960"/>
    <w:rsid w:val="00BE10ED"/>
    <w:rsid w:val="00BE207C"/>
    <w:rsid w:val="00BE3351"/>
    <w:rsid w:val="00BE79FD"/>
    <w:rsid w:val="00BF6C99"/>
    <w:rsid w:val="00C01A3D"/>
    <w:rsid w:val="00C058E1"/>
    <w:rsid w:val="00C06264"/>
    <w:rsid w:val="00C07266"/>
    <w:rsid w:val="00C11228"/>
    <w:rsid w:val="00C129D4"/>
    <w:rsid w:val="00C30B07"/>
    <w:rsid w:val="00C5035E"/>
    <w:rsid w:val="00C56618"/>
    <w:rsid w:val="00C623FE"/>
    <w:rsid w:val="00C63CD3"/>
    <w:rsid w:val="00C6572E"/>
    <w:rsid w:val="00C67D65"/>
    <w:rsid w:val="00C72AA4"/>
    <w:rsid w:val="00C73A77"/>
    <w:rsid w:val="00C77462"/>
    <w:rsid w:val="00C77DB6"/>
    <w:rsid w:val="00C81796"/>
    <w:rsid w:val="00C8241D"/>
    <w:rsid w:val="00C85319"/>
    <w:rsid w:val="00C8748B"/>
    <w:rsid w:val="00C90295"/>
    <w:rsid w:val="00C911D0"/>
    <w:rsid w:val="00C9135B"/>
    <w:rsid w:val="00C94F64"/>
    <w:rsid w:val="00C97C99"/>
    <w:rsid w:val="00CA1A4D"/>
    <w:rsid w:val="00CA4EC6"/>
    <w:rsid w:val="00CA5A4F"/>
    <w:rsid w:val="00CA5DA4"/>
    <w:rsid w:val="00CA6384"/>
    <w:rsid w:val="00CA6DC8"/>
    <w:rsid w:val="00CB04D2"/>
    <w:rsid w:val="00CB1BBF"/>
    <w:rsid w:val="00CB4004"/>
    <w:rsid w:val="00CB539C"/>
    <w:rsid w:val="00CB583E"/>
    <w:rsid w:val="00CC0759"/>
    <w:rsid w:val="00CC4633"/>
    <w:rsid w:val="00CC5E86"/>
    <w:rsid w:val="00CD01E6"/>
    <w:rsid w:val="00CD2403"/>
    <w:rsid w:val="00CD2FC1"/>
    <w:rsid w:val="00CD3581"/>
    <w:rsid w:val="00CE10AA"/>
    <w:rsid w:val="00CE12DB"/>
    <w:rsid w:val="00CE4959"/>
    <w:rsid w:val="00CE6BBD"/>
    <w:rsid w:val="00CF2803"/>
    <w:rsid w:val="00CF4562"/>
    <w:rsid w:val="00CF47ED"/>
    <w:rsid w:val="00CF4F39"/>
    <w:rsid w:val="00D076ED"/>
    <w:rsid w:val="00D109DF"/>
    <w:rsid w:val="00D10F1B"/>
    <w:rsid w:val="00D110A0"/>
    <w:rsid w:val="00D126AB"/>
    <w:rsid w:val="00D12E4B"/>
    <w:rsid w:val="00D21642"/>
    <w:rsid w:val="00D21F01"/>
    <w:rsid w:val="00D33267"/>
    <w:rsid w:val="00D5122D"/>
    <w:rsid w:val="00D55A33"/>
    <w:rsid w:val="00D5776F"/>
    <w:rsid w:val="00D60D6E"/>
    <w:rsid w:val="00D6341F"/>
    <w:rsid w:val="00D63F1C"/>
    <w:rsid w:val="00D67BE0"/>
    <w:rsid w:val="00D71196"/>
    <w:rsid w:val="00D716CD"/>
    <w:rsid w:val="00D80D18"/>
    <w:rsid w:val="00D82DDE"/>
    <w:rsid w:val="00D94475"/>
    <w:rsid w:val="00D9479F"/>
    <w:rsid w:val="00D96406"/>
    <w:rsid w:val="00DA1660"/>
    <w:rsid w:val="00DA18A2"/>
    <w:rsid w:val="00DA3A6E"/>
    <w:rsid w:val="00DA5AAC"/>
    <w:rsid w:val="00DA61F2"/>
    <w:rsid w:val="00DA679D"/>
    <w:rsid w:val="00DA7A18"/>
    <w:rsid w:val="00DB0DDD"/>
    <w:rsid w:val="00DB1C44"/>
    <w:rsid w:val="00DB1D36"/>
    <w:rsid w:val="00DB6C54"/>
    <w:rsid w:val="00DC3551"/>
    <w:rsid w:val="00DC646E"/>
    <w:rsid w:val="00DC7066"/>
    <w:rsid w:val="00DD0AF8"/>
    <w:rsid w:val="00DD1E55"/>
    <w:rsid w:val="00DD22DA"/>
    <w:rsid w:val="00DE24BF"/>
    <w:rsid w:val="00DE2AD7"/>
    <w:rsid w:val="00DE4911"/>
    <w:rsid w:val="00DE5319"/>
    <w:rsid w:val="00DE6048"/>
    <w:rsid w:val="00DE7DD9"/>
    <w:rsid w:val="00DF4636"/>
    <w:rsid w:val="00DF66A9"/>
    <w:rsid w:val="00DF7D09"/>
    <w:rsid w:val="00E00E79"/>
    <w:rsid w:val="00E0294A"/>
    <w:rsid w:val="00E05277"/>
    <w:rsid w:val="00E11A22"/>
    <w:rsid w:val="00E11E1F"/>
    <w:rsid w:val="00E12BB5"/>
    <w:rsid w:val="00E1612D"/>
    <w:rsid w:val="00E16E9D"/>
    <w:rsid w:val="00E23144"/>
    <w:rsid w:val="00E24300"/>
    <w:rsid w:val="00E31028"/>
    <w:rsid w:val="00E32501"/>
    <w:rsid w:val="00E341A2"/>
    <w:rsid w:val="00E41006"/>
    <w:rsid w:val="00E41E6E"/>
    <w:rsid w:val="00E422F5"/>
    <w:rsid w:val="00E43B56"/>
    <w:rsid w:val="00E443D3"/>
    <w:rsid w:val="00E465D8"/>
    <w:rsid w:val="00E55CF9"/>
    <w:rsid w:val="00E568EC"/>
    <w:rsid w:val="00E5716D"/>
    <w:rsid w:val="00E57AD9"/>
    <w:rsid w:val="00E57CBD"/>
    <w:rsid w:val="00E60728"/>
    <w:rsid w:val="00E61E33"/>
    <w:rsid w:val="00E61F04"/>
    <w:rsid w:val="00E61F40"/>
    <w:rsid w:val="00E6311E"/>
    <w:rsid w:val="00E641BF"/>
    <w:rsid w:val="00E66C97"/>
    <w:rsid w:val="00E676EF"/>
    <w:rsid w:val="00E6781A"/>
    <w:rsid w:val="00E709F0"/>
    <w:rsid w:val="00E720E3"/>
    <w:rsid w:val="00E721E7"/>
    <w:rsid w:val="00E77535"/>
    <w:rsid w:val="00E81ECD"/>
    <w:rsid w:val="00E867FA"/>
    <w:rsid w:val="00E95451"/>
    <w:rsid w:val="00EA4065"/>
    <w:rsid w:val="00EA4400"/>
    <w:rsid w:val="00EA757A"/>
    <w:rsid w:val="00EA7AE4"/>
    <w:rsid w:val="00EB5246"/>
    <w:rsid w:val="00EB64C0"/>
    <w:rsid w:val="00EB6E02"/>
    <w:rsid w:val="00EC149A"/>
    <w:rsid w:val="00EC23C6"/>
    <w:rsid w:val="00EC5B61"/>
    <w:rsid w:val="00EC6092"/>
    <w:rsid w:val="00ED2044"/>
    <w:rsid w:val="00ED431A"/>
    <w:rsid w:val="00ED5153"/>
    <w:rsid w:val="00ED6682"/>
    <w:rsid w:val="00ED76CF"/>
    <w:rsid w:val="00EE10F9"/>
    <w:rsid w:val="00EE1EC6"/>
    <w:rsid w:val="00EE1FC3"/>
    <w:rsid w:val="00EE5418"/>
    <w:rsid w:val="00EE7677"/>
    <w:rsid w:val="00EE7866"/>
    <w:rsid w:val="00EF2A85"/>
    <w:rsid w:val="00EF4204"/>
    <w:rsid w:val="00EF5977"/>
    <w:rsid w:val="00EF77CA"/>
    <w:rsid w:val="00F00AA3"/>
    <w:rsid w:val="00F00D56"/>
    <w:rsid w:val="00F020B9"/>
    <w:rsid w:val="00F020C8"/>
    <w:rsid w:val="00F02EFA"/>
    <w:rsid w:val="00F05D92"/>
    <w:rsid w:val="00F06C44"/>
    <w:rsid w:val="00F10AE7"/>
    <w:rsid w:val="00F10CB7"/>
    <w:rsid w:val="00F10E83"/>
    <w:rsid w:val="00F11549"/>
    <w:rsid w:val="00F12180"/>
    <w:rsid w:val="00F14985"/>
    <w:rsid w:val="00F17365"/>
    <w:rsid w:val="00F175E7"/>
    <w:rsid w:val="00F20297"/>
    <w:rsid w:val="00F2057A"/>
    <w:rsid w:val="00F35597"/>
    <w:rsid w:val="00F36762"/>
    <w:rsid w:val="00F37593"/>
    <w:rsid w:val="00F44CB5"/>
    <w:rsid w:val="00F4606C"/>
    <w:rsid w:val="00F55D2C"/>
    <w:rsid w:val="00F5646F"/>
    <w:rsid w:val="00F565DF"/>
    <w:rsid w:val="00F6076C"/>
    <w:rsid w:val="00F60AB5"/>
    <w:rsid w:val="00F67709"/>
    <w:rsid w:val="00F71A41"/>
    <w:rsid w:val="00F813CB"/>
    <w:rsid w:val="00F82C58"/>
    <w:rsid w:val="00F847C4"/>
    <w:rsid w:val="00F8488C"/>
    <w:rsid w:val="00F930CE"/>
    <w:rsid w:val="00F94D44"/>
    <w:rsid w:val="00F96525"/>
    <w:rsid w:val="00FA28B7"/>
    <w:rsid w:val="00FA2D87"/>
    <w:rsid w:val="00FA3A4F"/>
    <w:rsid w:val="00FA463D"/>
    <w:rsid w:val="00FB0D80"/>
    <w:rsid w:val="00FB5E0A"/>
    <w:rsid w:val="00FB767C"/>
    <w:rsid w:val="00FC25D9"/>
    <w:rsid w:val="00FC5E13"/>
    <w:rsid w:val="00FC6FBF"/>
    <w:rsid w:val="00FC7446"/>
    <w:rsid w:val="00FC76CB"/>
    <w:rsid w:val="00FD4233"/>
    <w:rsid w:val="00FD7994"/>
    <w:rsid w:val="00FE2481"/>
    <w:rsid w:val="00FE4403"/>
    <w:rsid w:val="00FE61B1"/>
    <w:rsid w:val="00FE7283"/>
    <w:rsid w:val="00FF0DE8"/>
    <w:rsid w:val="00FF0E08"/>
    <w:rsid w:val="00FF2149"/>
    <w:rsid w:val="00FF5A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8209130-0000-4631-A190-FBB384B66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eueLT Std" w:eastAsiaTheme="minorHAnsi" w:hAnsi="HelveticaNeueLT Std" w:cstheme="minorBidi"/>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FF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12B"/>
  </w:style>
  <w:style w:type="paragraph" w:styleId="Piedepgina">
    <w:name w:val="footer"/>
    <w:basedOn w:val="Normal"/>
    <w:link w:val="PiedepginaCar"/>
    <w:uiPriority w:val="99"/>
    <w:unhideWhenUsed/>
    <w:rsid w:val="00332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12B"/>
  </w:style>
  <w:style w:type="paragraph" w:styleId="Prrafodelista">
    <w:name w:val="List Paragraph"/>
    <w:basedOn w:val="Normal"/>
    <w:uiPriority w:val="34"/>
    <w:qFormat/>
    <w:rsid w:val="00834FF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834FF2"/>
    <w:pPr>
      <w:spacing w:after="101" w:line="216" w:lineRule="exact"/>
      <w:ind w:firstLine="288"/>
      <w:jc w:val="both"/>
    </w:pPr>
    <w:rPr>
      <w:rFonts w:ascii="Arial" w:eastAsia="Times New Roman" w:hAnsi="Arial" w:cs="Arial"/>
      <w:sz w:val="18"/>
      <w:lang w:val="es-ES" w:eastAsia="es-ES"/>
    </w:rPr>
  </w:style>
  <w:style w:type="character" w:customStyle="1" w:styleId="TextoCar">
    <w:name w:val="Texto Car"/>
    <w:link w:val="Texto"/>
    <w:locked/>
    <w:rsid w:val="00834FF2"/>
    <w:rPr>
      <w:rFonts w:ascii="Arial" w:eastAsia="Times New Roman" w:hAnsi="Arial" w:cs="Arial"/>
      <w:sz w:val="18"/>
      <w:szCs w:val="20"/>
      <w:lang w:val="es-ES" w:eastAsia="es-ES"/>
    </w:rPr>
  </w:style>
  <w:style w:type="character" w:styleId="Hipervnculo">
    <w:name w:val="Hyperlink"/>
    <w:uiPriority w:val="99"/>
    <w:unhideWhenUsed/>
    <w:rsid w:val="00834FF2"/>
    <w:rPr>
      <w:color w:val="0000FF"/>
      <w:u w:val="single"/>
    </w:rPr>
  </w:style>
  <w:style w:type="table" w:styleId="Tablaconcuadrcula">
    <w:name w:val="Table Grid"/>
    <w:basedOn w:val="Tablanormal"/>
    <w:rsid w:val="00834FF2"/>
    <w:pPr>
      <w:spacing w:after="0" w:line="240" w:lineRule="auto"/>
    </w:pPr>
    <w:rPr>
      <w:rFonts w:ascii="Cambria" w:eastAsia="MS Mincho" w:hAnsi="Cambria" w:cs="Calibri"/>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400"/>
    <w:rPr>
      <w:rFonts w:ascii="Segoe UI" w:hAnsi="Segoe UI" w:cs="Segoe UI"/>
      <w:sz w:val="18"/>
      <w:szCs w:val="18"/>
    </w:rPr>
  </w:style>
  <w:style w:type="character" w:styleId="Hipervnculovisitado">
    <w:name w:val="FollowedHyperlink"/>
    <w:basedOn w:val="Fuentedeprrafopredeter"/>
    <w:uiPriority w:val="99"/>
    <w:semiHidden/>
    <w:unhideWhenUsed/>
    <w:rsid w:val="00725891"/>
    <w:rPr>
      <w:color w:val="954F72" w:themeColor="followedHyperlink"/>
      <w:u w:val="single"/>
    </w:rPr>
  </w:style>
  <w:style w:type="character" w:styleId="Refdecomentario">
    <w:name w:val="annotation reference"/>
    <w:basedOn w:val="Fuentedeprrafopredeter"/>
    <w:uiPriority w:val="99"/>
    <w:semiHidden/>
    <w:unhideWhenUsed/>
    <w:rsid w:val="000405AF"/>
    <w:rPr>
      <w:sz w:val="16"/>
      <w:szCs w:val="16"/>
    </w:rPr>
  </w:style>
  <w:style w:type="paragraph" w:styleId="Textocomentario">
    <w:name w:val="annotation text"/>
    <w:basedOn w:val="Normal"/>
    <w:link w:val="TextocomentarioCar"/>
    <w:uiPriority w:val="99"/>
    <w:semiHidden/>
    <w:unhideWhenUsed/>
    <w:rsid w:val="000405AF"/>
    <w:pPr>
      <w:spacing w:line="240" w:lineRule="auto"/>
    </w:pPr>
  </w:style>
  <w:style w:type="character" w:customStyle="1" w:styleId="TextocomentarioCar">
    <w:name w:val="Texto comentario Car"/>
    <w:basedOn w:val="Fuentedeprrafopredeter"/>
    <w:link w:val="Textocomentario"/>
    <w:uiPriority w:val="99"/>
    <w:semiHidden/>
    <w:rsid w:val="000405AF"/>
  </w:style>
  <w:style w:type="paragraph" w:styleId="Asuntodelcomentario">
    <w:name w:val="annotation subject"/>
    <w:basedOn w:val="Textocomentario"/>
    <w:next w:val="Textocomentario"/>
    <w:link w:val="AsuntodelcomentarioCar"/>
    <w:uiPriority w:val="99"/>
    <w:semiHidden/>
    <w:unhideWhenUsed/>
    <w:rsid w:val="000405AF"/>
    <w:rPr>
      <w:b/>
      <w:bCs/>
    </w:rPr>
  </w:style>
  <w:style w:type="character" w:customStyle="1" w:styleId="AsuntodelcomentarioCar">
    <w:name w:val="Asunto del comentario Car"/>
    <w:basedOn w:val="TextocomentarioCar"/>
    <w:link w:val="Asuntodelcomentario"/>
    <w:uiPriority w:val="99"/>
    <w:semiHidden/>
    <w:rsid w:val="000405AF"/>
    <w:rPr>
      <w:b/>
      <w:bCs/>
    </w:rPr>
  </w:style>
  <w:style w:type="paragraph" w:styleId="Sinespaciado">
    <w:name w:val="No Spacing"/>
    <w:uiPriority w:val="1"/>
    <w:qFormat/>
    <w:rsid w:val="00F175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26179">
      <w:bodyDiv w:val="1"/>
      <w:marLeft w:val="0"/>
      <w:marRight w:val="0"/>
      <w:marTop w:val="0"/>
      <w:marBottom w:val="0"/>
      <w:divBdr>
        <w:top w:val="none" w:sz="0" w:space="0" w:color="auto"/>
        <w:left w:val="none" w:sz="0" w:space="0" w:color="auto"/>
        <w:bottom w:val="none" w:sz="0" w:space="0" w:color="auto"/>
        <w:right w:val="none" w:sz="0" w:space="0" w:color="auto"/>
      </w:divBdr>
    </w:div>
    <w:div w:id="507908073">
      <w:bodyDiv w:val="1"/>
      <w:marLeft w:val="0"/>
      <w:marRight w:val="0"/>
      <w:marTop w:val="0"/>
      <w:marBottom w:val="0"/>
      <w:divBdr>
        <w:top w:val="none" w:sz="0" w:space="0" w:color="auto"/>
        <w:left w:val="none" w:sz="0" w:space="0" w:color="auto"/>
        <w:bottom w:val="none" w:sz="0" w:space="0" w:color="auto"/>
        <w:right w:val="none" w:sz="0" w:space="0" w:color="auto"/>
      </w:divBdr>
    </w:div>
    <w:div w:id="599489159">
      <w:bodyDiv w:val="1"/>
      <w:marLeft w:val="0"/>
      <w:marRight w:val="0"/>
      <w:marTop w:val="0"/>
      <w:marBottom w:val="0"/>
      <w:divBdr>
        <w:top w:val="none" w:sz="0" w:space="0" w:color="auto"/>
        <w:left w:val="none" w:sz="0" w:space="0" w:color="auto"/>
        <w:bottom w:val="none" w:sz="0" w:space="0" w:color="auto"/>
        <w:right w:val="none" w:sz="0" w:space="0" w:color="auto"/>
      </w:divBdr>
    </w:div>
    <w:div w:id="605507645">
      <w:bodyDiv w:val="1"/>
      <w:marLeft w:val="0"/>
      <w:marRight w:val="0"/>
      <w:marTop w:val="0"/>
      <w:marBottom w:val="0"/>
      <w:divBdr>
        <w:top w:val="none" w:sz="0" w:space="0" w:color="auto"/>
        <w:left w:val="none" w:sz="0" w:space="0" w:color="auto"/>
        <w:bottom w:val="none" w:sz="0" w:space="0" w:color="auto"/>
        <w:right w:val="none" w:sz="0" w:space="0" w:color="auto"/>
      </w:divBdr>
    </w:div>
    <w:div w:id="660696603">
      <w:bodyDiv w:val="1"/>
      <w:marLeft w:val="0"/>
      <w:marRight w:val="0"/>
      <w:marTop w:val="0"/>
      <w:marBottom w:val="0"/>
      <w:divBdr>
        <w:top w:val="none" w:sz="0" w:space="0" w:color="auto"/>
        <w:left w:val="none" w:sz="0" w:space="0" w:color="auto"/>
        <w:bottom w:val="none" w:sz="0" w:space="0" w:color="auto"/>
        <w:right w:val="none" w:sz="0" w:space="0" w:color="auto"/>
      </w:divBdr>
    </w:div>
    <w:div w:id="703289282">
      <w:bodyDiv w:val="1"/>
      <w:marLeft w:val="0"/>
      <w:marRight w:val="0"/>
      <w:marTop w:val="0"/>
      <w:marBottom w:val="0"/>
      <w:divBdr>
        <w:top w:val="none" w:sz="0" w:space="0" w:color="auto"/>
        <w:left w:val="none" w:sz="0" w:space="0" w:color="auto"/>
        <w:bottom w:val="none" w:sz="0" w:space="0" w:color="auto"/>
        <w:right w:val="none" w:sz="0" w:space="0" w:color="auto"/>
      </w:divBdr>
    </w:div>
    <w:div w:id="835389165">
      <w:bodyDiv w:val="1"/>
      <w:marLeft w:val="0"/>
      <w:marRight w:val="0"/>
      <w:marTop w:val="0"/>
      <w:marBottom w:val="0"/>
      <w:divBdr>
        <w:top w:val="none" w:sz="0" w:space="0" w:color="auto"/>
        <w:left w:val="none" w:sz="0" w:space="0" w:color="auto"/>
        <w:bottom w:val="none" w:sz="0" w:space="0" w:color="auto"/>
        <w:right w:val="none" w:sz="0" w:space="0" w:color="auto"/>
      </w:divBdr>
    </w:div>
    <w:div w:id="911886831">
      <w:bodyDiv w:val="1"/>
      <w:marLeft w:val="0"/>
      <w:marRight w:val="0"/>
      <w:marTop w:val="0"/>
      <w:marBottom w:val="0"/>
      <w:divBdr>
        <w:top w:val="none" w:sz="0" w:space="0" w:color="auto"/>
        <w:left w:val="none" w:sz="0" w:space="0" w:color="auto"/>
        <w:bottom w:val="none" w:sz="0" w:space="0" w:color="auto"/>
        <w:right w:val="none" w:sz="0" w:space="0" w:color="auto"/>
      </w:divBdr>
    </w:div>
    <w:div w:id="936253678">
      <w:bodyDiv w:val="1"/>
      <w:marLeft w:val="0"/>
      <w:marRight w:val="0"/>
      <w:marTop w:val="0"/>
      <w:marBottom w:val="0"/>
      <w:divBdr>
        <w:top w:val="none" w:sz="0" w:space="0" w:color="auto"/>
        <w:left w:val="none" w:sz="0" w:space="0" w:color="auto"/>
        <w:bottom w:val="none" w:sz="0" w:space="0" w:color="auto"/>
        <w:right w:val="none" w:sz="0" w:space="0" w:color="auto"/>
      </w:divBdr>
    </w:div>
    <w:div w:id="1052463663">
      <w:bodyDiv w:val="1"/>
      <w:marLeft w:val="0"/>
      <w:marRight w:val="0"/>
      <w:marTop w:val="0"/>
      <w:marBottom w:val="0"/>
      <w:divBdr>
        <w:top w:val="none" w:sz="0" w:space="0" w:color="auto"/>
        <w:left w:val="none" w:sz="0" w:space="0" w:color="auto"/>
        <w:bottom w:val="none" w:sz="0" w:space="0" w:color="auto"/>
        <w:right w:val="none" w:sz="0" w:space="0" w:color="auto"/>
      </w:divBdr>
    </w:div>
    <w:div w:id="1097288488">
      <w:bodyDiv w:val="1"/>
      <w:marLeft w:val="0"/>
      <w:marRight w:val="0"/>
      <w:marTop w:val="0"/>
      <w:marBottom w:val="0"/>
      <w:divBdr>
        <w:top w:val="none" w:sz="0" w:space="0" w:color="auto"/>
        <w:left w:val="none" w:sz="0" w:space="0" w:color="auto"/>
        <w:bottom w:val="none" w:sz="0" w:space="0" w:color="auto"/>
        <w:right w:val="none" w:sz="0" w:space="0" w:color="auto"/>
      </w:divBdr>
    </w:div>
    <w:div w:id="1099446016">
      <w:bodyDiv w:val="1"/>
      <w:marLeft w:val="0"/>
      <w:marRight w:val="0"/>
      <w:marTop w:val="0"/>
      <w:marBottom w:val="0"/>
      <w:divBdr>
        <w:top w:val="none" w:sz="0" w:space="0" w:color="auto"/>
        <w:left w:val="none" w:sz="0" w:space="0" w:color="auto"/>
        <w:bottom w:val="none" w:sz="0" w:space="0" w:color="auto"/>
        <w:right w:val="none" w:sz="0" w:space="0" w:color="auto"/>
      </w:divBdr>
    </w:div>
    <w:div w:id="1104156136">
      <w:bodyDiv w:val="1"/>
      <w:marLeft w:val="0"/>
      <w:marRight w:val="0"/>
      <w:marTop w:val="0"/>
      <w:marBottom w:val="0"/>
      <w:divBdr>
        <w:top w:val="none" w:sz="0" w:space="0" w:color="auto"/>
        <w:left w:val="none" w:sz="0" w:space="0" w:color="auto"/>
        <w:bottom w:val="none" w:sz="0" w:space="0" w:color="auto"/>
        <w:right w:val="none" w:sz="0" w:space="0" w:color="auto"/>
      </w:divBdr>
    </w:div>
    <w:div w:id="1247156157">
      <w:bodyDiv w:val="1"/>
      <w:marLeft w:val="0"/>
      <w:marRight w:val="0"/>
      <w:marTop w:val="0"/>
      <w:marBottom w:val="0"/>
      <w:divBdr>
        <w:top w:val="none" w:sz="0" w:space="0" w:color="auto"/>
        <w:left w:val="none" w:sz="0" w:space="0" w:color="auto"/>
        <w:bottom w:val="none" w:sz="0" w:space="0" w:color="auto"/>
        <w:right w:val="none" w:sz="0" w:space="0" w:color="auto"/>
      </w:divBdr>
    </w:div>
    <w:div w:id="1248274362">
      <w:bodyDiv w:val="1"/>
      <w:marLeft w:val="0"/>
      <w:marRight w:val="0"/>
      <w:marTop w:val="0"/>
      <w:marBottom w:val="0"/>
      <w:divBdr>
        <w:top w:val="none" w:sz="0" w:space="0" w:color="auto"/>
        <w:left w:val="none" w:sz="0" w:space="0" w:color="auto"/>
        <w:bottom w:val="none" w:sz="0" w:space="0" w:color="auto"/>
        <w:right w:val="none" w:sz="0" w:space="0" w:color="auto"/>
      </w:divBdr>
    </w:div>
    <w:div w:id="1287270160">
      <w:bodyDiv w:val="1"/>
      <w:marLeft w:val="0"/>
      <w:marRight w:val="0"/>
      <w:marTop w:val="0"/>
      <w:marBottom w:val="0"/>
      <w:divBdr>
        <w:top w:val="none" w:sz="0" w:space="0" w:color="auto"/>
        <w:left w:val="none" w:sz="0" w:space="0" w:color="auto"/>
        <w:bottom w:val="none" w:sz="0" w:space="0" w:color="auto"/>
        <w:right w:val="none" w:sz="0" w:space="0" w:color="auto"/>
      </w:divBdr>
    </w:div>
    <w:div w:id="1290623912">
      <w:bodyDiv w:val="1"/>
      <w:marLeft w:val="0"/>
      <w:marRight w:val="0"/>
      <w:marTop w:val="0"/>
      <w:marBottom w:val="0"/>
      <w:divBdr>
        <w:top w:val="none" w:sz="0" w:space="0" w:color="auto"/>
        <w:left w:val="none" w:sz="0" w:space="0" w:color="auto"/>
        <w:bottom w:val="none" w:sz="0" w:space="0" w:color="auto"/>
        <w:right w:val="none" w:sz="0" w:space="0" w:color="auto"/>
      </w:divBdr>
    </w:div>
    <w:div w:id="1334801335">
      <w:bodyDiv w:val="1"/>
      <w:marLeft w:val="0"/>
      <w:marRight w:val="0"/>
      <w:marTop w:val="0"/>
      <w:marBottom w:val="0"/>
      <w:divBdr>
        <w:top w:val="none" w:sz="0" w:space="0" w:color="auto"/>
        <w:left w:val="none" w:sz="0" w:space="0" w:color="auto"/>
        <w:bottom w:val="none" w:sz="0" w:space="0" w:color="auto"/>
        <w:right w:val="none" w:sz="0" w:space="0" w:color="auto"/>
      </w:divBdr>
    </w:div>
    <w:div w:id="1555004702">
      <w:bodyDiv w:val="1"/>
      <w:marLeft w:val="0"/>
      <w:marRight w:val="0"/>
      <w:marTop w:val="0"/>
      <w:marBottom w:val="0"/>
      <w:divBdr>
        <w:top w:val="none" w:sz="0" w:space="0" w:color="auto"/>
        <w:left w:val="none" w:sz="0" w:space="0" w:color="auto"/>
        <w:bottom w:val="none" w:sz="0" w:space="0" w:color="auto"/>
        <w:right w:val="none" w:sz="0" w:space="0" w:color="auto"/>
      </w:divBdr>
    </w:div>
    <w:div w:id="1558514077">
      <w:bodyDiv w:val="1"/>
      <w:marLeft w:val="0"/>
      <w:marRight w:val="0"/>
      <w:marTop w:val="0"/>
      <w:marBottom w:val="0"/>
      <w:divBdr>
        <w:top w:val="none" w:sz="0" w:space="0" w:color="auto"/>
        <w:left w:val="none" w:sz="0" w:space="0" w:color="auto"/>
        <w:bottom w:val="none" w:sz="0" w:space="0" w:color="auto"/>
        <w:right w:val="none" w:sz="0" w:space="0" w:color="auto"/>
      </w:divBdr>
    </w:div>
    <w:div w:id="1684354069">
      <w:bodyDiv w:val="1"/>
      <w:marLeft w:val="0"/>
      <w:marRight w:val="0"/>
      <w:marTop w:val="0"/>
      <w:marBottom w:val="0"/>
      <w:divBdr>
        <w:top w:val="none" w:sz="0" w:space="0" w:color="auto"/>
        <w:left w:val="none" w:sz="0" w:space="0" w:color="auto"/>
        <w:bottom w:val="none" w:sz="0" w:space="0" w:color="auto"/>
        <w:right w:val="none" w:sz="0" w:space="0" w:color="auto"/>
      </w:divBdr>
    </w:div>
    <w:div w:id="1800025368">
      <w:bodyDiv w:val="1"/>
      <w:marLeft w:val="0"/>
      <w:marRight w:val="0"/>
      <w:marTop w:val="0"/>
      <w:marBottom w:val="0"/>
      <w:divBdr>
        <w:top w:val="none" w:sz="0" w:space="0" w:color="auto"/>
        <w:left w:val="none" w:sz="0" w:space="0" w:color="auto"/>
        <w:bottom w:val="none" w:sz="0" w:space="0" w:color="auto"/>
        <w:right w:val="none" w:sz="0" w:space="0" w:color="auto"/>
      </w:divBdr>
    </w:div>
    <w:div w:id="1805149307">
      <w:bodyDiv w:val="1"/>
      <w:marLeft w:val="0"/>
      <w:marRight w:val="0"/>
      <w:marTop w:val="0"/>
      <w:marBottom w:val="0"/>
      <w:divBdr>
        <w:top w:val="none" w:sz="0" w:space="0" w:color="auto"/>
        <w:left w:val="none" w:sz="0" w:space="0" w:color="auto"/>
        <w:bottom w:val="none" w:sz="0" w:space="0" w:color="auto"/>
        <w:right w:val="none" w:sz="0" w:space="0" w:color="auto"/>
      </w:divBdr>
    </w:div>
    <w:div w:id="1815490803">
      <w:bodyDiv w:val="1"/>
      <w:marLeft w:val="0"/>
      <w:marRight w:val="0"/>
      <w:marTop w:val="0"/>
      <w:marBottom w:val="0"/>
      <w:divBdr>
        <w:top w:val="none" w:sz="0" w:space="0" w:color="auto"/>
        <w:left w:val="none" w:sz="0" w:space="0" w:color="auto"/>
        <w:bottom w:val="none" w:sz="0" w:space="0" w:color="auto"/>
        <w:right w:val="none" w:sz="0" w:space="0" w:color="auto"/>
      </w:divBdr>
    </w:div>
    <w:div w:id="2067290495">
      <w:bodyDiv w:val="1"/>
      <w:marLeft w:val="0"/>
      <w:marRight w:val="0"/>
      <w:marTop w:val="0"/>
      <w:marBottom w:val="0"/>
      <w:divBdr>
        <w:top w:val="none" w:sz="0" w:space="0" w:color="auto"/>
        <w:left w:val="none" w:sz="0" w:space="0" w:color="auto"/>
        <w:bottom w:val="none" w:sz="0" w:space="0" w:color="auto"/>
        <w:right w:val="none" w:sz="0" w:space="0" w:color="auto"/>
      </w:divBdr>
    </w:div>
    <w:div w:id="21425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yperlink" Target="https://www.bmv.com.mx/docs-pub/eventoca/eventoca_851313_1.pdf"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ifrem.edomex.gob.mx/organigrama" TargetMode="External"/><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s://www.bmv.com.mx/docs-pub/eventoca/eventoca_881399_2.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17AAE-35F9-47B2-9D56-76D7CBCE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27</Pages>
  <Words>8171</Words>
  <Characters>44945</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rodriguez cruz</dc:creator>
  <cp:lastModifiedBy>ContabilidadPC</cp:lastModifiedBy>
  <cp:revision>46</cp:revision>
  <cp:lastPrinted>2019-02-25T18:40:00Z</cp:lastPrinted>
  <dcterms:created xsi:type="dcterms:W3CDTF">2019-02-07T02:12:00Z</dcterms:created>
  <dcterms:modified xsi:type="dcterms:W3CDTF">2019-02-25T18:58:00Z</dcterms:modified>
</cp:coreProperties>
</file>