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7C1E" w14:textId="77777777" w:rsidR="00B27CA5" w:rsidRPr="003B10B7" w:rsidRDefault="00B27CA5" w:rsidP="00B27CA5">
      <w:pPr>
        <w:spacing w:after="101" w:line="276" w:lineRule="auto"/>
        <w:ind w:left="648" w:right="-1"/>
        <w:jc w:val="center"/>
        <w:rPr>
          <w:rFonts w:eastAsia="Times New Roman" w:cs="Arial"/>
          <w:b/>
          <w:lang w:val="es-ES" w:eastAsia="es-ES"/>
        </w:rPr>
      </w:pPr>
      <w:r w:rsidRPr="003B10B7">
        <w:rPr>
          <w:rFonts w:eastAsia="Times New Roman" w:cs="Arial"/>
          <w:b/>
          <w:lang w:val="es-ES" w:eastAsia="es-ES"/>
        </w:rPr>
        <w:t>NOTAS A LOS ESTADOS FINANCIEROS</w:t>
      </w:r>
    </w:p>
    <w:p w14:paraId="2D79803D" w14:textId="77777777" w:rsidR="00B27CA5" w:rsidRPr="003B10B7" w:rsidRDefault="00B27CA5" w:rsidP="00B27CA5">
      <w:pPr>
        <w:spacing w:line="276" w:lineRule="auto"/>
        <w:ind w:right="-1"/>
        <w:jc w:val="center"/>
        <w:outlineLvl w:val="0"/>
      </w:pPr>
      <w:r w:rsidRPr="003B10B7">
        <w:rPr>
          <w:b/>
        </w:rPr>
        <w:t xml:space="preserve">Entidad: </w:t>
      </w:r>
      <w:r w:rsidRPr="003B10B7">
        <w:rPr>
          <w:u w:val="single"/>
        </w:rPr>
        <w:t>Instituto de la Función Registral del Estado de México</w:t>
      </w:r>
      <w:r w:rsidRPr="003B10B7">
        <w:t xml:space="preserve"> (IFREM).</w:t>
      </w:r>
    </w:p>
    <w:p w14:paraId="29396905" w14:textId="5682BFBD" w:rsidR="00B27CA5" w:rsidRPr="003B10B7" w:rsidRDefault="00B27CA5" w:rsidP="00B27CA5">
      <w:pPr>
        <w:spacing w:line="276" w:lineRule="auto"/>
        <w:ind w:right="-1"/>
        <w:jc w:val="center"/>
        <w:outlineLvl w:val="0"/>
        <w:rPr>
          <w:u w:val="single"/>
        </w:rPr>
      </w:pPr>
      <w:r w:rsidRPr="003B10B7">
        <w:rPr>
          <w:b/>
        </w:rPr>
        <w:t>Mes:</w:t>
      </w:r>
      <w:r w:rsidRPr="003B10B7">
        <w:t xml:space="preserve"> </w:t>
      </w:r>
      <w:proofErr w:type="gramStart"/>
      <w:r w:rsidR="00906792" w:rsidRPr="003B10B7">
        <w:rPr>
          <w:u w:val="single"/>
        </w:rPr>
        <w:t>Septiembre</w:t>
      </w:r>
      <w:proofErr w:type="gramEnd"/>
      <w:r w:rsidRPr="003B10B7">
        <w:rPr>
          <w:u w:val="single"/>
        </w:rPr>
        <w:t xml:space="preserve"> </w:t>
      </w:r>
      <w:r w:rsidRPr="003B10B7">
        <w:rPr>
          <w:b/>
        </w:rPr>
        <w:t>de</w:t>
      </w:r>
      <w:r w:rsidRPr="003B10B7">
        <w:t xml:space="preserve"> </w:t>
      </w:r>
      <w:r w:rsidRPr="003B10B7">
        <w:rPr>
          <w:u w:val="single"/>
        </w:rPr>
        <w:t>2022</w:t>
      </w:r>
    </w:p>
    <w:p w14:paraId="0AFAA97E" w14:textId="77777777" w:rsidR="00B27CA5" w:rsidRPr="003B10B7" w:rsidRDefault="00B27CA5" w:rsidP="00B27CA5">
      <w:pPr>
        <w:spacing w:line="276" w:lineRule="auto"/>
        <w:ind w:right="-1"/>
        <w:outlineLvl w:val="0"/>
        <w:rPr>
          <w:rFonts w:eastAsia="Times New Roman" w:cs="Arial"/>
          <w:b/>
          <w:lang w:eastAsia="es-MX"/>
        </w:rPr>
      </w:pPr>
      <w:r w:rsidRPr="003B10B7">
        <w:rPr>
          <w:rFonts w:eastAsia="Times New Roman" w:cs="Arial"/>
          <w:b/>
          <w:lang w:eastAsia="es-MX"/>
        </w:rPr>
        <w:t>a) NOTAS DE DESGLOSE</w:t>
      </w:r>
    </w:p>
    <w:p w14:paraId="4D44F8D3" w14:textId="77777777" w:rsidR="00B27CA5" w:rsidRPr="003B10B7" w:rsidRDefault="00B27CA5" w:rsidP="00B51700">
      <w:pPr>
        <w:numPr>
          <w:ilvl w:val="0"/>
          <w:numId w:val="5"/>
        </w:numPr>
        <w:spacing w:before="240" w:after="240" w:line="276" w:lineRule="auto"/>
        <w:ind w:left="1068" w:right="-1"/>
        <w:contextualSpacing/>
        <w:outlineLvl w:val="0"/>
        <w:rPr>
          <w:rFonts w:eastAsia="Times New Roman" w:cs="Arial"/>
          <w:b/>
          <w:lang w:eastAsia="es-MX"/>
        </w:rPr>
      </w:pPr>
      <w:r w:rsidRPr="003B10B7">
        <w:rPr>
          <w:rFonts w:eastAsia="Times New Roman" w:cs="Arial"/>
          <w:b/>
          <w:lang w:eastAsia="es-MX"/>
        </w:rPr>
        <w:t>NOTAS AL ESTADO DE SITUACIÓN FINANCIERA</w:t>
      </w:r>
    </w:p>
    <w:p w14:paraId="6A0A9D60" w14:textId="77777777" w:rsidR="00B27CA5" w:rsidRPr="003B10B7" w:rsidRDefault="00B27CA5" w:rsidP="00B27CA5">
      <w:pPr>
        <w:spacing w:before="240" w:after="240" w:line="276" w:lineRule="auto"/>
        <w:ind w:right="-1"/>
        <w:outlineLvl w:val="0"/>
        <w:rPr>
          <w:rFonts w:cs="Arial"/>
          <w:b/>
        </w:rPr>
      </w:pPr>
      <w:r w:rsidRPr="003B10B7">
        <w:rPr>
          <w:rFonts w:cs="Arial"/>
          <w:b/>
        </w:rPr>
        <w:t>Activo Circulante</w:t>
      </w:r>
    </w:p>
    <w:p w14:paraId="6A99BCF9" w14:textId="77777777" w:rsidR="00141D6F" w:rsidRPr="00141D6F" w:rsidRDefault="00141D6F" w:rsidP="00141D6F">
      <w:pPr>
        <w:tabs>
          <w:tab w:val="left" w:pos="3836"/>
        </w:tabs>
        <w:spacing w:line="276" w:lineRule="auto"/>
        <w:ind w:right="-1"/>
        <w:jc w:val="both"/>
        <w:rPr>
          <w:rFonts w:cs="Arial"/>
        </w:rPr>
      </w:pPr>
      <w:r w:rsidRPr="00141D6F">
        <w:rPr>
          <w:rFonts w:cs="Arial"/>
          <w:b/>
          <w:bCs/>
        </w:rPr>
        <w:t xml:space="preserve">Efectivo y Equivalentes. - </w:t>
      </w:r>
      <w:r w:rsidRPr="00141D6F">
        <w:rPr>
          <w:rFonts w:cs="Arial"/>
        </w:rPr>
        <w:t xml:space="preserve">El saldo de </w:t>
      </w:r>
      <w:r w:rsidRPr="00141D6F">
        <w:rPr>
          <w:rFonts w:eastAsia="HelveticaNeueLT Std" w:cs="HelveticaNeueLT Std"/>
        </w:rPr>
        <w:t>268,245,230.86</w:t>
      </w:r>
      <w:r w:rsidRPr="00141D6F">
        <w:rPr>
          <w:rFonts w:eastAsia="HelveticaNeueLT Std" w:cs="HelveticaNeueLT Std"/>
          <w:sz w:val="22"/>
          <w:szCs w:val="22"/>
        </w:rPr>
        <w:t xml:space="preserve">, </w:t>
      </w:r>
      <w:r w:rsidRPr="00141D6F">
        <w:rPr>
          <w:rFonts w:cs="Arial"/>
        </w:rPr>
        <w:t>se integra con las siguientes cuentas:</w:t>
      </w:r>
    </w:p>
    <w:p w14:paraId="26F38B6D" w14:textId="77777777" w:rsidR="00141D6F" w:rsidRPr="00141D6F" w:rsidRDefault="00141D6F" w:rsidP="00141D6F">
      <w:pPr>
        <w:numPr>
          <w:ilvl w:val="0"/>
          <w:numId w:val="1"/>
        </w:numPr>
        <w:spacing w:line="276" w:lineRule="auto"/>
        <w:ind w:right="-1"/>
        <w:jc w:val="both"/>
        <w:rPr>
          <w:rFonts w:cs="Arial"/>
        </w:rPr>
      </w:pPr>
      <w:r w:rsidRPr="00141D6F">
        <w:rPr>
          <w:rFonts w:cs="Arial"/>
          <w:b/>
        </w:rPr>
        <w:t xml:space="preserve">Efectivo. - </w:t>
      </w:r>
      <w:r w:rsidRPr="00141D6F">
        <w:rPr>
          <w:rFonts w:cs="Arial"/>
        </w:rPr>
        <w:t xml:space="preserve">El saldo de </w:t>
      </w:r>
      <w:r w:rsidRPr="00141D6F">
        <w:rPr>
          <w:rFonts w:eastAsia="HelveticaNeueLT Std" w:cs="HelveticaNeueLT Std"/>
        </w:rPr>
        <w:t>33,000.00</w:t>
      </w:r>
      <w:r w:rsidRPr="00141D6F">
        <w:rPr>
          <w:rFonts w:cs="Arial"/>
          <w:color w:val="000000" w:themeColor="text1"/>
        </w:rPr>
        <w:t xml:space="preserve">, </w:t>
      </w:r>
      <w:r w:rsidRPr="00141D6F">
        <w:rPr>
          <w:rFonts w:cs="Arial"/>
        </w:rPr>
        <w:t>es el importe de efectivo disponible para solventar gastos menores y cubrir necesidades urgentes de gasto corriente que se requieran en las oficinas administrativas de la Dirección General.</w:t>
      </w:r>
      <w:r w:rsidRPr="00141D6F">
        <w:t xml:space="preserve"> </w:t>
      </w:r>
    </w:p>
    <w:p w14:paraId="6838AECF" w14:textId="09FE91F2" w:rsidR="00141D6F" w:rsidRPr="002E4CDB" w:rsidRDefault="00141D6F" w:rsidP="00141D6F">
      <w:pPr>
        <w:numPr>
          <w:ilvl w:val="0"/>
          <w:numId w:val="1"/>
        </w:numPr>
        <w:spacing w:after="0" w:line="276" w:lineRule="auto"/>
        <w:ind w:right="-1"/>
        <w:jc w:val="both"/>
        <w:rPr>
          <w:rFonts w:eastAsia="HelveticaNeueLT Std" w:cs="HelveticaNeueLT Std"/>
          <w:b/>
          <w:bCs/>
        </w:rPr>
      </w:pPr>
      <w:r w:rsidRPr="00141D6F">
        <w:rPr>
          <w:rFonts w:cs="Arial"/>
          <w:b/>
          <w:bCs/>
        </w:rPr>
        <w:t xml:space="preserve">Bancos/Tesorería. - </w:t>
      </w:r>
      <w:r w:rsidRPr="00141D6F">
        <w:rPr>
          <w:rFonts w:cs="Arial"/>
        </w:rPr>
        <w:t xml:space="preserve">El saldo </w:t>
      </w:r>
      <w:r w:rsidRPr="00141D6F">
        <w:rPr>
          <w:rFonts w:cs="Arial"/>
          <w:color w:val="000000" w:themeColor="text1"/>
        </w:rPr>
        <w:t>de</w:t>
      </w:r>
      <w:r w:rsidRPr="00141D6F">
        <w:rPr>
          <w:rFonts w:eastAsia="HelveticaNeueLT Std" w:cs="HelveticaNeueLT Std"/>
          <w:sz w:val="22"/>
          <w:szCs w:val="22"/>
        </w:rPr>
        <w:t xml:space="preserve"> </w:t>
      </w:r>
      <w:r w:rsidRPr="00141D6F">
        <w:rPr>
          <w:rFonts w:eastAsia="HelveticaNeueLT Std" w:cs="HelveticaNeueLT Std"/>
        </w:rPr>
        <w:t xml:space="preserve">11,330,570.71, </w:t>
      </w:r>
      <w:r w:rsidRPr="00141D6F">
        <w:rPr>
          <w:rFonts w:eastAsia="HelveticaNeueLT Std" w:cs="HelveticaNeueLT Std"/>
          <w:sz w:val="22"/>
          <w:szCs w:val="22"/>
        </w:rPr>
        <w:t>r</w:t>
      </w:r>
      <w:r w:rsidRPr="00141D6F">
        <w:rPr>
          <w:rFonts w:cs="Arial"/>
        </w:rPr>
        <w:t>efleja la disponibilidad financiera para cubrir los gastos por las necesidades de la operación y de inversión, con la finalidad de cumplir con los compromisos de pago en tiempo y forma. La relación de cuentas productivas especificas es la siguiente:</w:t>
      </w:r>
    </w:p>
    <w:p w14:paraId="0631A6A4" w14:textId="77777777" w:rsidR="002E4CDB" w:rsidRPr="00141D6F" w:rsidRDefault="002E4CDB" w:rsidP="002E4CDB">
      <w:pPr>
        <w:spacing w:after="0" w:line="276" w:lineRule="auto"/>
        <w:ind w:left="502" w:right="-1"/>
        <w:jc w:val="both"/>
        <w:rPr>
          <w:rFonts w:eastAsia="HelveticaNeueLT Std" w:cs="HelveticaNeueLT Std"/>
          <w:b/>
          <w:bCs/>
        </w:rPr>
      </w:pPr>
    </w:p>
    <w:p w14:paraId="61972FB6" w14:textId="3CF5F784" w:rsidR="00141D6F" w:rsidRPr="00141D6F" w:rsidRDefault="002E4CDB" w:rsidP="00141D6F">
      <w:pPr>
        <w:spacing w:line="259" w:lineRule="auto"/>
        <w:jc w:val="center"/>
        <w:rPr>
          <w:rFonts w:eastAsia="HelveticaNeueLT Std" w:cs="HelveticaNeueLT Std"/>
        </w:rPr>
      </w:pPr>
      <w:r w:rsidRPr="002E4CDB">
        <w:rPr>
          <w:noProof/>
          <w:lang w:eastAsia="es-MX"/>
        </w:rPr>
        <w:drawing>
          <wp:inline distT="0" distB="0" distL="0" distR="0" wp14:anchorId="1EB12D7C" wp14:editId="5C9C18A2">
            <wp:extent cx="4610100" cy="386021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936" cy="3863425"/>
                    </a:xfrm>
                    <a:prstGeom prst="rect">
                      <a:avLst/>
                    </a:prstGeom>
                    <a:noFill/>
                    <a:ln>
                      <a:noFill/>
                    </a:ln>
                  </pic:spPr>
                </pic:pic>
              </a:graphicData>
            </a:graphic>
          </wp:inline>
        </w:drawing>
      </w:r>
    </w:p>
    <w:p w14:paraId="000E4445" w14:textId="77777777" w:rsidR="00141D6F" w:rsidRPr="00141D6F" w:rsidRDefault="00141D6F" w:rsidP="00141D6F">
      <w:pPr>
        <w:numPr>
          <w:ilvl w:val="0"/>
          <w:numId w:val="1"/>
        </w:numPr>
        <w:tabs>
          <w:tab w:val="left" w:pos="639"/>
          <w:tab w:val="left" w:pos="3836"/>
        </w:tabs>
        <w:spacing w:before="240" w:after="0" w:line="276" w:lineRule="auto"/>
        <w:jc w:val="both"/>
        <w:rPr>
          <w:noProof/>
          <w:lang w:eastAsia="es-MX"/>
        </w:rPr>
      </w:pPr>
      <w:r w:rsidRPr="00141D6F">
        <w:rPr>
          <w:rFonts w:eastAsia="Times New Roman" w:cs="Arial"/>
          <w:b/>
          <w:bCs/>
          <w:lang w:eastAsia="es-MX"/>
        </w:rPr>
        <w:lastRenderedPageBreak/>
        <w:t xml:space="preserve">Inversiones Temporales (Hasta 3 meses). - </w:t>
      </w:r>
      <w:r w:rsidRPr="00141D6F">
        <w:rPr>
          <w:rFonts w:eastAsia="Times New Roman" w:cs="Arial"/>
          <w:lang w:eastAsia="es-MX"/>
        </w:rPr>
        <w:t xml:space="preserve">El saldo </w:t>
      </w:r>
      <w:r w:rsidRPr="00141D6F">
        <w:rPr>
          <w:rFonts w:eastAsia="Times New Roman" w:cs="Arial"/>
          <w:color w:val="000000" w:themeColor="text1"/>
          <w:lang w:eastAsia="es-MX"/>
        </w:rPr>
        <w:t>de</w:t>
      </w:r>
      <w:r w:rsidRPr="00141D6F">
        <w:rPr>
          <w:rFonts w:eastAsia="HelveticaNeueLT Std" w:cs="HelveticaNeueLT Std"/>
        </w:rPr>
        <w:t xml:space="preserve"> 256,881,660.15, </w:t>
      </w:r>
      <w:r w:rsidRPr="00141D6F">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3E5DB4CD" w14:textId="77777777" w:rsidR="00141D6F" w:rsidRPr="00141D6F" w:rsidRDefault="00141D6F" w:rsidP="00141D6F">
      <w:pPr>
        <w:rPr>
          <w:noProof/>
          <w:sz w:val="6"/>
          <w:szCs w:val="6"/>
          <w:lang w:eastAsia="es-MX"/>
        </w:rPr>
      </w:pPr>
    </w:p>
    <w:p w14:paraId="2BEDFCFC" w14:textId="77777777" w:rsidR="00141D6F" w:rsidRPr="00141D6F" w:rsidRDefault="00141D6F" w:rsidP="00141D6F">
      <w:pPr>
        <w:rPr>
          <w:noProof/>
          <w:lang w:eastAsia="es-MX"/>
        </w:rPr>
      </w:pPr>
      <w:r w:rsidRPr="00141D6F">
        <w:rPr>
          <w:noProof/>
          <w:lang w:eastAsia="es-MX"/>
        </w:rPr>
        <w:t>De enero 2022 al mes que se comenta se tiene el siguiente desglose que permite identificar la integración en la cuenta ******813 del banco Scotiabank:</w:t>
      </w:r>
    </w:p>
    <w:p w14:paraId="640F0EDC" w14:textId="77777777" w:rsidR="00141D6F" w:rsidRPr="00141D6F" w:rsidRDefault="00141D6F" w:rsidP="00141D6F">
      <w:pPr>
        <w:jc w:val="center"/>
        <w:rPr>
          <w:noProof/>
          <w:lang w:eastAsia="es-MX"/>
        </w:rPr>
      </w:pPr>
      <w:r w:rsidRPr="00141D6F">
        <w:rPr>
          <w:noProof/>
          <w:lang w:eastAsia="es-MX"/>
        </w:rPr>
        <w:drawing>
          <wp:inline distT="0" distB="0" distL="0" distR="0" wp14:anchorId="54117B80" wp14:editId="3DBBC0EE">
            <wp:extent cx="4084320" cy="214122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320" cy="2141220"/>
                    </a:xfrm>
                    <a:prstGeom prst="rect">
                      <a:avLst/>
                    </a:prstGeom>
                    <a:noFill/>
                    <a:ln>
                      <a:noFill/>
                    </a:ln>
                  </pic:spPr>
                </pic:pic>
              </a:graphicData>
            </a:graphic>
          </wp:inline>
        </w:drawing>
      </w:r>
    </w:p>
    <w:p w14:paraId="30B9FA6B" w14:textId="77777777" w:rsidR="00141D6F" w:rsidRPr="00141D6F" w:rsidRDefault="00141D6F" w:rsidP="00141D6F">
      <w:pPr>
        <w:tabs>
          <w:tab w:val="left" w:pos="3984"/>
        </w:tabs>
        <w:spacing w:after="0" w:line="276" w:lineRule="auto"/>
        <w:ind w:right="-1"/>
        <w:jc w:val="both"/>
        <w:rPr>
          <w:rFonts w:cs="Arial"/>
          <w:b/>
        </w:rPr>
      </w:pPr>
      <w:r w:rsidRPr="00141D6F">
        <w:rPr>
          <w:rFonts w:cs="Arial"/>
          <w:b/>
        </w:rPr>
        <w:tab/>
      </w:r>
    </w:p>
    <w:p w14:paraId="69C8B54F" w14:textId="77777777" w:rsidR="00141D6F" w:rsidRPr="00141D6F" w:rsidRDefault="00141D6F" w:rsidP="00141D6F">
      <w:pPr>
        <w:numPr>
          <w:ilvl w:val="0"/>
          <w:numId w:val="1"/>
        </w:numPr>
        <w:spacing w:after="0" w:line="276" w:lineRule="auto"/>
        <w:ind w:right="-1"/>
        <w:contextualSpacing/>
        <w:jc w:val="both"/>
        <w:rPr>
          <w:rFonts w:eastAsia="Times New Roman" w:cs="Arial"/>
          <w:b/>
          <w:bCs/>
          <w:lang w:eastAsia="es-MX"/>
        </w:rPr>
      </w:pPr>
      <w:r w:rsidRPr="00141D6F">
        <w:rPr>
          <w:rFonts w:eastAsia="Times New Roman" w:cs="Arial"/>
          <w:b/>
          <w:bCs/>
          <w:lang w:eastAsia="es-MX"/>
        </w:rPr>
        <w:t>Deudores Diversos por Cobrar a Corto Plazo. –</w:t>
      </w:r>
      <w:r w:rsidRPr="00141D6F">
        <w:rPr>
          <w:rFonts w:eastAsia="Times New Roman" w:cs="Arial"/>
          <w:bCs/>
          <w:lang w:eastAsia="es-MX"/>
        </w:rPr>
        <w:t xml:space="preserve"> El saldo de 167,400.00 corresponde a Patricia Bolaños </w:t>
      </w:r>
      <w:proofErr w:type="spellStart"/>
      <w:r w:rsidRPr="00141D6F">
        <w:rPr>
          <w:rFonts w:eastAsia="Times New Roman" w:cs="Arial"/>
          <w:bCs/>
          <w:lang w:eastAsia="es-MX"/>
        </w:rPr>
        <w:t>Gutierrez</w:t>
      </w:r>
      <w:proofErr w:type="spellEnd"/>
      <w:r w:rsidRPr="00141D6F">
        <w:rPr>
          <w:rFonts w:eastAsia="Times New Roman" w:cs="Arial"/>
          <w:bCs/>
          <w:lang w:eastAsia="es-MX"/>
        </w:rPr>
        <w:t xml:space="preserve"> por 14,000.00 y </w:t>
      </w:r>
      <w:proofErr w:type="spellStart"/>
      <w:r w:rsidRPr="00141D6F">
        <w:rPr>
          <w:rFonts w:eastAsia="Times New Roman" w:cs="Arial"/>
          <w:bCs/>
          <w:lang w:eastAsia="es-MX"/>
        </w:rPr>
        <w:t>Adrian</w:t>
      </w:r>
      <w:proofErr w:type="spellEnd"/>
      <w:r w:rsidRPr="00141D6F">
        <w:rPr>
          <w:rFonts w:eastAsia="Times New Roman" w:cs="Arial"/>
          <w:bCs/>
          <w:lang w:eastAsia="es-MX"/>
        </w:rPr>
        <w:t xml:space="preserve"> </w:t>
      </w:r>
      <w:proofErr w:type="spellStart"/>
      <w:r w:rsidRPr="00141D6F">
        <w:rPr>
          <w:rFonts w:eastAsia="Times New Roman" w:cs="Arial"/>
          <w:bCs/>
          <w:lang w:eastAsia="es-MX"/>
        </w:rPr>
        <w:t>Mondragon</w:t>
      </w:r>
      <w:proofErr w:type="spellEnd"/>
      <w:r w:rsidRPr="00141D6F">
        <w:rPr>
          <w:rFonts w:eastAsia="Times New Roman" w:cs="Arial"/>
          <w:bCs/>
          <w:lang w:eastAsia="es-MX"/>
        </w:rPr>
        <w:t xml:space="preserve"> Esquivel por 153,400.00, otorgados en este mes para el desempeño de sus funciones. </w:t>
      </w:r>
    </w:p>
    <w:p w14:paraId="53E07AC1" w14:textId="77777777" w:rsidR="00141D6F" w:rsidRPr="00141D6F" w:rsidRDefault="00141D6F" w:rsidP="00141D6F">
      <w:pPr>
        <w:spacing w:after="0" w:line="276" w:lineRule="auto"/>
        <w:ind w:right="-1"/>
        <w:jc w:val="both"/>
        <w:rPr>
          <w:rFonts w:cs="Arial"/>
          <w:b/>
        </w:rPr>
      </w:pPr>
    </w:p>
    <w:p w14:paraId="65D21CE5" w14:textId="77777777" w:rsidR="00141D6F" w:rsidRPr="00141D6F" w:rsidRDefault="00141D6F" w:rsidP="00141D6F">
      <w:pPr>
        <w:spacing w:after="0" w:line="276" w:lineRule="auto"/>
        <w:ind w:right="-1"/>
        <w:jc w:val="both"/>
        <w:rPr>
          <w:rFonts w:cs="Arial"/>
          <w:b/>
        </w:rPr>
      </w:pPr>
      <w:r w:rsidRPr="00141D6F">
        <w:rPr>
          <w:rFonts w:cs="Arial"/>
          <w:b/>
        </w:rPr>
        <w:t>Activo No Circulante</w:t>
      </w:r>
    </w:p>
    <w:p w14:paraId="48AB74C7" w14:textId="77777777" w:rsidR="00141D6F" w:rsidRPr="00141D6F" w:rsidRDefault="00141D6F" w:rsidP="00141D6F">
      <w:pPr>
        <w:spacing w:after="0" w:line="276" w:lineRule="auto"/>
        <w:ind w:right="-1"/>
        <w:jc w:val="both"/>
        <w:rPr>
          <w:rFonts w:cs="Arial"/>
          <w:b/>
          <w:sz w:val="12"/>
        </w:rPr>
      </w:pPr>
    </w:p>
    <w:p w14:paraId="74ABCC3C" w14:textId="77777777" w:rsidR="00141D6F" w:rsidRPr="00141D6F" w:rsidRDefault="00141D6F" w:rsidP="00141D6F">
      <w:pPr>
        <w:tabs>
          <w:tab w:val="left" w:pos="3836"/>
        </w:tabs>
        <w:spacing w:line="276" w:lineRule="auto"/>
        <w:ind w:right="-1"/>
        <w:jc w:val="both"/>
        <w:rPr>
          <w:rFonts w:cs="Arial"/>
          <w:b/>
        </w:rPr>
      </w:pPr>
      <w:r w:rsidRPr="00141D6F">
        <w:rPr>
          <w:rFonts w:cs="Arial"/>
          <w:b/>
        </w:rPr>
        <w:t xml:space="preserve">Inversiones Financieras a Largo Plazo. - </w:t>
      </w:r>
      <w:r w:rsidRPr="00141D6F">
        <w:rPr>
          <w:rFonts w:cs="Arial"/>
        </w:rPr>
        <w:t>El saldo se integra con la siguiente cuenta</w:t>
      </w:r>
      <w:r w:rsidRPr="00141D6F">
        <w:rPr>
          <w:rFonts w:cs="Arial"/>
          <w:b/>
        </w:rPr>
        <w:t>:</w:t>
      </w:r>
      <w:r w:rsidRPr="00141D6F">
        <w:t xml:space="preserve"> </w:t>
      </w:r>
    </w:p>
    <w:p w14:paraId="7DC700BF" w14:textId="77777777" w:rsidR="00141D6F" w:rsidRPr="00141D6F" w:rsidRDefault="00141D6F" w:rsidP="00141D6F">
      <w:pPr>
        <w:numPr>
          <w:ilvl w:val="0"/>
          <w:numId w:val="1"/>
        </w:numPr>
        <w:spacing w:after="0" w:line="259" w:lineRule="auto"/>
        <w:ind w:right="-1"/>
        <w:contextualSpacing/>
        <w:jc w:val="both"/>
        <w:rPr>
          <w:rFonts w:eastAsiaTheme="minorEastAsia" w:cs="Arial"/>
          <w:color w:val="000000" w:themeColor="text1"/>
        </w:rPr>
      </w:pPr>
      <w:r w:rsidRPr="00141D6F">
        <w:rPr>
          <w:rFonts w:eastAsiaTheme="minorEastAsia" w:cs="Arial"/>
          <w:b/>
          <w:bCs/>
          <w:color w:val="000000" w:themeColor="text1"/>
        </w:rPr>
        <w:t>Fideicomisos, Mandatos y Contratos Análogos.</w:t>
      </w:r>
      <w:r w:rsidRPr="00141D6F">
        <w:rPr>
          <w:rFonts w:ascii="Times New Roman" w:eastAsiaTheme="minorEastAsia" w:hAnsi="Times New Roman" w:cs="Arial"/>
          <w:b/>
          <w:bCs/>
          <w:color w:val="000000" w:themeColor="text1"/>
          <w:sz w:val="24"/>
          <w:szCs w:val="24"/>
          <w:lang w:eastAsia="es-MX"/>
        </w:rPr>
        <w:t xml:space="preserve"> - </w:t>
      </w:r>
      <w:r w:rsidRPr="00141D6F">
        <w:rPr>
          <w:rFonts w:eastAsiaTheme="minorEastAsia" w:cs="Arial"/>
          <w:color w:val="000000" w:themeColor="text1"/>
        </w:rPr>
        <w:t>El saldo por las aportaciones realizadas al Fideicomiso de Cobranza de esta cuenta al mes que se analiza es por 7,641,043,680.39, que refleja los recursos transferidos a la fiduciaria, menos los pagos por amortización de capital y las remesas al Instituto, que corresponden a las siguientes cantidades, al RPP por 7,629,872,316.92, y al RPC por 11,171,363.47.</w:t>
      </w:r>
    </w:p>
    <w:p w14:paraId="56748F67" w14:textId="77777777" w:rsidR="00141D6F" w:rsidRPr="00141D6F" w:rsidRDefault="00141D6F" w:rsidP="00141D6F">
      <w:pPr>
        <w:spacing w:after="0" w:line="259" w:lineRule="auto"/>
        <w:ind w:left="502" w:right="-1"/>
        <w:contextualSpacing/>
        <w:jc w:val="both"/>
        <w:rPr>
          <w:rFonts w:cs="Arial"/>
          <w:b/>
        </w:rPr>
      </w:pPr>
    </w:p>
    <w:p w14:paraId="50AE5189" w14:textId="7A6E8662" w:rsidR="00141D6F" w:rsidRPr="00141D6F" w:rsidRDefault="00141D6F" w:rsidP="00141D6F">
      <w:pPr>
        <w:tabs>
          <w:tab w:val="left" w:pos="7909"/>
        </w:tabs>
        <w:spacing w:line="259" w:lineRule="auto"/>
        <w:jc w:val="both"/>
        <w:rPr>
          <w:rFonts w:cs="Arial"/>
        </w:rPr>
      </w:pPr>
      <w:r w:rsidRPr="00141D6F">
        <w:rPr>
          <w:rFonts w:cs="Arial"/>
          <w:b/>
        </w:rPr>
        <w:t xml:space="preserve">Bienes Inmuebles, Infraestructura y Construcciones en </w:t>
      </w:r>
      <w:proofErr w:type="gramStart"/>
      <w:r w:rsidRPr="00141D6F">
        <w:rPr>
          <w:rFonts w:cs="Arial"/>
          <w:b/>
        </w:rPr>
        <w:t>Proceso.-</w:t>
      </w:r>
      <w:proofErr w:type="gramEnd"/>
      <w:r w:rsidRPr="00141D6F">
        <w:rPr>
          <w:rFonts w:cs="Arial"/>
        </w:rPr>
        <w:t xml:space="preserve">El saldo </w:t>
      </w:r>
      <w:r w:rsidR="001A07CC">
        <w:rPr>
          <w:rFonts w:cs="Arial"/>
        </w:rPr>
        <w:t>de</w:t>
      </w:r>
      <w:r w:rsidR="000200B3">
        <w:rPr>
          <w:rFonts w:cs="Arial"/>
        </w:rPr>
        <w:t xml:space="preserve"> </w:t>
      </w:r>
      <w:r w:rsidR="001A07CC" w:rsidRPr="001A07CC">
        <w:rPr>
          <w:rFonts w:cs="Arial"/>
        </w:rPr>
        <w:t>118,069,897.71</w:t>
      </w:r>
      <w:r w:rsidR="001A07CC">
        <w:rPr>
          <w:rFonts w:cs="Arial"/>
        </w:rPr>
        <w:t xml:space="preserve">, </w:t>
      </w:r>
      <w:r w:rsidRPr="00141D6F">
        <w:rPr>
          <w:rFonts w:cs="Arial"/>
        </w:rPr>
        <w:t>se integra con las siguientes cuentas:</w:t>
      </w:r>
    </w:p>
    <w:p w14:paraId="4A7ADCEB" w14:textId="77777777" w:rsidR="00141D6F" w:rsidRPr="00141D6F" w:rsidRDefault="00141D6F" w:rsidP="00141D6F">
      <w:pPr>
        <w:numPr>
          <w:ilvl w:val="0"/>
          <w:numId w:val="1"/>
        </w:numPr>
        <w:spacing w:after="0" w:line="276" w:lineRule="auto"/>
        <w:ind w:right="-1"/>
        <w:contextualSpacing/>
        <w:jc w:val="both"/>
        <w:rPr>
          <w:rFonts w:ascii="Times New Roman" w:eastAsia="Times New Roman" w:hAnsi="Times New Roman" w:cs="Arial"/>
          <w:b/>
          <w:color w:val="000000" w:themeColor="text1"/>
          <w:sz w:val="24"/>
          <w:szCs w:val="24"/>
          <w:lang w:eastAsia="es-MX"/>
        </w:rPr>
      </w:pPr>
      <w:r w:rsidRPr="00141D6F">
        <w:rPr>
          <w:rFonts w:eastAsiaTheme="minorEastAsia" w:cs="Arial"/>
          <w:b/>
          <w:bCs/>
          <w:color w:val="000000" w:themeColor="text1"/>
        </w:rPr>
        <w:t>Terrenos.</w:t>
      </w:r>
      <w:r w:rsidRPr="00141D6F">
        <w:rPr>
          <w:rFonts w:ascii="Times New Roman" w:eastAsia="Times New Roman" w:hAnsi="Times New Roman" w:cs="Arial"/>
          <w:b/>
          <w:color w:val="000000" w:themeColor="text1"/>
          <w:sz w:val="24"/>
          <w:szCs w:val="24"/>
          <w:lang w:eastAsia="es-MX"/>
        </w:rPr>
        <w:t xml:space="preserve"> – </w:t>
      </w:r>
      <w:r w:rsidRPr="00141D6F">
        <w:rPr>
          <w:rFonts w:eastAsiaTheme="minorEastAsia" w:cs="Arial"/>
          <w:color w:val="000000" w:themeColor="text1"/>
        </w:rPr>
        <w:t>A la fecha se cuenta con un valor de 2,793,209.00, los cuales corresponde a las donaciones a este Instituto, en las Oficinas Registrales de Tenango del Valle, Otumba, Ixtlahuaca y el Oro.</w:t>
      </w:r>
    </w:p>
    <w:p w14:paraId="667A0FA4" w14:textId="77777777" w:rsidR="00141D6F" w:rsidRPr="00141D6F" w:rsidRDefault="00141D6F" w:rsidP="00141D6F">
      <w:pPr>
        <w:spacing w:after="0" w:line="276" w:lineRule="auto"/>
        <w:ind w:left="862" w:right="-1"/>
        <w:jc w:val="both"/>
        <w:rPr>
          <w:rFonts w:cs="Arial"/>
          <w:b/>
          <w:color w:val="000000" w:themeColor="text1"/>
        </w:rPr>
      </w:pPr>
    </w:p>
    <w:p w14:paraId="73B6F279" w14:textId="77777777" w:rsidR="00141D6F" w:rsidRPr="00141D6F" w:rsidRDefault="00141D6F" w:rsidP="00141D6F">
      <w:pPr>
        <w:numPr>
          <w:ilvl w:val="0"/>
          <w:numId w:val="1"/>
        </w:numPr>
        <w:spacing w:after="0" w:line="276" w:lineRule="auto"/>
        <w:ind w:right="-1"/>
        <w:contextualSpacing/>
        <w:jc w:val="both"/>
        <w:rPr>
          <w:rFonts w:eastAsiaTheme="minorEastAsia" w:cs="Arial"/>
          <w:color w:val="000000" w:themeColor="text1"/>
        </w:rPr>
      </w:pPr>
      <w:r w:rsidRPr="00141D6F">
        <w:rPr>
          <w:rFonts w:eastAsiaTheme="minorEastAsia" w:cs="Arial"/>
          <w:b/>
          <w:bCs/>
          <w:color w:val="000000" w:themeColor="text1"/>
        </w:rPr>
        <w:t>Edificios no Habitacionales.</w:t>
      </w:r>
      <w:r w:rsidRPr="00141D6F">
        <w:rPr>
          <w:rFonts w:ascii="Times New Roman" w:eastAsia="Times New Roman" w:hAnsi="Times New Roman" w:cs="Arial"/>
          <w:b/>
          <w:bCs/>
          <w:sz w:val="24"/>
          <w:szCs w:val="24"/>
          <w:lang w:eastAsia="es-MX"/>
        </w:rPr>
        <w:t xml:space="preserve"> - </w:t>
      </w:r>
      <w:r w:rsidRPr="00141D6F">
        <w:rPr>
          <w:rFonts w:eastAsiaTheme="minorEastAsia" w:cs="Arial"/>
          <w:color w:val="000000" w:themeColor="text1"/>
        </w:rPr>
        <w:t>A la fecha de estas notas presentaron un valor histórico de 86,325,735.19, la depreciación acumulada al mes actual fue de 11,894,787.99, se afecta contra el resultado del ejercicio por lo que se determinó un valor neto en libros de 74,430,947.20.</w:t>
      </w:r>
    </w:p>
    <w:p w14:paraId="4C80FB60" w14:textId="77777777" w:rsidR="00141D6F" w:rsidRPr="00141D6F" w:rsidRDefault="00141D6F" w:rsidP="00141D6F">
      <w:pPr>
        <w:spacing w:after="0" w:line="240" w:lineRule="auto"/>
        <w:ind w:left="720"/>
        <w:contextualSpacing/>
        <w:rPr>
          <w:rFonts w:eastAsiaTheme="minorEastAsia" w:cs="Arial"/>
          <w:color w:val="000000" w:themeColor="text1"/>
        </w:rPr>
      </w:pPr>
    </w:p>
    <w:p w14:paraId="0B386F9D" w14:textId="77777777" w:rsidR="00141D6F" w:rsidRPr="00141D6F" w:rsidRDefault="00141D6F" w:rsidP="00141D6F">
      <w:pPr>
        <w:numPr>
          <w:ilvl w:val="0"/>
          <w:numId w:val="1"/>
        </w:numPr>
        <w:spacing w:after="0" w:line="276" w:lineRule="auto"/>
        <w:ind w:right="-1"/>
        <w:contextualSpacing/>
        <w:jc w:val="both"/>
        <w:rPr>
          <w:rFonts w:cs="Arial"/>
        </w:rPr>
      </w:pPr>
      <w:r w:rsidRPr="00141D6F">
        <w:rPr>
          <w:rFonts w:cs="Arial"/>
          <w:b/>
        </w:rPr>
        <w:t xml:space="preserve">Construcciones en Proceso en Bienes </w:t>
      </w:r>
      <w:proofErr w:type="gramStart"/>
      <w:r w:rsidRPr="00141D6F">
        <w:rPr>
          <w:rFonts w:cs="Arial"/>
          <w:b/>
        </w:rPr>
        <w:t>Propios</w:t>
      </w:r>
      <w:r w:rsidRPr="00141D6F">
        <w:rPr>
          <w:rFonts w:ascii="Times New Roman" w:eastAsia="Times New Roman" w:hAnsi="Times New Roman" w:cs="Arial"/>
          <w:b/>
          <w:sz w:val="24"/>
          <w:szCs w:val="24"/>
          <w:lang w:eastAsia="es-MX"/>
        </w:rPr>
        <w:t>.-</w:t>
      </w:r>
      <w:proofErr w:type="gramEnd"/>
      <w:r w:rsidRPr="00141D6F">
        <w:rPr>
          <w:rFonts w:ascii="Times New Roman" w:eastAsia="Times New Roman" w:hAnsi="Times New Roman" w:cs="Arial"/>
          <w:b/>
          <w:sz w:val="24"/>
          <w:szCs w:val="24"/>
          <w:lang w:eastAsia="es-MX"/>
        </w:rPr>
        <w:t xml:space="preserve"> </w:t>
      </w:r>
      <w:r w:rsidRPr="00141D6F">
        <w:rPr>
          <w:rFonts w:cs="Arial"/>
        </w:rPr>
        <w:t>El saldo es de 28,950,953.52 las cuales corresponden a las estimaciones de Obra en Proceso hasta la número 10.</w:t>
      </w:r>
    </w:p>
    <w:p w14:paraId="0F1E966E" w14:textId="77777777" w:rsidR="00141D6F" w:rsidRPr="00141D6F" w:rsidRDefault="00141D6F" w:rsidP="00141D6F">
      <w:pPr>
        <w:spacing w:after="0" w:line="276" w:lineRule="auto"/>
        <w:ind w:left="502" w:right="-1"/>
        <w:jc w:val="both"/>
        <w:rPr>
          <w:rFonts w:cs="Arial"/>
          <w:color w:val="000000" w:themeColor="text1"/>
        </w:rPr>
      </w:pPr>
    </w:p>
    <w:p w14:paraId="237DBCE0" w14:textId="77777777" w:rsidR="00141D6F" w:rsidRPr="00141D6F" w:rsidRDefault="00141D6F" w:rsidP="00141D6F">
      <w:pPr>
        <w:spacing w:line="259" w:lineRule="auto"/>
        <w:jc w:val="both"/>
        <w:rPr>
          <w:rFonts w:cs="Arial"/>
        </w:rPr>
      </w:pPr>
      <w:r w:rsidRPr="00141D6F">
        <w:rPr>
          <w:rFonts w:cs="Arial"/>
          <w:b/>
          <w:bCs/>
        </w:rPr>
        <w:t xml:space="preserve">Bienes </w:t>
      </w:r>
      <w:proofErr w:type="gramStart"/>
      <w:r w:rsidRPr="00141D6F">
        <w:rPr>
          <w:rFonts w:cs="Arial"/>
          <w:b/>
          <w:bCs/>
        </w:rPr>
        <w:t>Muebles.-</w:t>
      </w:r>
      <w:proofErr w:type="gramEnd"/>
      <w:r w:rsidRPr="00141D6F">
        <w:rPr>
          <w:rFonts w:cs="Arial"/>
          <w:b/>
          <w:bCs/>
        </w:rPr>
        <w:t xml:space="preserve"> </w:t>
      </w:r>
      <w:r w:rsidRPr="00141D6F">
        <w:rPr>
          <w:rFonts w:cs="Arial"/>
          <w:bCs/>
        </w:rPr>
        <w:t>El saldo de 218,681,495.55,  d</w:t>
      </w:r>
      <w:r w:rsidRPr="00141D6F">
        <w:rPr>
          <w:rFonts w:cs="Arial"/>
        </w:rPr>
        <w:t xml:space="preserve">e acuerdo con el Análisis de Movimientos del Activo No Circulante y su Depreciación se puede observar en el siguiente:  </w:t>
      </w:r>
    </w:p>
    <w:p w14:paraId="29C398B8" w14:textId="7E2A0178" w:rsidR="00141D6F" w:rsidRPr="00141D6F" w:rsidRDefault="00202C09" w:rsidP="00141D6F">
      <w:pPr>
        <w:spacing w:after="0" w:line="276" w:lineRule="auto"/>
        <w:ind w:right="-1"/>
        <w:jc w:val="center"/>
        <w:rPr>
          <w:bCs/>
          <w:color w:val="000000" w:themeColor="text1"/>
        </w:rPr>
      </w:pPr>
      <w:r w:rsidRPr="00202C09">
        <w:drawing>
          <wp:inline distT="0" distB="0" distL="0" distR="0" wp14:anchorId="37B5E9B6" wp14:editId="39771877">
            <wp:extent cx="6480175" cy="23841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7127" cy="2390409"/>
                    </a:xfrm>
                    <a:prstGeom prst="rect">
                      <a:avLst/>
                    </a:prstGeom>
                    <a:noFill/>
                    <a:ln>
                      <a:noFill/>
                    </a:ln>
                  </pic:spPr>
                </pic:pic>
              </a:graphicData>
            </a:graphic>
          </wp:inline>
        </w:drawing>
      </w:r>
    </w:p>
    <w:p w14:paraId="11D9A890" w14:textId="2C7B39F8" w:rsidR="00141D6F" w:rsidRPr="00141D6F" w:rsidRDefault="00141D6F" w:rsidP="00CD17A4">
      <w:pPr>
        <w:spacing w:after="0" w:line="240" w:lineRule="auto"/>
        <w:ind w:right="-1"/>
        <w:jc w:val="both"/>
        <w:rPr>
          <w:rFonts w:cs="Arial"/>
        </w:rPr>
      </w:pPr>
      <w:r w:rsidRPr="002D67D3">
        <w:rPr>
          <w:rFonts w:cs="Arial"/>
          <w:b/>
        </w:rPr>
        <w:t>Nota:</w:t>
      </w:r>
      <w:r w:rsidRPr="00141D6F">
        <w:rPr>
          <w:rFonts w:cs="Arial"/>
        </w:rPr>
        <w:t xml:space="preserve"> El importe de</w:t>
      </w:r>
      <w:r w:rsidR="00202C09">
        <w:rPr>
          <w:rFonts w:cs="Arial"/>
        </w:rPr>
        <w:t xml:space="preserve"> </w:t>
      </w:r>
      <w:r w:rsidR="00202C09" w:rsidRPr="00141D6F">
        <w:rPr>
          <w:rFonts w:cs="Arial"/>
        </w:rPr>
        <w:t>1'383,748.00, corresponden a seis vehículos que dejaron de ser útiles para el IFREM, por lo tanto, éstos se tendrán registrados en cuentas de orden hasta su destino final, de acuerdo con la autorización en el Acta de la Octogésima Octava Sesión Ordinaria del Consejo Directivo del IFREM</w:t>
      </w:r>
      <w:r w:rsidR="00202C09">
        <w:rPr>
          <w:rFonts w:cs="Arial"/>
        </w:rPr>
        <w:t>,</w:t>
      </w:r>
      <w:r w:rsidR="00202C09" w:rsidRPr="00141D6F">
        <w:rPr>
          <w:rFonts w:cs="Arial"/>
        </w:rPr>
        <w:t xml:space="preserve"> de fecha jueves 29</w:t>
      </w:r>
      <w:r w:rsidR="00202C09">
        <w:rPr>
          <w:rFonts w:cs="Arial"/>
        </w:rPr>
        <w:t xml:space="preserve"> de septiembre del presente año y la cantidad de </w:t>
      </w:r>
      <w:bookmarkStart w:id="0" w:name="_GoBack"/>
      <w:r w:rsidR="00202C09">
        <w:rPr>
          <w:rFonts w:cs="Arial"/>
        </w:rPr>
        <w:t>114,747.24</w:t>
      </w:r>
      <w:r w:rsidRPr="00141D6F">
        <w:rPr>
          <w:rFonts w:cs="Arial"/>
        </w:rPr>
        <w:t xml:space="preserve">; se integra por las reclasificaciones de 95,468.00 de la cuenta 1241-1 “Muebles de Oficina y Estantería”, a la cuenta 1241-3 “Equipo de Cómputo y de Tecnologías de la Información” y de 29,000.00 de Equipo de Cómputo y de Tecnologías de la Información a Muebles de Oficina y Estantería; además de la disminución </w:t>
      </w:r>
      <w:r w:rsidR="00CB34F5">
        <w:rPr>
          <w:rFonts w:cs="Arial"/>
        </w:rPr>
        <w:t>de</w:t>
      </w:r>
      <w:r w:rsidRPr="00141D6F">
        <w:rPr>
          <w:rFonts w:cs="Arial"/>
        </w:rPr>
        <w:t xml:space="preserve"> 12,003.68,</w:t>
      </w:r>
      <w:r w:rsidR="00CB34F5">
        <w:rPr>
          <w:rFonts w:cs="Arial"/>
        </w:rPr>
        <w:t xml:space="preserve"> por concepto de teléfonos</w:t>
      </w:r>
      <w:r w:rsidRPr="00141D6F">
        <w:rPr>
          <w:rFonts w:cs="Arial"/>
        </w:rPr>
        <w:t xml:space="preserve"> controlada en cuentas de orden, por ser bienes</w:t>
      </w:r>
      <w:r w:rsidR="00202C09">
        <w:rPr>
          <w:rFonts w:cs="Arial"/>
        </w:rPr>
        <w:t xml:space="preserve"> muebles</w:t>
      </w:r>
      <w:r w:rsidRPr="00141D6F">
        <w:rPr>
          <w:rFonts w:cs="Arial"/>
        </w:rPr>
        <w:t xml:space="preserve"> con un importe </w:t>
      </w:r>
      <w:r w:rsidR="00202C09">
        <w:rPr>
          <w:rFonts w:cs="Arial"/>
        </w:rPr>
        <w:t>menor a</w:t>
      </w:r>
      <w:r w:rsidRPr="00141D6F">
        <w:rPr>
          <w:rFonts w:cs="Arial"/>
        </w:rPr>
        <w:t xml:space="preserve"> 70 UMAS cada uno; dando un total en la cuenta de Equipo de Cómputo y Tecnologías de la Información de 54,464.32, así mismo de acuerdo con la conciliación de activos fijos, debido a que de acuerdo con el Sistema de Control Patrimonial (SICOPA-Web), ya no se tienen en los inventarios del IFREM,  se reclasifican de la depreciación acumulada la cantidad de 102,743.56, que corresponden a bienes muebles registrados contablemente y no so</w:t>
      </w:r>
      <w:r w:rsidR="00202C09">
        <w:rPr>
          <w:rFonts w:cs="Arial"/>
        </w:rPr>
        <w:t>n considerados en existencias.</w:t>
      </w:r>
    </w:p>
    <w:bookmarkEnd w:id="0"/>
    <w:p w14:paraId="66244525" w14:textId="77777777" w:rsidR="00141D6F" w:rsidRPr="00141D6F" w:rsidRDefault="00141D6F" w:rsidP="00141D6F">
      <w:pPr>
        <w:tabs>
          <w:tab w:val="left" w:pos="8868"/>
        </w:tabs>
        <w:spacing w:after="0" w:line="276" w:lineRule="auto"/>
        <w:ind w:right="-1"/>
        <w:jc w:val="both"/>
        <w:rPr>
          <w:rFonts w:cs="Arial"/>
          <w:color w:val="000000" w:themeColor="text1"/>
        </w:rPr>
      </w:pPr>
      <w:r w:rsidRPr="00141D6F">
        <w:rPr>
          <w:rFonts w:cs="Arial"/>
          <w:color w:val="000000" w:themeColor="text1"/>
        </w:rPr>
        <w:tab/>
      </w:r>
    </w:p>
    <w:p w14:paraId="187D9C6C" w14:textId="77777777" w:rsidR="00141D6F" w:rsidRPr="00141D6F" w:rsidRDefault="00141D6F" w:rsidP="00141D6F">
      <w:pPr>
        <w:spacing w:after="0" w:line="276" w:lineRule="auto"/>
        <w:ind w:right="-1"/>
        <w:rPr>
          <w:rFonts w:cs="Arial"/>
        </w:rPr>
      </w:pPr>
      <w:r w:rsidRPr="00141D6F">
        <w:rPr>
          <w:rFonts w:cs="Arial"/>
          <w:b/>
        </w:rPr>
        <w:t xml:space="preserve">Activos </w:t>
      </w:r>
      <w:proofErr w:type="gramStart"/>
      <w:r w:rsidRPr="00141D6F">
        <w:rPr>
          <w:rFonts w:cs="Arial"/>
          <w:b/>
        </w:rPr>
        <w:t>Diferidos.-</w:t>
      </w:r>
      <w:proofErr w:type="gramEnd"/>
      <w:r w:rsidRPr="00141D6F">
        <w:rPr>
          <w:rFonts w:cs="Arial"/>
        </w:rPr>
        <w:t xml:space="preserve"> El saldo de </w:t>
      </w:r>
      <w:r w:rsidRPr="00141D6F">
        <w:rPr>
          <w:rFonts w:cs="Arial"/>
          <w:color w:val="000000" w:themeColor="text1"/>
        </w:rPr>
        <w:t xml:space="preserve">61,839.00, </w:t>
      </w:r>
      <w:r w:rsidRPr="00141D6F">
        <w:rPr>
          <w:rFonts w:cs="Arial"/>
        </w:rPr>
        <w:t>se integra por la siguiente cuenta:</w:t>
      </w:r>
    </w:p>
    <w:p w14:paraId="25E69801" w14:textId="77777777" w:rsidR="00141D6F" w:rsidRPr="00141D6F" w:rsidRDefault="00141D6F" w:rsidP="00141D6F">
      <w:pPr>
        <w:spacing w:after="0" w:line="276" w:lineRule="auto"/>
        <w:ind w:right="-1"/>
        <w:rPr>
          <w:rFonts w:cs="Arial"/>
        </w:rPr>
      </w:pPr>
    </w:p>
    <w:p w14:paraId="1A621DC1" w14:textId="77777777" w:rsidR="00141D6F" w:rsidRPr="00141D6F" w:rsidRDefault="00141D6F" w:rsidP="00141D6F">
      <w:pPr>
        <w:numPr>
          <w:ilvl w:val="0"/>
          <w:numId w:val="1"/>
        </w:numPr>
        <w:spacing w:after="0" w:line="276" w:lineRule="auto"/>
        <w:ind w:right="-1"/>
        <w:contextualSpacing/>
        <w:jc w:val="both"/>
        <w:outlineLvl w:val="0"/>
        <w:rPr>
          <w:rFonts w:eastAsiaTheme="minorEastAsia" w:cs="Arial"/>
        </w:rPr>
      </w:pPr>
      <w:r w:rsidRPr="00141D6F">
        <w:rPr>
          <w:rFonts w:eastAsiaTheme="minorEastAsia" w:cs="Arial"/>
          <w:b/>
          <w:bCs/>
        </w:rPr>
        <w:t>Otros Activos Diferidos. -</w:t>
      </w:r>
      <w:r w:rsidRPr="00141D6F">
        <w:rPr>
          <w:rFonts w:eastAsiaTheme="minorEastAsia" w:cs="Arial"/>
        </w:rPr>
        <w:t xml:space="preserve"> Su saldo representa los depósitos en garantía que se han otorgado a la Comisión Federal de Electricidad (CFE) para prestar el servicio de energía eléctrica.</w:t>
      </w:r>
    </w:p>
    <w:p w14:paraId="411C4237" w14:textId="77777777" w:rsidR="00141D6F" w:rsidRPr="00141D6F" w:rsidRDefault="00141D6F" w:rsidP="00141D6F">
      <w:pPr>
        <w:spacing w:after="0" w:line="276" w:lineRule="auto"/>
        <w:ind w:left="502" w:right="-1"/>
        <w:contextualSpacing/>
        <w:jc w:val="both"/>
        <w:outlineLvl w:val="0"/>
        <w:rPr>
          <w:rFonts w:eastAsiaTheme="minorEastAsia" w:cs="Arial"/>
        </w:rPr>
      </w:pPr>
    </w:p>
    <w:p w14:paraId="74250E4C" w14:textId="77777777" w:rsidR="00141D6F" w:rsidRPr="00141D6F" w:rsidRDefault="00141D6F" w:rsidP="00141D6F">
      <w:pPr>
        <w:spacing w:line="276" w:lineRule="auto"/>
        <w:ind w:right="-1"/>
        <w:jc w:val="both"/>
        <w:outlineLvl w:val="0"/>
        <w:rPr>
          <w:rFonts w:cs="Arial"/>
          <w:b/>
        </w:rPr>
      </w:pPr>
      <w:r w:rsidRPr="00141D6F">
        <w:rPr>
          <w:rFonts w:cs="Arial"/>
          <w:b/>
        </w:rPr>
        <w:t>Pasivo Circulante</w:t>
      </w:r>
    </w:p>
    <w:p w14:paraId="4CA25D0A" w14:textId="77777777" w:rsidR="00141D6F" w:rsidRPr="00141D6F" w:rsidRDefault="00141D6F" w:rsidP="00141D6F">
      <w:pPr>
        <w:spacing w:line="240" w:lineRule="auto"/>
        <w:jc w:val="both"/>
        <w:rPr>
          <w:rFonts w:ascii="Calibri" w:eastAsia="Times New Roman" w:hAnsi="Calibri" w:cs="Times New Roman"/>
          <w:color w:val="000000"/>
          <w:sz w:val="22"/>
          <w:szCs w:val="22"/>
          <w:lang w:eastAsia="es-MX"/>
        </w:rPr>
      </w:pPr>
      <w:r w:rsidRPr="00141D6F">
        <w:rPr>
          <w:rFonts w:eastAsiaTheme="minorEastAsia" w:cs="Arial"/>
          <w:b/>
          <w:bCs/>
        </w:rPr>
        <w:t xml:space="preserve">Cuentas por Pagar a Corto </w:t>
      </w:r>
      <w:proofErr w:type="gramStart"/>
      <w:r w:rsidRPr="00141D6F">
        <w:rPr>
          <w:rFonts w:eastAsiaTheme="minorEastAsia" w:cs="Arial"/>
          <w:b/>
          <w:bCs/>
        </w:rPr>
        <w:t>Plazo</w:t>
      </w:r>
      <w:r w:rsidRPr="00141D6F">
        <w:rPr>
          <w:rFonts w:cs="Arial"/>
          <w:b/>
          <w:bCs/>
        </w:rPr>
        <w:t>.-</w:t>
      </w:r>
      <w:proofErr w:type="gramEnd"/>
      <w:r w:rsidRPr="00141D6F">
        <w:rPr>
          <w:rFonts w:cs="Arial"/>
          <w:b/>
          <w:bCs/>
          <w:sz w:val="22"/>
          <w:szCs w:val="22"/>
        </w:rPr>
        <w:t xml:space="preserve"> </w:t>
      </w:r>
      <w:r w:rsidRPr="00141D6F">
        <w:rPr>
          <w:rFonts w:eastAsiaTheme="minorEastAsia" w:cs="Arial"/>
        </w:rPr>
        <w:t>El saldo de este rubro por</w:t>
      </w:r>
      <w:r w:rsidRPr="00141D6F">
        <w:rPr>
          <w:rFonts w:ascii="Calibri" w:eastAsia="Times New Roman" w:hAnsi="Calibri" w:cs="Times New Roman"/>
          <w:color w:val="000000"/>
          <w:sz w:val="22"/>
          <w:szCs w:val="22"/>
          <w:lang w:eastAsia="es-MX"/>
        </w:rPr>
        <w:t xml:space="preserve"> </w:t>
      </w:r>
      <w:r w:rsidRPr="00141D6F">
        <w:rPr>
          <w:rFonts w:eastAsiaTheme="minorEastAsia" w:cs="Arial"/>
        </w:rPr>
        <w:t>2,025,017.64, se integra de la forma y con la antigüedad de saldos siguientes:</w:t>
      </w:r>
    </w:p>
    <w:p w14:paraId="7DE8CB0A" w14:textId="77777777" w:rsidR="00141D6F" w:rsidRPr="00141D6F" w:rsidRDefault="00141D6F" w:rsidP="00141D6F">
      <w:pPr>
        <w:numPr>
          <w:ilvl w:val="0"/>
          <w:numId w:val="1"/>
        </w:numPr>
        <w:spacing w:after="0" w:line="240" w:lineRule="auto"/>
        <w:ind w:right="-1"/>
        <w:contextualSpacing/>
        <w:jc w:val="both"/>
        <w:outlineLvl w:val="0"/>
        <w:rPr>
          <w:rFonts w:eastAsiaTheme="minorEastAsia" w:cs="Arial"/>
        </w:rPr>
      </w:pPr>
      <w:r w:rsidRPr="00141D6F">
        <w:rPr>
          <w:rFonts w:eastAsiaTheme="minorEastAsia" w:cs="Arial"/>
          <w:b/>
          <w:bCs/>
        </w:rPr>
        <w:lastRenderedPageBreak/>
        <w:t>Retenciones y Contribuciones por Pagar a Corto Plazo</w:t>
      </w:r>
      <w:r w:rsidRPr="00141D6F">
        <w:rPr>
          <w:rFonts w:ascii="Times New Roman" w:eastAsiaTheme="minorEastAsia" w:hAnsi="Times New Roman" w:cs="Arial"/>
          <w:b/>
          <w:bCs/>
          <w:sz w:val="24"/>
          <w:szCs w:val="24"/>
          <w:lang w:eastAsia="es-MX"/>
        </w:rPr>
        <w:t xml:space="preserve">. – </w:t>
      </w:r>
      <w:r w:rsidRPr="00141D6F">
        <w:rPr>
          <w:rFonts w:eastAsiaTheme="minorEastAsia" w:cs="Arial"/>
        </w:rPr>
        <w:t>El saldo de 1,247,241.77, en este mes representa Retenciones por pagar a ISSEMYM, Retenciones por pagar a SUTEYM, Retenciones de ISR por pagar al Sistema de Administración Tributaria (SAT).</w:t>
      </w:r>
    </w:p>
    <w:p w14:paraId="66C238B0" w14:textId="77777777" w:rsidR="00141D6F" w:rsidRPr="00141D6F" w:rsidRDefault="00141D6F" w:rsidP="00141D6F">
      <w:pPr>
        <w:spacing w:after="0" w:line="240" w:lineRule="auto"/>
        <w:ind w:left="502" w:right="-1"/>
        <w:contextualSpacing/>
        <w:jc w:val="both"/>
        <w:outlineLvl w:val="0"/>
        <w:rPr>
          <w:rFonts w:eastAsiaTheme="minorEastAsia" w:cs="Arial"/>
          <w:b/>
          <w:bCs/>
        </w:rPr>
      </w:pPr>
    </w:p>
    <w:p w14:paraId="4405B418" w14:textId="77777777" w:rsidR="00141D6F" w:rsidRPr="00141D6F" w:rsidRDefault="00141D6F" w:rsidP="00141D6F">
      <w:pPr>
        <w:spacing w:after="0" w:line="240" w:lineRule="auto"/>
        <w:ind w:left="502" w:right="-1"/>
        <w:contextualSpacing/>
        <w:jc w:val="center"/>
        <w:outlineLvl w:val="0"/>
        <w:rPr>
          <w:rFonts w:eastAsiaTheme="minorEastAsia" w:cs="Arial"/>
          <w:b/>
          <w:bCs/>
        </w:rPr>
      </w:pPr>
      <w:r w:rsidRPr="00141D6F">
        <w:rPr>
          <w:rFonts w:ascii="Times New Roman" w:eastAsiaTheme="minorEastAsia" w:hAnsi="Times New Roman" w:cs="Times New Roman"/>
          <w:noProof/>
          <w:sz w:val="24"/>
          <w:szCs w:val="24"/>
          <w:lang w:eastAsia="es-MX"/>
        </w:rPr>
        <w:drawing>
          <wp:inline distT="0" distB="0" distL="0" distR="0" wp14:anchorId="08F0E242" wp14:editId="1C24ACF6">
            <wp:extent cx="6058601" cy="1134745"/>
            <wp:effectExtent l="0" t="0" r="0" b="825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44" cy="1159120"/>
                    </a:xfrm>
                    <a:prstGeom prst="rect">
                      <a:avLst/>
                    </a:prstGeom>
                    <a:noFill/>
                    <a:ln>
                      <a:noFill/>
                    </a:ln>
                  </pic:spPr>
                </pic:pic>
              </a:graphicData>
            </a:graphic>
          </wp:inline>
        </w:drawing>
      </w:r>
    </w:p>
    <w:p w14:paraId="29DAD5BC" w14:textId="77777777" w:rsidR="00141D6F" w:rsidRPr="00141D6F" w:rsidRDefault="00141D6F" w:rsidP="00141D6F">
      <w:pPr>
        <w:spacing w:after="0" w:line="240" w:lineRule="auto"/>
        <w:ind w:left="502" w:right="-1"/>
        <w:contextualSpacing/>
        <w:jc w:val="both"/>
        <w:outlineLvl w:val="0"/>
        <w:rPr>
          <w:rFonts w:eastAsiaTheme="minorEastAsia" w:cs="Arial"/>
          <w:b/>
          <w:bCs/>
        </w:rPr>
      </w:pPr>
    </w:p>
    <w:p w14:paraId="4B465F0B" w14:textId="77777777" w:rsidR="00141D6F" w:rsidRPr="00141D6F" w:rsidRDefault="00141D6F" w:rsidP="00141D6F">
      <w:pPr>
        <w:spacing w:after="0" w:line="240" w:lineRule="auto"/>
        <w:ind w:left="502" w:right="-1"/>
        <w:contextualSpacing/>
        <w:jc w:val="both"/>
        <w:outlineLvl w:val="0"/>
        <w:rPr>
          <w:rFonts w:eastAsia="Times New Roman" w:cs="Arial"/>
          <w:lang w:eastAsia="es-MX"/>
        </w:rPr>
      </w:pPr>
    </w:p>
    <w:p w14:paraId="65B9095A" w14:textId="77777777" w:rsidR="00141D6F" w:rsidRPr="00141D6F" w:rsidRDefault="00141D6F" w:rsidP="00141D6F">
      <w:pPr>
        <w:numPr>
          <w:ilvl w:val="0"/>
          <w:numId w:val="1"/>
        </w:numPr>
        <w:spacing w:after="0" w:line="240" w:lineRule="auto"/>
        <w:ind w:right="-1"/>
        <w:contextualSpacing/>
        <w:jc w:val="both"/>
        <w:outlineLvl w:val="0"/>
        <w:rPr>
          <w:rFonts w:eastAsia="Times New Roman" w:cs="Arial"/>
          <w:lang w:eastAsia="es-MX"/>
        </w:rPr>
      </w:pPr>
      <w:r w:rsidRPr="00141D6F">
        <w:rPr>
          <w:rFonts w:eastAsiaTheme="minorEastAsia" w:cs="Arial"/>
          <w:b/>
          <w:bCs/>
        </w:rPr>
        <w:t xml:space="preserve">Otras Cuentas por Pagar a Corto Plazo. </w:t>
      </w:r>
      <w:r w:rsidRPr="00141D6F">
        <w:rPr>
          <w:rFonts w:eastAsiaTheme="minorEastAsia" w:cs="Arial"/>
        </w:rPr>
        <w:t xml:space="preserve">- El saldo de </w:t>
      </w:r>
      <w:r w:rsidRPr="00141D6F">
        <w:rPr>
          <w:rFonts w:eastAsia="HelveticaNeueLT Std" w:cs="HelveticaNeueLT Std"/>
        </w:rPr>
        <w:t>777,775.87</w:t>
      </w:r>
      <w:r w:rsidRPr="00141D6F">
        <w:rPr>
          <w:rFonts w:eastAsiaTheme="minorEastAsia" w:cs="Arial"/>
        </w:rPr>
        <w:t>, se representa principalmente, ISERTP 3% Sobre Nóminas, Servicios Personales(Finiquitos), Aportaciones ISSEMYM, Prestaciones Sociales y Estímulos y Cheques en tránsito cancelados y devoluciones de ingresos indebidos.</w:t>
      </w:r>
    </w:p>
    <w:p w14:paraId="06A8B22B"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p>
    <w:p w14:paraId="10C7C163"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p>
    <w:p w14:paraId="5A52BB6B"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r w:rsidRPr="00141D6F">
        <w:rPr>
          <w:rFonts w:ascii="Times New Roman" w:eastAsia="Times New Roman" w:hAnsi="Times New Roman" w:cs="Times New Roman"/>
          <w:noProof/>
          <w:sz w:val="24"/>
          <w:szCs w:val="24"/>
          <w:lang w:eastAsia="es-MX"/>
        </w:rPr>
        <w:drawing>
          <wp:inline distT="0" distB="0" distL="0" distR="0" wp14:anchorId="460C0892" wp14:editId="56B1B383">
            <wp:extent cx="5895917" cy="3446145"/>
            <wp:effectExtent l="0" t="0" r="0" b="190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3315" cy="3450469"/>
                    </a:xfrm>
                    <a:prstGeom prst="rect">
                      <a:avLst/>
                    </a:prstGeom>
                    <a:noFill/>
                    <a:ln>
                      <a:noFill/>
                    </a:ln>
                  </pic:spPr>
                </pic:pic>
              </a:graphicData>
            </a:graphic>
          </wp:inline>
        </w:drawing>
      </w:r>
    </w:p>
    <w:p w14:paraId="32ECEA83"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p>
    <w:p w14:paraId="45ED79FB"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p>
    <w:p w14:paraId="426D7C95"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p>
    <w:p w14:paraId="7D513744" w14:textId="77777777" w:rsidR="00141D6F" w:rsidRPr="00141D6F" w:rsidRDefault="00141D6F" w:rsidP="00141D6F">
      <w:pPr>
        <w:spacing w:after="0" w:line="240" w:lineRule="auto"/>
        <w:ind w:left="720"/>
        <w:contextualSpacing/>
        <w:rPr>
          <w:rFonts w:ascii="Times New Roman" w:eastAsia="Times New Roman" w:hAnsi="Times New Roman" w:cs="Arial"/>
          <w:sz w:val="24"/>
          <w:szCs w:val="24"/>
          <w:lang w:eastAsia="es-MX"/>
        </w:rPr>
      </w:pPr>
      <w:r w:rsidRPr="00141D6F">
        <w:rPr>
          <w:rFonts w:ascii="Times New Roman" w:eastAsia="Times New Roman" w:hAnsi="Times New Roman" w:cs="Times New Roman"/>
          <w:noProof/>
          <w:sz w:val="24"/>
          <w:szCs w:val="24"/>
          <w:lang w:eastAsia="es-MX"/>
        </w:rPr>
        <w:lastRenderedPageBreak/>
        <w:drawing>
          <wp:inline distT="0" distB="0" distL="0" distR="0" wp14:anchorId="7A4086B2" wp14:editId="3E432CB9">
            <wp:extent cx="5901527" cy="1539875"/>
            <wp:effectExtent l="0" t="0" r="4445"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527" cy="1539875"/>
                    </a:xfrm>
                    <a:prstGeom prst="rect">
                      <a:avLst/>
                    </a:prstGeom>
                    <a:noFill/>
                    <a:ln>
                      <a:noFill/>
                    </a:ln>
                  </pic:spPr>
                </pic:pic>
              </a:graphicData>
            </a:graphic>
          </wp:inline>
        </w:drawing>
      </w:r>
    </w:p>
    <w:p w14:paraId="2EBF95E3" w14:textId="77777777" w:rsidR="00141D6F" w:rsidRPr="00141D6F" w:rsidRDefault="00141D6F" w:rsidP="00141D6F">
      <w:pPr>
        <w:spacing w:line="276" w:lineRule="auto"/>
        <w:ind w:right="-1"/>
        <w:jc w:val="both"/>
        <w:outlineLvl w:val="0"/>
        <w:rPr>
          <w:rFonts w:eastAsiaTheme="minorEastAsia" w:cs="Arial"/>
          <w:b/>
          <w:bCs/>
        </w:rPr>
      </w:pPr>
      <w:r w:rsidRPr="00141D6F">
        <w:rPr>
          <w:rFonts w:eastAsiaTheme="minorEastAsia" w:cs="Arial"/>
          <w:b/>
          <w:bCs/>
        </w:rPr>
        <w:t>Pasivo No Circulante</w:t>
      </w:r>
    </w:p>
    <w:p w14:paraId="06E5F4AB" w14:textId="77777777" w:rsidR="00141D6F" w:rsidRPr="00141D6F" w:rsidRDefault="00141D6F" w:rsidP="00141D6F">
      <w:pPr>
        <w:spacing w:line="276" w:lineRule="auto"/>
        <w:ind w:right="-1"/>
        <w:jc w:val="both"/>
        <w:outlineLvl w:val="0"/>
        <w:rPr>
          <w:rFonts w:eastAsiaTheme="minorEastAsia" w:cs="Arial"/>
          <w:b/>
          <w:bCs/>
        </w:rPr>
      </w:pPr>
      <w:r w:rsidRPr="00141D6F">
        <w:rPr>
          <w:rFonts w:eastAsiaTheme="minorEastAsia" w:cs="Arial"/>
          <w:b/>
          <w:bCs/>
        </w:rPr>
        <w:t xml:space="preserve">Documentos por Pagar a Largo Plazo. - </w:t>
      </w:r>
      <w:r w:rsidRPr="00141D6F">
        <w:rPr>
          <w:rFonts w:eastAsiaTheme="minorEastAsia" w:cs="Arial"/>
          <w:bCs/>
        </w:rPr>
        <w:t>Se integra por:</w:t>
      </w:r>
    </w:p>
    <w:p w14:paraId="3EE7F75F" w14:textId="77777777" w:rsidR="00141D6F" w:rsidRPr="00141D6F" w:rsidRDefault="00141D6F" w:rsidP="00141D6F">
      <w:pPr>
        <w:numPr>
          <w:ilvl w:val="0"/>
          <w:numId w:val="1"/>
        </w:numPr>
        <w:spacing w:after="0" w:line="240" w:lineRule="auto"/>
        <w:contextualSpacing/>
        <w:jc w:val="both"/>
        <w:rPr>
          <w:rFonts w:eastAsiaTheme="minorEastAsia" w:cs="Arial"/>
        </w:rPr>
      </w:pPr>
      <w:r w:rsidRPr="00141D6F">
        <w:rPr>
          <w:rFonts w:eastAsiaTheme="minorEastAsia" w:cs="Arial"/>
          <w:b/>
          <w:bCs/>
        </w:rPr>
        <w:t>Documentos Comerciales por Pagar a Largo Plazo</w:t>
      </w:r>
      <w:r w:rsidRPr="00141D6F">
        <w:rPr>
          <w:rFonts w:ascii="Times New Roman" w:eastAsiaTheme="minorEastAsia" w:hAnsi="Times New Roman" w:cs="Arial"/>
          <w:b/>
          <w:bCs/>
          <w:sz w:val="24"/>
          <w:szCs w:val="24"/>
          <w:lang w:eastAsia="es-MX"/>
        </w:rPr>
        <w:t>.-</w:t>
      </w:r>
      <w:r w:rsidRPr="00141D6F">
        <w:rPr>
          <w:rFonts w:ascii="Times New Roman" w:eastAsiaTheme="minorEastAsia" w:hAnsi="Times New Roman" w:cs="Arial"/>
          <w:sz w:val="24"/>
          <w:szCs w:val="24"/>
          <w:lang w:eastAsia="es-MX"/>
        </w:rPr>
        <w:t xml:space="preserve"> </w:t>
      </w:r>
      <w:r w:rsidRPr="00141D6F">
        <w:rPr>
          <w:rFonts w:eastAsiaTheme="minorEastAsia" w:cs="Arial"/>
        </w:rPr>
        <w:t xml:space="preserve">El saldo de 5,415,514,079.19, corresponde al pasivo,  en los que se comprometen los ingresos presentes y futuros por concepto de Registro Público de la Propiedad (RPP) del IFREM, de acuerdo al Decreto de Autorización No. 79 publicado en la Gaceta del Gobierno de fecha 12 de mayo del 2010; por el Fideicomiso de Cobranza con el contrato irrevocable </w:t>
      </w:r>
      <w:bookmarkStart w:id="1" w:name="_Hlk62665902"/>
      <w:r w:rsidRPr="00141D6F">
        <w:rPr>
          <w:rFonts w:eastAsiaTheme="minorEastAsia" w:cs="Arial"/>
        </w:rPr>
        <w:t xml:space="preserve">número </w:t>
      </w:r>
      <w:bookmarkEnd w:id="1"/>
      <w:r w:rsidRPr="00141D6F">
        <w:rPr>
          <w:rFonts w:eastAsiaTheme="minorEastAsia" w:cs="Arial"/>
        </w:rPr>
        <w:t>80615, de fecha 29 de julio en el ejercicio 2010; correspondiente a los Certificados Bursátiles Fiduciarios Serie A por 1,699,641,269.55 y</w:t>
      </w:r>
      <w:r w:rsidRPr="00141D6F">
        <w:rPr>
          <w:rFonts w:ascii="Times New Roman" w:eastAsiaTheme="minorEastAsia" w:hAnsi="Times New Roman" w:cs="Arial"/>
          <w:sz w:val="24"/>
          <w:szCs w:val="24"/>
          <w:lang w:eastAsia="es-MX"/>
        </w:rPr>
        <w:t xml:space="preserve"> </w:t>
      </w:r>
      <w:r w:rsidRPr="00141D6F">
        <w:rPr>
          <w:rFonts w:eastAsiaTheme="minorEastAsia" w:cs="Arial"/>
        </w:rPr>
        <w:t>Certificados Bursátiles Fiduciarios Serie B por 799,108,011.00, así mismo por el contrato del Fideicomiso Irrevocable número F/1426, de fecha 10 de marzo de 2011, con un saldo por pagar de 2,916,764,798.64.</w:t>
      </w:r>
    </w:p>
    <w:p w14:paraId="5859DC93" w14:textId="77777777" w:rsidR="001B23A4" w:rsidRPr="00654100" w:rsidRDefault="001B23A4" w:rsidP="001B23A4">
      <w:pPr>
        <w:pStyle w:val="Prrafodelista"/>
        <w:numPr>
          <w:ilvl w:val="0"/>
          <w:numId w:val="9"/>
        </w:numPr>
        <w:spacing w:before="240" w:after="240" w:line="276" w:lineRule="auto"/>
        <w:ind w:right="-1"/>
        <w:outlineLvl w:val="0"/>
        <w:rPr>
          <w:rFonts w:ascii="HelveticaNeueLT Std" w:eastAsiaTheme="minorHAnsi" w:hAnsi="HelveticaNeueLT Std" w:cs="Arial"/>
          <w:b/>
          <w:sz w:val="20"/>
          <w:szCs w:val="20"/>
          <w:lang w:eastAsia="en-US"/>
        </w:rPr>
      </w:pPr>
      <w:r w:rsidRPr="00654100">
        <w:rPr>
          <w:rFonts w:ascii="HelveticaNeueLT Std" w:eastAsiaTheme="minorHAnsi" w:hAnsi="HelveticaNeueLT Std" w:cs="Arial"/>
          <w:b/>
          <w:sz w:val="20"/>
          <w:szCs w:val="20"/>
          <w:lang w:eastAsia="en-US"/>
        </w:rPr>
        <w:t>NOTAS AL ESTADO DE ACTIVIDADES</w:t>
      </w:r>
    </w:p>
    <w:p w14:paraId="0A6FDD21" w14:textId="77777777" w:rsidR="001B23A4" w:rsidRPr="0096540A" w:rsidRDefault="001B23A4" w:rsidP="001B23A4">
      <w:pPr>
        <w:spacing w:before="240" w:after="240" w:line="276" w:lineRule="auto"/>
        <w:ind w:left="1068" w:right="-1"/>
        <w:contextualSpacing/>
        <w:outlineLvl w:val="0"/>
        <w:rPr>
          <w:rFonts w:eastAsia="Times New Roman" w:cs="Arial"/>
          <w:b/>
          <w:sz w:val="16"/>
          <w:lang w:eastAsia="es-MX"/>
        </w:rPr>
      </w:pPr>
    </w:p>
    <w:p w14:paraId="0082F9C8" w14:textId="3D5E76F9" w:rsidR="001B23A4" w:rsidRPr="00DA5FD6" w:rsidRDefault="00293CB6" w:rsidP="001B23A4">
      <w:pPr>
        <w:spacing w:line="276" w:lineRule="auto"/>
        <w:ind w:right="-1"/>
        <w:jc w:val="both"/>
        <w:outlineLvl w:val="0"/>
        <w:rPr>
          <w:rFonts w:cs="Arial"/>
          <w:b/>
        </w:rPr>
      </w:pPr>
      <w:r>
        <w:rPr>
          <w:rFonts w:cs="Arial"/>
          <w:b/>
        </w:rPr>
        <w:t>Ingresos de la Gestión</w:t>
      </w:r>
    </w:p>
    <w:p w14:paraId="3BB52960" w14:textId="324247AC" w:rsidR="001B23A4" w:rsidRPr="00244768" w:rsidRDefault="001B23A4" w:rsidP="00D46E7C">
      <w:pPr>
        <w:pStyle w:val="Prrafodelista"/>
        <w:numPr>
          <w:ilvl w:val="0"/>
          <w:numId w:val="15"/>
        </w:numPr>
        <w:spacing w:line="276" w:lineRule="auto"/>
        <w:ind w:left="567" w:right="-1" w:hanging="425"/>
        <w:jc w:val="both"/>
        <w:rPr>
          <w:rFonts w:cs="Arial"/>
          <w:b/>
        </w:rPr>
      </w:pPr>
      <w:r w:rsidRPr="00244768">
        <w:rPr>
          <w:rFonts w:ascii="HelveticaNeueLT Std" w:hAnsi="HelveticaNeueLT Std" w:cs="Arial"/>
          <w:b/>
          <w:sz w:val="20"/>
          <w:szCs w:val="20"/>
        </w:rPr>
        <w:t>Derechos.</w:t>
      </w:r>
      <w:r w:rsidRPr="00244768">
        <w:rPr>
          <w:rFonts w:cs="Arial"/>
          <w:b/>
        </w:rPr>
        <w:t xml:space="preserve"> - </w:t>
      </w:r>
      <w:r w:rsidRPr="00244768">
        <w:rPr>
          <w:rFonts w:ascii="HelveticaNeueLT Std" w:hAnsi="HelveticaNeueLT Std" w:cs="Arial"/>
          <w:sz w:val="20"/>
          <w:szCs w:val="20"/>
        </w:rPr>
        <w:t xml:space="preserve">Los Ingresos de Gestión por los Derechos de los servicios prestados por el Instituto, en el mes fueron por la cantidad de </w:t>
      </w:r>
      <w:r w:rsidRPr="00394E93">
        <w:rPr>
          <w:rFonts w:ascii="HelveticaNeueLT Std" w:hAnsi="HelveticaNeueLT Std" w:cs="Arial"/>
          <w:sz w:val="20"/>
          <w:szCs w:val="20"/>
        </w:rPr>
        <w:t>162</w:t>
      </w:r>
      <w:r>
        <w:rPr>
          <w:rFonts w:ascii="HelveticaNeueLT Std" w:hAnsi="HelveticaNeueLT Std" w:cs="Arial"/>
          <w:sz w:val="20"/>
          <w:szCs w:val="20"/>
        </w:rPr>
        <w:t>,</w:t>
      </w:r>
      <w:r w:rsidRPr="00394E93">
        <w:rPr>
          <w:rFonts w:ascii="HelveticaNeueLT Std" w:hAnsi="HelveticaNeueLT Std" w:cs="Arial"/>
          <w:sz w:val="20"/>
          <w:szCs w:val="20"/>
        </w:rPr>
        <w:t>950</w:t>
      </w:r>
      <w:r>
        <w:rPr>
          <w:rFonts w:ascii="HelveticaNeueLT Std" w:hAnsi="HelveticaNeueLT Std" w:cs="Arial"/>
          <w:sz w:val="20"/>
          <w:szCs w:val="20"/>
        </w:rPr>
        <w:t>,</w:t>
      </w:r>
      <w:r w:rsidRPr="00394E93">
        <w:rPr>
          <w:rFonts w:ascii="HelveticaNeueLT Std" w:hAnsi="HelveticaNeueLT Std" w:cs="Arial"/>
          <w:sz w:val="20"/>
          <w:szCs w:val="20"/>
        </w:rPr>
        <w:t>312</w:t>
      </w:r>
      <w:r w:rsidRPr="003046CA">
        <w:rPr>
          <w:rFonts w:ascii="HelveticaNeueLT Std" w:hAnsi="HelveticaNeueLT Std" w:cs="Arial"/>
          <w:sz w:val="20"/>
          <w:szCs w:val="20"/>
        </w:rPr>
        <w:t>.00</w:t>
      </w:r>
      <w:r w:rsidRPr="00244768">
        <w:rPr>
          <w:rFonts w:ascii="HelveticaNeueLT Std" w:hAnsi="HelveticaNeueLT Std" w:cs="Arial"/>
          <w:sz w:val="20"/>
          <w:szCs w:val="20"/>
        </w:rPr>
        <w:t xml:space="preserve"> obteniendo una recaudación en los recursos del Registro Público de la Propiedad (RPP) por </w:t>
      </w:r>
      <w:r w:rsidRPr="00B40260">
        <w:rPr>
          <w:rFonts w:ascii="HelveticaNeueLT Std" w:hAnsi="HelveticaNeueLT Std" w:cs="Arial"/>
          <w:sz w:val="20"/>
          <w:szCs w:val="20"/>
        </w:rPr>
        <w:t>159,799,113.00</w:t>
      </w:r>
      <w:r w:rsidRPr="00244768">
        <w:rPr>
          <w:rFonts w:ascii="HelveticaNeueLT Std" w:hAnsi="HelveticaNeueLT Std" w:cs="Arial"/>
          <w:sz w:val="20"/>
          <w:szCs w:val="20"/>
        </w:rPr>
        <w:t xml:space="preserve"> y los recursos del Registro Público del Comercio (RPC) por </w:t>
      </w:r>
      <w:r w:rsidRPr="00B40260">
        <w:rPr>
          <w:rFonts w:ascii="HelveticaNeueLT Std" w:hAnsi="HelveticaNeueLT Std" w:cs="Arial"/>
          <w:sz w:val="20"/>
          <w:szCs w:val="20"/>
        </w:rPr>
        <w:t>3,151,199.00</w:t>
      </w:r>
      <w:r w:rsidRPr="00244768">
        <w:rPr>
          <w:rFonts w:ascii="HelveticaNeueLT Std" w:hAnsi="HelveticaNeueLT Std" w:cs="Arial"/>
          <w:sz w:val="20"/>
          <w:szCs w:val="20"/>
        </w:rPr>
        <w:t xml:space="preserve">. Al mes se lleva un total acumulado por </w:t>
      </w:r>
      <w:r w:rsidRPr="00B40260">
        <w:rPr>
          <w:rFonts w:ascii="HelveticaNeueLT Std" w:hAnsi="HelveticaNeueLT Std" w:cs="Arial"/>
          <w:sz w:val="20"/>
          <w:szCs w:val="20"/>
        </w:rPr>
        <w:t>1</w:t>
      </w:r>
      <w:r>
        <w:rPr>
          <w:rFonts w:ascii="HelveticaNeueLT Std" w:hAnsi="HelveticaNeueLT Std" w:cs="Arial"/>
          <w:sz w:val="20"/>
          <w:szCs w:val="20"/>
        </w:rPr>
        <w:t>,</w:t>
      </w:r>
      <w:r w:rsidRPr="00B40260">
        <w:rPr>
          <w:rFonts w:ascii="HelveticaNeueLT Std" w:hAnsi="HelveticaNeueLT Std" w:cs="Arial"/>
          <w:sz w:val="20"/>
          <w:szCs w:val="20"/>
        </w:rPr>
        <w:t>280</w:t>
      </w:r>
      <w:r>
        <w:rPr>
          <w:rFonts w:ascii="HelveticaNeueLT Std" w:hAnsi="HelveticaNeueLT Std" w:cs="Arial"/>
          <w:sz w:val="20"/>
          <w:szCs w:val="20"/>
        </w:rPr>
        <w:t>,</w:t>
      </w:r>
      <w:r w:rsidRPr="00B40260">
        <w:rPr>
          <w:rFonts w:ascii="HelveticaNeueLT Std" w:hAnsi="HelveticaNeueLT Std" w:cs="Arial"/>
          <w:sz w:val="20"/>
          <w:szCs w:val="20"/>
        </w:rPr>
        <w:t>516</w:t>
      </w:r>
      <w:r>
        <w:rPr>
          <w:rFonts w:ascii="HelveticaNeueLT Std" w:hAnsi="HelveticaNeueLT Std" w:cs="Arial"/>
          <w:sz w:val="20"/>
          <w:szCs w:val="20"/>
        </w:rPr>
        <w:t>,</w:t>
      </w:r>
      <w:r w:rsidRPr="00B40260">
        <w:rPr>
          <w:rFonts w:ascii="HelveticaNeueLT Std" w:hAnsi="HelveticaNeueLT Std" w:cs="Arial"/>
          <w:sz w:val="20"/>
          <w:szCs w:val="20"/>
        </w:rPr>
        <w:t>176</w:t>
      </w:r>
      <w:r>
        <w:rPr>
          <w:rFonts w:ascii="HelveticaNeueLT Std" w:hAnsi="HelveticaNeueLT Std" w:cs="Arial"/>
          <w:sz w:val="20"/>
          <w:szCs w:val="20"/>
        </w:rPr>
        <w:t>.00</w:t>
      </w:r>
      <w:r w:rsidRPr="00244768">
        <w:rPr>
          <w:rFonts w:ascii="HelveticaNeueLT Std" w:hAnsi="HelveticaNeueLT Std" w:cs="Arial"/>
          <w:sz w:val="20"/>
          <w:szCs w:val="20"/>
        </w:rPr>
        <w:t>.</w:t>
      </w:r>
    </w:p>
    <w:p w14:paraId="300118CD" w14:textId="77777777" w:rsidR="001B23A4" w:rsidRPr="00244768" w:rsidRDefault="001B23A4" w:rsidP="001B23A4">
      <w:pPr>
        <w:pStyle w:val="Prrafodelista"/>
        <w:spacing w:line="276" w:lineRule="auto"/>
        <w:ind w:left="644" w:right="-1"/>
        <w:jc w:val="both"/>
        <w:rPr>
          <w:rFonts w:cs="Arial"/>
          <w:b/>
        </w:rPr>
      </w:pPr>
    </w:p>
    <w:p w14:paraId="35213602" w14:textId="77777777" w:rsidR="001B23A4" w:rsidRPr="00244768" w:rsidRDefault="001B23A4" w:rsidP="00D46E7C">
      <w:pPr>
        <w:pStyle w:val="Prrafodelista"/>
        <w:numPr>
          <w:ilvl w:val="0"/>
          <w:numId w:val="15"/>
        </w:numPr>
        <w:spacing w:line="276" w:lineRule="auto"/>
        <w:ind w:right="-1"/>
        <w:jc w:val="both"/>
        <w:rPr>
          <w:rFonts w:cs="Arial"/>
          <w:b/>
        </w:rPr>
      </w:pPr>
      <w:r w:rsidRPr="00244768">
        <w:rPr>
          <w:rFonts w:ascii="HelveticaNeueLT Std" w:hAnsi="HelveticaNeueLT Std" w:cs="Arial"/>
          <w:b/>
          <w:sz w:val="20"/>
          <w:szCs w:val="20"/>
        </w:rPr>
        <w:t>Otros Ingresos y Beneficios</w:t>
      </w:r>
      <w:r w:rsidRPr="00244768">
        <w:rPr>
          <w:rFonts w:cs="Arial"/>
          <w:b/>
        </w:rPr>
        <w:t>:</w:t>
      </w:r>
      <w:r w:rsidRPr="00244768">
        <w:rPr>
          <w:rFonts w:cs="Arial"/>
        </w:rPr>
        <w:t xml:space="preserve"> </w:t>
      </w:r>
      <w:r w:rsidRPr="00244768">
        <w:rPr>
          <w:rFonts w:ascii="HelveticaNeueLT Std" w:hAnsi="HelveticaNeueLT Std" w:cs="Arial"/>
          <w:sz w:val="20"/>
          <w:szCs w:val="20"/>
        </w:rPr>
        <w:t xml:space="preserve">En el mes que se observa un monto de </w:t>
      </w:r>
      <w:r w:rsidRPr="005766B4">
        <w:rPr>
          <w:rFonts w:ascii="HelveticaNeueLT Std" w:hAnsi="HelveticaNeueLT Std" w:cs="Arial"/>
          <w:sz w:val="20"/>
          <w:szCs w:val="20"/>
        </w:rPr>
        <w:t>100</w:t>
      </w:r>
      <w:r>
        <w:rPr>
          <w:rFonts w:ascii="HelveticaNeueLT Std" w:hAnsi="HelveticaNeueLT Std" w:cs="Arial"/>
          <w:sz w:val="20"/>
          <w:szCs w:val="20"/>
        </w:rPr>
        <w:t>,</w:t>
      </w:r>
      <w:r w:rsidRPr="005766B4">
        <w:rPr>
          <w:rFonts w:ascii="HelveticaNeueLT Std" w:hAnsi="HelveticaNeueLT Std" w:cs="Arial"/>
          <w:sz w:val="20"/>
          <w:szCs w:val="20"/>
        </w:rPr>
        <w:t>264</w:t>
      </w:r>
      <w:r>
        <w:rPr>
          <w:rFonts w:ascii="HelveticaNeueLT Std" w:hAnsi="HelveticaNeueLT Std" w:cs="Arial"/>
          <w:sz w:val="20"/>
          <w:szCs w:val="20"/>
        </w:rPr>
        <w:t>,</w:t>
      </w:r>
      <w:r w:rsidRPr="005766B4">
        <w:rPr>
          <w:rFonts w:ascii="HelveticaNeueLT Std" w:hAnsi="HelveticaNeueLT Std" w:cs="Arial"/>
          <w:sz w:val="20"/>
          <w:szCs w:val="20"/>
        </w:rPr>
        <w:t>330.45</w:t>
      </w:r>
      <w:r w:rsidRPr="00244768">
        <w:rPr>
          <w:rFonts w:ascii="HelveticaNeueLT Std" w:hAnsi="HelveticaNeueLT Std" w:cs="Arial"/>
          <w:sz w:val="20"/>
          <w:szCs w:val="20"/>
        </w:rPr>
        <w:t xml:space="preserve">. Al mes se tiene un acumulado por </w:t>
      </w:r>
      <w:r w:rsidRPr="005766B4">
        <w:rPr>
          <w:rFonts w:ascii="HelveticaNeueLT Std" w:hAnsi="HelveticaNeueLT Std" w:cs="Arial"/>
          <w:sz w:val="20"/>
          <w:szCs w:val="20"/>
        </w:rPr>
        <w:t>345</w:t>
      </w:r>
      <w:r>
        <w:rPr>
          <w:rFonts w:ascii="HelveticaNeueLT Std" w:hAnsi="HelveticaNeueLT Std" w:cs="Arial"/>
          <w:sz w:val="20"/>
          <w:szCs w:val="20"/>
        </w:rPr>
        <w:t>,</w:t>
      </w:r>
      <w:r w:rsidRPr="005766B4">
        <w:rPr>
          <w:rFonts w:ascii="HelveticaNeueLT Std" w:hAnsi="HelveticaNeueLT Std" w:cs="Arial"/>
          <w:sz w:val="20"/>
          <w:szCs w:val="20"/>
        </w:rPr>
        <w:t>419</w:t>
      </w:r>
      <w:r>
        <w:rPr>
          <w:rFonts w:ascii="HelveticaNeueLT Std" w:hAnsi="HelveticaNeueLT Std" w:cs="Arial"/>
          <w:sz w:val="20"/>
          <w:szCs w:val="20"/>
        </w:rPr>
        <w:t>,</w:t>
      </w:r>
      <w:r w:rsidRPr="005766B4">
        <w:rPr>
          <w:rFonts w:ascii="HelveticaNeueLT Std" w:hAnsi="HelveticaNeueLT Std" w:cs="Arial"/>
          <w:sz w:val="20"/>
          <w:szCs w:val="20"/>
        </w:rPr>
        <w:t>143.81</w:t>
      </w:r>
      <w:r w:rsidRPr="00244768">
        <w:rPr>
          <w:rFonts w:ascii="HelveticaNeueLT Std" w:hAnsi="HelveticaNeueLT Std" w:cs="Arial"/>
          <w:sz w:val="20"/>
          <w:szCs w:val="20"/>
        </w:rPr>
        <w:t>, que corresponden a:</w:t>
      </w:r>
    </w:p>
    <w:p w14:paraId="5621B3C8" w14:textId="77777777" w:rsidR="001B23A4" w:rsidRPr="0096540A" w:rsidRDefault="001B23A4" w:rsidP="001B23A4">
      <w:pPr>
        <w:spacing w:after="0" w:line="276" w:lineRule="auto"/>
        <w:ind w:right="-1"/>
        <w:jc w:val="both"/>
        <w:rPr>
          <w:rFonts w:cs="Arial"/>
          <w:sz w:val="16"/>
        </w:rPr>
      </w:pPr>
    </w:p>
    <w:p w14:paraId="65FADD51" w14:textId="77777777" w:rsidR="001B23A4" w:rsidRDefault="001B23A4" w:rsidP="001B23A4">
      <w:pPr>
        <w:spacing w:line="276" w:lineRule="auto"/>
        <w:ind w:left="644" w:right="-1"/>
        <w:jc w:val="both"/>
        <w:outlineLvl w:val="0"/>
        <w:rPr>
          <w:rFonts w:cs="Arial"/>
        </w:rPr>
      </w:pPr>
      <w:r w:rsidRPr="00036CAD">
        <w:rPr>
          <w:rFonts w:cs="Arial"/>
          <w:b/>
        </w:rPr>
        <w:t>Ingresos Financieros</w:t>
      </w:r>
      <w:r w:rsidRPr="00036CAD">
        <w:rPr>
          <w:rFonts w:cs="Arial"/>
        </w:rPr>
        <w:t xml:space="preserve">. - </w:t>
      </w:r>
      <w:r w:rsidRPr="002F08C3">
        <w:rPr>
          <w:rFonts w:cs="Arial"/>
        </w:rPr>
        <w:t xml:space="preserve">Se observa en el mes un saldo de </w:t>
      </w:r>
      <w:r w:rsidRPr="005766B4">
        <w:rPr>
          <w:rFonts w:cs="Arial"/>
        </w:rPr>
        <w:t>100</w:t>
      </w:r>
      <w:r>
        <w:rPr>
          <w:rFonts w:cs="Arial"/>
        </w:rPr>
        <w:t>,</w:t>
      </w:r>
      <w:r w:rsidRPr="005766B4">
        <w:rPr>
          <w:rFonts w:cs="Arial"/>
        </w:rPr>
        <w:t>222</w:t>
      </w:r>
      <w:r>
        <w:rPr>
          <w:rFonts w:cs="Arial"/>
        </w:rPr>
        <w:t>,</w:t>
      </w:r>
      <w:r w:rsidRPr="005766B4">
        <w:rPr>
          <w:rFonts w:cs="Arial"/>
        </w:rPr>
        <w:t>262.75</w:t>
      </w:r>
      <w:r w:rsidRPr="002F08C3">
        <w:rPr>
          <w:rFonts w:cs="Arial"/>
        </w:rPr>
        <w:t>, que corresponden a los intereses de las cuentas bancarias productivas y las cuen</w:t>
      </w:r>
      <w:r>
        <w:rPr>
          <w:rFonts w:cs="Arial"/>
        </w:rPr>
        <w:t>tas de inversión del Instituto. A</w:t>
      </w:r>
      <w:r w:rsidRPr="000A636B">
        <w:rPr>
          <w:rFonts w:cs="Arial"/>
        </w:rPr>
        <w:t>l mes se tiene un acumulado por</w:t>
      </w:r>
      <w:r>
        <w:rPr>
          <w:rFonts w:cs="Arial"/>
        </w:rPr>
        <w:t xml:space="preserve"> </w:t>
      </w:r>
      <w:r w:rsidRPr="005766B4">
        <w:rPr>
          <w:rFonts w:cs="Arial"/>
        </w:rPr>
        <w:t>342</w:t>
      </w:r>
      <w:r>
        <w:rPr>
          <w:rFonts w:cs="Arial"/>
        </w:rPr>
        <w:t>,</w:t>
      </w:r>
      <w:r w:rsidRPr="005766B4">
        <w:rPr>
          <w:rFonts w:cs="Arial"/>
        </w:rPr>
        <w:t>139</w:t>
      </w:r>
      <w:r>
        <w:rPr>
          <w:rFonts w:cs="Arial"/>
        </w:rPr>
        <w:t>,</w:t>
      </w:r>
      <w:r w:rsidRPr="005766B4">
        <w:rPr>
          <w:rFonts w:cs="Arial"/>
        </w:rPr>
        <w:t>928.65</w:t>
      </w:r>
      <w:r>
        <w:rPr>
          <w:rFonts w:cs="Arial"/>
        </w:rPr>
        <w:t>.</w:t>
      </w:r>
    </w:p>
    <w:p w14:paraId="64094836" w14:textId="77777777" w:rsidR="001B23A4" w:rsidRDefault="001B23A4" w:rsidP="001B23A4">
      <w:pPr>
        <w:spacing w:line="276" w:lineRule="auto"/>
        <w:ind w:left="644" w:right="-1"/>
        <w:jc w:val="both"/>
        <w:outlineLvl w:val="0"/>
        <w:rPr>
          <w:rFonts w:cs="Arial"/>
        </w:rPr>
      </w:pPr>
      <w:r w:rsidRPr="00D16623">
        <w:rPr>
          <w:rFonts w:cs="Arial"/>
          <w:b/>
        </w:rPr>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sidRPr="00FF58BC">
        <w:rPr>
          <w:rFonts w:cs="Arial"/>
        </w:rPr>
        <w:t>42</w:t>
      </w:r>
      <w:r>
        <w:rPr>
          <w:rFonts w:cs="Arial"/>
        </w:rPr>
        <w:t>,</w:t>
      </w:r>
      <w:r w:rsidRPr="00FF58BC">
        <w:rPr>
          <w:rFonts w:cs="Arial"/>
        </w:rPr>
        <w:t>067.7</w:t>
      </w:r>
      <w:r>
        <w:rPr>
          <w:rFonts w:cs="Arial"/>
        </w:rPr>
        <w:t xml:space="preserve">0 correspondiente a </w:t>
      </w:r>
      <w:r w:rsidRPr="00D11ED4">
        <w:rPr>
          <w:rFonts w:cs="Arial"/>
        </w:rPr>
        <w:t xml:space="preserve">Otros Ingresos por </w:t>
      </w:r>
      <w:r w:rsidRPr="00CE53E6">
        <w:rPr>
          <w:rFonts w:cs="Arial"/>
        </w:rPr>
        <w:t>Reexpedición de Credencial</w:t>
      </w:r>
      <w:r>
        <w:rPr>
          <w:rFonts w:cs="Arial"/>
        </w:rPr>
        <w:t xml:space="preserve"> por </w:t>
      </w:r>
      <w:r w:rsidRPr="00FF58BC">
        <w:rPr>
          <w:rFonts w:cs="Arial"/>
        </w:rPr>
        <w:t>384.88</w:t>
      </w:r>
      <w:r>
        <w:rPr>
          <w:rFonts w:cs="Arial"/>
        </w:rPr>
        <w:t xml:space="preserve">, Llamadas Telefónicas no Oficiales por </w:t>
      </w:r>
      <w:r w:rsidRPr="00FF58BC">
        <w:rPr>
          <w:rFonts w:cs="Arial"/>
        </w:rPr>
        <w:t>18.81</w:t>
      </w:r>
      <w:r>
        <w:rPr>
          <w:rFonts w:cs="Arial"/>
        </w:rPr>
        <w:t xml:space="preserve">, </w:t>
      </w:r>
      <w:r w:rsidRPr="00CE53E6">
        <w:rPr>
          <w:rFonts w:cs="Arial"/>
        </w:rPr>
        <w:t>Otros Ingresos Diversos</w:t>
      </w:r>
      <w:r>
        <w:rPr>
          <w:rFonts w:cs="Arial"/>
        </w:rPr>
        <w:t xml:space="preserve"> por 0.09, </w:t>
      </w:r>
      <w:r w:rsidRPr="00B06E37">
        <w:rPr>
          <w:rFonts w:cs="Arial"/>
        </w:rPr>
        <w:t>Aprovechamientos por sanción o incumplimiento</w:t>
      </w:r>
      <w:r>
        <w:rPr>
          <w:rFonts w:cs="Arial"/>
        </w:rPr>
        <w:t xml:space="preserve"> por </w:t>
      </w:r>
      <w:r w:rsidRPr="00FF58BC">
        <w:rPr>
          <w:rFonts w:cs="Arial"/>
        </w:rPr>
        <w:t>15</w:t>
      </w:r>
      <w:r>
        <w:rPr>
          <w:rFonts w:cs="Arial"/>
        </w:rPr>
        <w:t>,</w:t>
      </w:r>
      <w:r w:rsidRPr="00FF58BC">
        <w:rPr>
          <w:rFonts w:cs="Arial"/>
        </w:rPr>
        <w:t>567.24</w:t>
      </w:r>
      <w:r>
        <w:rPr>
          <w:rFonts w:cs="Arial"/>
        </w:rPr>
        <w:t xml:space="preserve">, Depósitos en efectivo no referenciado </w:t>
      </w:r>
      <w:r w:rsidRPr="00FF58BC">
        <w:rPr>
          <w:rFonts w:cs="Arial"/>
        </w:rPr>
        <w:t>10,441.02</w:t>
      </w:r>
      <w:r>
        <w:rPr>
          <w:rFonts w:cs="Arial"/>
        </w:rPr>
        <w:t xml:space="preserve">, Rendimientos de la remesa de los ingresos por RPC por </w:t>
      </w:r>
      <w:r w:rsidRPr="00DB690E">
        <w:rPr>
          <w:rFonts w:cs="Arial"/>
        </w:rPr>
        <w:t>15,655.66</w:t>
      </w:r>
      <w:r>
        <w:rPr>
          <w:rFonts w:cs="Arial"/>
        </w:rPr>
        <w:t>. A</w:t>
      </w:r>
      <w:r w:rsidRPr="000A636B">
        <w:rPr>
          <w:rFonts w:cs="Arial"/>
        </w:rPr>
        <w:t>l mes se tiene un acumulado por</w:t>
      </w:r>
      <w:r>
        <w:rPr>
          <w:rFonts w:cs="Arial"/>
        </w:rPr>
        <w:t xml:space="preserve"> </w:t>
      </w:r>
      <w:r w:rsidRPr="00DB690E">
        <w:rPr>
          <w:rFonts w:cs="Arial"/>
        </w:rPr>
        <w:t>3</w:t>
      </w:r>
      <w:r>
        <w:rPr>
          <w:rFonts w:cs="Arial"/>
        </w:rPr>
        <w:t>,</w:t>
      </w:r>
      <w:r w:rsidRPr="00DB690E">
        <w:rPr>
          <w:rFonts w:cs="Arial"/>
        </w:rPr>
        <w:t>279</w:t>
      </w:r>
      <w:r>
        <w:rPr>
          <w:rFonts w:cs="Arial"/>
        </w:rPr>
        <w:t>,</w:t>
      </w:r>
      <w:r w:rsidRPr="00DB690E">
        <w:rPr>
          <w:rFonts w:cs="Arial"/>
        </w:rPr>
        <w:t>215.16</w:t>
      </w:r>
      <w:r>
        <w:rPr>
          <w:rFonts w:cs="Arial"/>
        </w:rPr>
        <w:t>.</w:t>
      </w:r>
    </w:p>
    <w:p w14:paraId="1549B876" w14:textId="77777777" w:rsidR="00141D6F" w:rsidRDefault="00141D6F" w:rsidP="001B23A4">
      <w:pPr>
        <w:spacing w:line="276" w:lineRule="auto"/>
        <w:ind w:right="-1"/>
        <w:jc w:val="both"/>
        <w:outlineLvl w:val="0"/>
        <w:rPr>
          <w:rFonts w:cs="Arial"/>
          <w:b/>
        </w:rPr>
      </w:pPr>
    </w:p>
    <w:p w14:paraId="2DDFAD6C" w14:textId="3B3697B4" w:rsidR="001B23A4" w:rsidRDefault="00293CB6" w:rsidP="001B23A4">
      <w:pPr>
        <w:spacing w:line="276" w:lineRule="auto"/>
        <w:ind w:right="-1"/>
        <w:jc w:val="both"/>
        <w:outlineLvl w:val="0"/>
        <w:rPr>
          <w:rFonts w:cs="Arial"/>
          <w:b/>
        </w:rPr>
      </w:pPr>
      <w:r>
        <w:rPr>
          <w:rFonts w:cs="Arial"/>
          <w:b/>
        </w:rPr>
        <w:t>Gastos y Otras Pérdidas</w:t>
      </w:r>
      <w:r w:rsidR="001B23A4">
        <w:rPr>
          <w:rFonts w:cs="Arial"/>
          <w:b/>
        </w:rPr>
        <w:t xml:space="preserve"> </w:t>
      </w:r>
    </w:p>
    <w:p w14:paraId="790CE032" w14:textId="77777777" w:rsid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244768">
        <w:rPr>
          <w:rFonts w:ascii="HelveticaNeueLT Std" w:eastAsiaTheme="minorHAnsi" w:hAnsi="HelveticaNeueLT Std" w:cs="Arial"/>
          <w:b/>
          <w:sz w:val="20"/>
          <w:szCs w:val="20"/>
          <w:lang w:eastAsia="en-US"/>
        </w:rPr>
        <w:t>Gastos de Funcionamiento.</w:t>
      </w:r>
      <w:r w:rsidRPr="00244768">
        <w:rPr>
          <w:rFonts w:cs="Arial"/>
        </w:rPr>
        <w:t xml:space="preserve"> - </w:t>
      </w:r>
      <w:r w:rsidRPr="00244768">
        <w:rPr>
          <w:rFonts w:ascii="HelveticaNeueLT Std" w:eastAsiaTheme="minorHAnsi" w:hAnsi="HelveticaNeueLT Std" w:cs="Arial"/>
          <w:sz w:val="20"/>
          <w:szCs w:val="20"/>
          <w:lang w:eastAsia="en-US"/>
        </w:rPr>
        <w:t xml:space="preserve">Para la operación del Instituto, se han erogado en este mes la cantidad de </w:t>
      </w:r>
      <w:r w:rsidRPr="00EC4C2D">
        <w:rPr>
          <w:rFonts w:ascii="HelveticaNeueLT Std" w:eastAsiaTheme="minorHAnsi" w:hAnsi="HelveticaNeueLT Std" w:cs="Arial"/>
          <w:sz w:val="20"/>
          <w:szCs w:val="20"/>
          <w:lang w:eastAsia="en-US"/>
        </w:rPr>
        <w:t>17</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779</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070.47</w:t>
      </w:r>
      <w:r w:rsidRPr="00244768">
        <w:rPr>
          <w:rFonts w:ascii="HelveticaNeueLT Std" w:eastAsiaTheme="minorHAnsi" w:hAnsi="HelveticaNeueLT Std" w:cs="Arial"/>
          <w:sz w:val="20"/>
          <w:szCs w:val="20"/>
          <w:lang w:eastAsia="en-US"/>
        </w:rPr>
        <w:t xml:space="preserve">, integrados principalmente por: “Servicios Personales” (pagos de la nómina y sus colaterales) con un importe de </w:t>
      </w:r>
      <w:r w:rsidRPr="00EC4C2D">
        <w:rPr>
          <w:rFonts w:ascii="HelveticaNeueLT Std" w:eastAsiaTheme="minorHAnsi" w:hAnsi="HelveticaNeueLT Std" w:cs="Arial"/>
          <w:sz w:val="20"/>
          <w:szCs w:val="20"/>
          <w:lang w:eastAsia="en-US"/>
        </w:rPr>
        <w:t>10</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603</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529.71</w:t>
      </w:r>
      <w:r w:rsidRPr="00244768">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59</w:t>
      </w:r>
      <w:r w:rsidRPr="00244768">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64</w:t>
      </w:r>
      <w:r w:rsidRPr="00244768">
        <w:rPr>
          <w:rFonts w:ascii="HelveticaNeueLT Std" w:eastAsiaTheme="minorHAnsi" w:hAnsi="HelveticaNeueLT Std" w:cs="Arial"/>
          <w:sz w:val="20"/>
          <w:szCs w:val="20"/>
          <w:lang w:eastAsia="en-US"/>
        </w:rPr>
        <w:t xml:space="preserve"> por ciento, en el concepto de “Materiales y Suministros” por </w:t>
      </w:r>
      <w:r w:rsidRPr="00EC4C2D">
        <w:rPr>
          <w:rFonts w:ascii="HelveticaNeueLT Std" w:eastAsiaTheme="minorHAnsi" w:hAnsi="HelveticaNeueLT Std" w:cs="Arial"/>
          <w:sz w:val="20"/>
          <w:szCs w:val="20"/>
          <w:lang w:eastAsia="en-US"/>
        </w:rPr>
        <w:t>1</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803</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299.08</w:t>
      </w:r>
      <w:r w:rsidRPr="00244768">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10</w:t>
      </w:r>
      <w:r w:rsidRPr="00244768">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14</w:t>
      </w:r>
      <w:r w:rsidRPr="00244768">
        <w:rPr>
          <w:rFonts w:ascii="HelveticaNeueLT Std" w:eastAsiaTheme="minorHAnsi" w:hAnsi="HelveticaNeueLT Std" w:cs="Arial"/>
          <w:sz w:val="20"/>
          <w:szCs w:val="20"/>
          <w:lang w:eastAsia="en-US"/>
        </w:rPr>
        <w:t xml:space="preserve"> por ciento, en el concepto </w:t>
      </w:r>
      <w:proofErr w:type="gramStart"/>
      <w:r w:rsidRPr="00244768">
        <w:rPr>
          <w:rFonts w:ascii="HelveticaNeueLT Std" w:eastAsiaTheme="minorHAnsi" w:hAnsi="HelveticaNeueLT Std" w:cs="Arial"/>
          <w:sz w:val="20"/>
          <w:szCs w:val="20"/>
          <w:lang w:eastAsia="en-US"/>
        </w:rPr>
        <w:t>de  “</w:t>
      </w:r>
      <w:proofErr w:type="gramEnd"/>
      <w:r w:rsidRPr="00244768">
        <w:rPr>
          <w:rFonts w:ascii="HelveticaNeueLT Std" w:eastAsiaTheme="minorHAnsi" w:hAnsi="HelveticaNeueLT Std" w:cs="Arial"/>
          <w:sz w:val="20"/>
          <w:szCs w:val="20"/>
          <w:lang w:eastAsia="en-US"/>
        </w:rPr>
        <w:t xml:space="preserve">Servicios Generales” por </w:t>
      </w:r>
      <w:r w:rsidRPr="00EC4C2D">
        <w:rPr>
          <w:rFonts w:ascii="HelveticaNeueLT Std" w:eastAsiaTheme="minorHAnsi" w:hAnsi="HelveticaNeueLT Std" w:cs="Arial"/>
          <w:sz w:val="20"/>
          <w:szCs w:val="20"/>
          <w:lang w:eastAsia="en-US"/>
        </w:rPr>
        <w:t>5</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372</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241.68</w:t>
      </w:r>
      <w:r w:rsidRPr="00244768">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30.22</w:t>
      </w:r>
      <w:r w:rsidRPr="00244768">
        <w:rPr>
          <w:rFonts w:ascii="HelveticaNeueLT Std" w:eastAsiaTheme="minorHAnsi" w:hAnsi="HelveticaNeueLT Std" w:cs="Arial"/>
          <w:sz w:val="20"/>
          <w:szCs w:val="20"/>
          <w:lang w:eastAsia="en-US"/>
        </w:rPr>
        <w:t xml:space="preserve"> por ciento. Presenta un saldo acumulado al mes por </w:t>
      </w:r>
      <w:r w:rsidRPr="00EC4C2D">
        <w:rPr>
          <w:rFonts w:ascii="HelveticaNeueLT Std" w:eastAsiaTheme="minorHAnsi" w:hAnsi="HelveticaNeueLT Std" w:cs="Arial"/>
          <w:sz w:val="20"/>
          <w:szCs w:val="20"/>
          <w:lang w:eastAsia="en-US"/>
        </w:rPr>
        <w:t>162</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598</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092.77</w:t>
      </w:r>
      <w:r w:rsidRPr="00244768">
        <w:rPr>
          <w:rFonts w:ascii="HelveticaNeueLT Std" w:eastAsiaTheme="minorHAnsi" w:hAnsi="HelveticaNeueLT Std" w:cs="Arial"/>
          <w:sz w:val="20"/>
          <w:szCs w:val="20"/>
          <w:lang w:eastAsia="en-US"/>
        </w:rPr>
        <w:t>.</w:t>
      </w:r>
    </w:p>
    <w:p w14:paraId="7E01E7CE" w14:textId="77777777" w:rsidR="001B23A4" w:rsidRDefault="001B23A4" w:rsidP="001B23A4">
      <w:pPr>
        <w:pStyle w:val="Prrafodelista"/>
        <w:spacing w:line="276" w:lineRule="auto"/>
        <w:ind w:left="644" w:right="-1"/>
        <w:jc w:val="both"/>
        <w:outlineLvl w:val="0"/>
        <w:rPr>
          <w:rFonts w:ascii="HelveticaNeueLT Std" w:eastAsiaTheme="minorHAnsi" w:hAnsi="HelveticaNeueLT Std" w:cs="Arial"/>
          <w:sz w:val="20"/>
          <w:szCs w:val="20"/>
          <w:lang w:eastAsia="en-US"/>
        </w:rPr>
      </w:pPr>
    </w:p>
    <w:p w14:paraId="2A26BD9A" w14:textId="77777777" w:rsid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244768">
        <w:rPr>
          <w:rFonts w:ascii="HelveticaNeueLT Std" w:eastAsiaTheme="minorHAnsi" w:hAnsi="HelveticaNeueLT Std" w:cs="Arial"/>
          <w:b/>
          <w:sz w:val="20"/>
          <w:szCs w:val="20"/>
          <w:lang w:eastAsia="en-US"/>
        </w:rPr>
        <w:t>Transferencias, Asignaciones, Subsidios y Otras Ayudas</w:t>
      </w:r>
      <w:r w:rsidRPr="00244768">
        <w:rPr>
          <w:rFonts w:cs="Arial"/>
          <w:b/>
        </w:rPr>
        <w:t>. –</w:t>
      </w:r>
      <w:r w:rsidRPr="00244768">
        <w:rPr>
          <w:rFonts w:cs="Arial"/>
        </w:rPr>
        <w:t xml:space="preserve"> </w:t>
      </w:r>
      <w:r w:rsidRPr="00244768">
        <w:rPr>
          <w:rFonts w:ascii="HelveticaNeueLT Std" w:eastAsiaTheme="minorHAnsi" w:hAnsi="HelveticaNeueLT Std" w:cs="Arial"/>
          <w:sz w:val="20"/>
          <w:szCs w:val="20"/>
          <w:lang w:eastAsia="en-US"/>
        </w:rPr>
        <w:t xml:space="preserve">Presenta en el mes un monto de </w:t>
      </w:r>
      <w:r w:rsidRPr="00EC4C2D">
        <w:rPr>
          <w:rFonts w:ascii="HelveticaNeueLT Std" w:eastAsiaTheme="minorHAnsi" w:hAnsi="HelveticaNeueLT Std" w:cs="Arial"/>
          <w:sz w:val="20"/>
          <w:szCs w:val="20"/>
          <w:lang w:eastAsia="en-US"/>
        </w:rPr>
        <w:t>84</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863.78</w:t>
      </w:r>
      <w:r w:rsidRPr="00244768">
        <w:rPr>
          <w:rFonts w:ascii="HelveticaNeueLT Std" w:eastAsiaTheme="minorHAnsi" w:hAnsi="HelveticaNeueLT Std" w:cs="Arial"/>
          <w:sz w:val="20"/>
          <w:szCs w:val="20"/>
          <w:lang w:eastAsia="en-US"/>
        </w:rPr>
        <w:t xml:space="preserve">, por Concepto de Devoluciones de Ingresos Indebidos. Presenta un saldo acumulado al mes por </w:t>
      </w:r>
      <w:r w:rsidRPr="00EC4C2D">
        <w:rPr>
          <w:rFonts w:ascii="HelveticaNeueLT Std" w:eastAsiaTheme="minorHAnsi" w:hAnsi="HelveticaNeueLT Std" w:cs="Arial"/>
          <w:sz w:val="20"/>
          <w:szCs w:val="20"/>
          <w:lang w:eastAsia="en-US"/>
        </w:rPr>
        <w:t>5</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681</w:t>
      </w:r>
      <w:r>
        <w:rPr>
          <w:rFonts w:ascii="HelveticaNeueLT Std" w:eastAsiaTheme="minorHAnsi" w:hAnsi="HelveticaNeueLT Std" w:cs="Arial"/>
          <w:sz w:val="20"/>
          <w:szCs w:val="20"/>
          <w:lang w:eastAsia="en-US"/>
        </w:rPr>
        <w:t>,</w:t>
      </w:r>
      <w:r w:rsidRPr="00EC4C2D">
        <w:rPr>
          <w:rFonts w:ascii="HelveticaNeueLT Std" w:eastAsiaTheme="minorHAnsi" w:hAnsi="HelveticaNeueLT Std" w:cs="Arial"/>
          <w:sz w:val="20"/>
          <w:szCs w:val="20"/>
          <w:lang w:eastAsia="en-US"/>
        </w:rPr>
        <w:t>419.74</w:t>
      </w:r>
      <w:r>
        <w:rPr>
          <w:rFonts w:ascii="HelveticaNeueLT Std" w:eastAsiaTheme="minorHAnsi" w:hAnsi="HelveticaNeueLT Std" w:cs="Arial"/>
          <w:sz w:val="20"/>
          <w:szCs w:val="20"/>
          <w:lang w:eastAsia="en-US"/>
        </w:rPr>
        <w:t>.</w:t>
      </w:r>
    </w:p>
    <w:p w14:paraId="2B4488D9" w14:textId="77777777" w:rsidR="001B23A4" w:rsidRPr="00244768" w:rsidRDefault="001B23A4" w:rsidP="001B23A4">
      <w:pPr>
        <w:pStyle w:val="Prrafodelista"/>
        <w:rPr>
          <w:rFonts w:cs="Arial"/>
          <w:b/>
        </w:rPr>
      </w:pPr>
    </w:p>
    <w:p w14:paraId="7F42C6BE" w14:textId="77777777" w:rsid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EA0F41">
        <w:rPr>
          <w:rFonts w:ascii="HelveticaNeueLT Std" w:eastAsiaTheme="minorHAnsi" w:hAnsi="HelveticaNeueLT Std" w:cs="Arial"/>
          <w:b/>
          <w:sz w:val="20"/>
          <w:szCs w:val="20"/>
          <w:lang w:eastAsia="en-US"/>
        </w:rPr>
        <w:t>Otros Gastos y Pérdidas Extraordinarias.</w:t>
      </w:r>
      <w:r w:rsidRPr="00EA0F41">
        <w:rPr>
          <w:rFonts w:cs="Arial"/>
        </w:rPr>
        <w:t xml:space="preserve"> - </w:t>
      </w:r>
      <w:r w:rsidRPr="00EA0F41">
        <w:rPr>
          <w:rFonts w:ascii="HelveticaNeueLT Std" w:eastAsiaTheme="minorHAnsi" w:hAnsi="HelveticaNeueLT Std" w:cs="Arial"/>
          <w:sz w:val="20"/>
          <w:szCs w:val="20"/>
          <w:lang w:eastAsia="en-US"/>
        </w:rPr>
        <w:t>En esta partida se refleja en el mes la cantidad de 989,040.02 la depreciación de bienes muebles e inmuebles. Presenta un saldo acumulado al mes por 8,920,311.42. Así mismo, gastos contables no presupuestarios por un importe de 4,499,847.84</w:t>
      </w:r>
      <w:r w:rsidRPr="00EA0F41">
        <w:rPr>
          <w:rFonts w:cs="Arial"/>
        </w:rPr>
        <w:t xml:space="preserve"> </w:t>
      </w:r>
      <w:r w:rsidRPr="00EA0F41">
        <w:rPr>
          <w:rFonts w:ascii="HelveticaNeueLT Std" w:eastAsiaTheme="minorHAnsi" w:hAnsi="HelveticaNeueLT Std" w:cs="Arial"/>
          <w:sz w:val="20"/>
          <w:szCs w:val="20"/>
          <w:lang w:eastAsia="en-US"/>
        </w:rPr>
        <w:t>correspondientes a la devolución al GEM, de los Remanentes e intereses del Programa de Acciones para el Desarrollo (PAD).</w:t>
      </w:r>
    </w:p>
    <w:p w14:paraId="3FCF6607" w14:textId="77777777" w:rsidR="001B23A4" w:rsidRPr="00EA0F41" w:rsidRDefault="001B23A4" w:rsidP="001B23A4">
      <w:pPr>
        <w:spacing w:line="276" w:lineRule="auto"/>
        <w:ind w:right="-1"/>
        <w:jc w:val="both"/>
        <w:outlineLvl w:val="0"/>
        <w:rPr>
          <w:rFonts w:cs="Arial"/>
        </w:rPr>
      </w:pPr>
    </w:p>
    <w:p w14:paraId="1289EFE4" w14:textId="77777777" w:rsidR="001B23A4" w:rsidRDefault="001B23A4" w:rsidP="001B23A4">
      <w:pPr>
        <w:pStyle w:val="Prrafodelista"/>
        <w:numPr>
          <w:ilvl w:val="0"/>
          <w:numId w:val="9"/>
        </w:numPr>
        <w:spacing w:before="240" w:after="240" w:line="276" w:lineRule="auto"/>
        <w:ind w:right="-1"/>
        <w:outlineLvl w:val="0"/>
        <w:rPr>
          <w:rFonts w:ascii="HelveticaNeueLT Std" w:eastAsiaTheme="minorHAnsi" w:hAnsi="HelveticaNeueLT Std" w:cs="Arial"/>
          <w:b/>
          <w:sz w:val="20"/>
          <w:szCs w:val="20"/>
          <w:lang w:eastAsia="en-US"/>
        </w:rPr>
      </w:pPr>
      <w:r w:rsidRPr="00244768">
        <w:rPr>
          <w:rFonts w:ascii="HelveticaNeueLT Std" w:eastAsiaTheme="minorHAnsi" w:hAnsi="HelveticaNeueLT Std" w:cs="Arial"/>
          <w:b/>
          <w:sz w:val="20"/>
          <w:szCs w:val="20"/>
          <w:lang w:eastAsia="en-US"/>
        </w:rPr>
        <w:t>NOTAS AL ESTADO DE VARIACIONES EN LA HACIENDA PÚBLICA/PATRIMONIO</w:t>
      </w:r>
    </w:p>
    <w:p w14:paraId="50C4AD08" w14:textId="77777777" w:rsidR="001B23A4" w:rsidRPr="00244768" w:rsidRDefault="001B23A4" w:rsidP="001B23A4">
      <w:pPr>
        <w:pStyle w:val="Prrafodelista"/>
        <w:spacing w:before="240" w:after="240" w:line="276" w:lineRule="auto"/>
        <w:ind w:left="1855" w:right="-1"/>
        <w:outlineLvl w:val="0"/>
        <w:rPr>
          <w:rFonts w:ascii="HelveticaNeueLT Std" w:eastAsiaTheme="minorHAnsi" w:hAnsi="HelveticaNeueLT Std" w:cs="Arial"/>
          <w:b/>
          <w:sz w:val="20"/>
          <w:szCs w:val="20"/>
          <w:lang w:eastAsia="en-US"/>
        </w:rPr>
      </w:pPr>
    </w:p>
    <w:p w14:paraId="242EF662" w14:textId="47BAAE72" w:rsidR="001B23A4" w:rsidRP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244768">
        <w:rPr>
          <w:rFonts w:ascii="HelveticaNeueLT Std" w:eastAsiaTheme="minorHAnsi" w:hAnsi="HelveticaNeueLT Std" w:cs="Arial"/>
          <w:b/>
          <w:sz w:val="20"/>
          <w:szCs w:val="20"/>
          <w:lang w:eastAsia="en-US"/>
        </w:rPr>
        <w:t>Hacienda Pública/Patrimonio Contribuido.</w:t>
      </w:r>
      <w:r w:rsidRPr="00244768">
        <w:rPr>
          <w:rFonts w:cs="Arial"/>
          <w:b/>
        </w:rPr>
        <w:t xml:space="preserve"> -</w:t>
      </w:r>
      <w:r w:rsidRPr="00244768">
        <w:rPr>
          <w:rFonts w:cs="Arial"/>
        </w:rPr>
        <w:t xml:space="preserve"> </w:t>
      </w:r>
      <w:r w:rsidRPr="00244768">
        <w:rPr>
          <w:rFonts w:ascii="HelveticaNeueLT Std" w:eastAsiaTheme="minorHAnsi" w:hAnsi="HelveticaNeueLT Std" w:cs="Arial"/>
          <w:sz w:val="20"/>
          <w:szCs w:val="20"/>
          <w:lang w:eastAsia="en-US"/>
        </w:rPr>
        <w:t>En el Estado de Variaciones en la Hacienda Pública, el patrimonio contribuido neto final del Instituto por la cantidad de 5,203,459.11 se conserva por las aportaciones de</w:t>
      </w:r>
      <w:r>
        <w:rPr>
          <w:rFonts w:ascii="HelveticaNeueLT Std" w:eastAsiaTheme="minorHAnsi" w:hAnsi="HelveticaNeueLT Std" w:cs="Arial"/>
          <w:sz w:val="20"/>
          <w:szCs w:val="20"/>
          <w:lang w:eastAsia="en-US"/>
        </w:rPr>
        <w:t>l Gobierno del Estado de México, así como la incorporación de cuatro terrenos de donación.</w:t>
      </w:r>
    </w:p>
    <w:p w14:paraId="38AEC559" w14:textId="77777777" w:rsidR="001B23A4" w:rsidRDefault="001B23A4" w:rsidP="001B23A4">
      <w:pPr>
        <w:pStyle w:val="Prrafodelista"/>
        <w:spacing w:line="276" w:lineRule="auto"/>
        <w:ind w:left="644" w:right="-1"/>
        <w:jc w:val="both"/>
        <w:outlineLvl w:val="0"/>
        <w:rPr>
          <w:rFonts w:ascii="HelveticaNeueLT Std" w:eastAsiaTheme="minorHAnsi" w:hAnsi="HelveticaNeueLT Std" w:cs="Arial"/>
          <w:sz w:val="20"/>
          <w:szCs w:val="20"/>
          <w:lang w:eastAsia="en-US"/>
        </w:rPr>
      </w:pPr>
    </w:p>
    <w:p w14:paraId="23D5C691" w14:textId="0C1505AE" w:rsid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244768">
        <w:rPr>
          <w:rFonts w:ascii="HelveticaNeueLT Std" w:eastAsiaTheme="minorHAnsi" w:hAnsi="HelveticaNeueLT Std" w:cs="Arial"/>
          <w:b/>
          <w:sz w:val="20"/>
          <w:szCs w:val="20"/>
          <w:lang w:eastAsia="en-US"/>
        </w:rPr>
        <w:t>Hacienda Pública / Patrimonio Generado de Ejercicios Anteriores.</w:t>
      </w:r>
      <w:r w:rsidRPr="00244768">
        <w:rPr>
          <w:rFonts w:cs="Arial"/>
          <w:b/>
        </w:rPr>
        <w:t xml:space="preserve"> - </w:t>
      </w:r>
      <w:r w:rsidRPr="00244768">
        <w:rPr>
          <w:rFonts w:ascii="HelveticaNeueLT Std" w:eastAsiaTheme="minorHAnsi" w:hAnsi="HelveticaNeueLT Std" w:cs="Arial"/>
          <w:sz w:val="20"/>
          <w:szCs w:val="20"/>
          <w:lang w:eastAsia="en-US"/>
        </w:rPr>
        <w:t>En este mes se detecta que el Patrimonio Neto Final es de 1,443,021,954.60, por los Resu</w:t>
      </w:r>
      <w:r>
        <w:rPr>
          <w:rFonts w:ascii="HelveticaNeueLT Std" w:eastAsiaTheme="minorHAnsi" w:hAnsi="HelveticaNeueLT Std" w:cs="Arial"/>
          <w:sz w:val="20"/>
          <w:szCs w:val="20"/>
          <w:lang w:eastAsia="en-US"/>
        </w:rPr>
        <w:t>l</w:t>
      </w:r>
      <w:r w:rsidR="002D49F3">
        <w:rPr>
          <w:rFonts w:ascii="HelveticaNeueLT Std" w:eastAsiaTheme="minorHAnsi" w:hAnsi="HelveticaNeueLT Std" w:cs="Arial"/>
          <w:sz w:val="20"/>
          <w:szCs w:val="20"/>
          <w:lang w:eastAsia="en-US"/>
        </w:rPr>
        <w:t>tados de Ejercicios Anteriores.</w:t>
      </w:r>
    </w:p>
    <w:p w14:paraId="5B2F7D58" w14:textId="77777777" w:rsidR="001B23A4" w:rsidRPr="00244768" w:rsidRDefault="001B23A4" w:rsidP="001B23A4">
      <w:pPr>
        <w:pStyle w:val="Prrafodelista"/>
        <w:rPr>
          <w:rFonts w:cs="Arial"/>
          <w:b/>
        </w:rPr>
      </w:pPr>
    </w:p>
    <w:p w14:paraId="47E87C8C" w14:textId="3A163B72" w:rsidR="001B23A4" w:rsidRDefault="001B23A4" w:rsidP="00D46E7C">
      <w:pPr>
        <w:pStyle w:val="Prrafodelista"/>
        <w:numPr>
          <w:ilvl w:val="0"/>
          <w:numId w:val="15"/>
        </w:numPr>
        <w:spacing w:line="276" w:lineRule="auto"/>
        <w:ind w:right="-1"/>
        <w:jc w:val="both"/>
        <w:outlineLvl w:val="0"/>
        <w:rPr>
          <w:rFonts w:ascii="HelveticaNeueLT Std" w:eastAsiaTheme="minorHAnsi" w:hAnsi="HelveticaNeueLT Std" w:cs="Arial"/>
          <w:sz w:val="20"/>
          <w:szCs w:val="20"/>
          <w:lang w:eastAsia="en-US"/>
        </w:rPr>
      </w:pPr>
      <w:r w:rsidRPr="00244768">
        <w:rPr>
          <w:rFonts w:ascii="HelveticaNeueLT Std" w:eastAsiaTheme="minorHAnsi" w:hAnsi="HelveticaNeueLT Std" w:cs="Arial"/>
          <w:b/>
          <w:sz w:val="20"/>
          <w:szCs w:val="20"/>
          <w:lang w:eastAsia="en-US"/>
        </w:rPr>
        <w:t>Resultado del Ejercicio: (Ahorro/Desahorro).</w:t>
      </w:r>
      <w:r w:rsidRPr="00244768">
        <w:rPr>
          <w:rFonts w:cs="Arial"/>
          <w:b/>
        </w:rPr>
        <w:t xml:space="preserve"> </w:t>
      </w:r>
      <w:r w:rsidRPr="00244768">
        <w:rPr>
          <w:rFonts w:ascii="HelveticaNeueLT Std" w:eastAsiaTheme="minorHAnsi" w:hAnsi="HelveticaNeueLT Std" w:cs="Arial"/>
          <w:sz w:val="20"/>
          <w:szCs w:val="20"/>
          <w:lang w:eastAsia="en-US"/>
        </w:rPr>
        <w:t xml:space="preserve">- Se observa en la Hacienda Pública/Patrimonio Generado del Ejercicio, un ahorro por </w:t>
      </w:r>
      <w:r w:rsidRPr="008E3EFD">
        <w:rPr>
          <w:rFonts w:ascii="HelveticaNeueLT Std" w:eastAsiaTheme="minorHAnsi" w:hAnsi="HelveticaNeueLT Std" w:cs="Arial"/>
          <w:sz w:val="20"/>
          <w:szCs w:val="20"/>
          <w:lang w:eastAsia="en-US"/>
        </w:rPr>
        <w:t>1</w:t>
      </w:r>
      <w:r>
        <w:rPr>
          <w:rFonts w:ascii="HelveticaNeueLT Std" w:eastAsiaTheme="minorHAnsi" w:hAnsi="HelveticaNeueLT Std" w:cs="Arial"/>
          <w:sz w:val="20"/>
          <w:szCs w:val="20"/>
          <w:lang w:eastAsia="en-US"/>
        </w:rPr>
        <w:t>,</w:t>
      </w:r>
      <w:r w:rsidRPr="008E3EFD">
        <w:rPr>
          <w:rFonts w:ascii="HelveticaNeueLT Std" w:eastAsiaTheme="minorHAnsi" w:hAnsi="HelveticaNeueLT Std" w:cs="Arial"/>
          <w:sz w:val="20"/>
          <w:szCs w:val="20"/>
          <w:lang w:eastAsia="en-US"/>
        </w:rPr>
        <w:t>233</w:t>
      </w:r>
      <w:r>
        <w:rPr>
          <w:rFonts w:ascii="HelveticaNeueLT Std" w:eastAsiaTheme="minorHAnsi" w:hAnsi="HelveticaNeueLT Std" w:cs="Arial"/>
          <w:sz w:val="20"/>
          <w:szCs w:val="20"/>
          <w:lang w:eastAsia="en-US"/>
        </w:rPr>
        <w:t>,</w:t>
      </w:r>
      <w:r w:rsidRPr="008E3EFD">
        <w:rPr>
          <w:rFonts w:ascii="HelveticaNeueLT Std" w:eastAsiaTheme="minorHAnsi" w:hAnsi="HelveticaNeueLT Std" w:cs="Arial"/>
          <w:sz w:val="20"/>
          <w:szCs w:val="20"/>
          <w:lang w:eastAsia="en-US"/>
        </w:rPr>
        <w:t>177</w:t>
      </w:r>
      <w:r>
        <w:rPr>
          <w:rFonts w:ascii="HelveticaNeueLT Std" w:eastAsiaTheme="minorHAnsi" w:hAnsi="HelveticaNeueLT Std" w:cs="Arial"/>
          <w:sz w:val="20"/>
          <w:szCs w:val="20"/>
          <w:lang w:eastAsia="en-US"/>
        </w:rPr>
        <w:t>,</w:t>
      </w:r>
      <w:r w:rsidRPr="008E3EFD">
        <w:rPr>
          <w:rFonts w:ascii="HelveticaNeueLT Std" w:eastAsiaTheme="minorHAnsi" w:hAnsi="HelveticaNeueLT Std" w:cs="Arial"/>
          <w:sz w:val="20"/>
          <w:szCs w:val="20"/>
          <w:lang w:eastAsia="en-US"/>
        </w:rPr>
        <w:t>278.88</w:t>
      </w:r>
      <w:r w:rsidRPr="00244768">
        <w:rPr>
          <w:rFonts w:ascii="HelveticaNeueLT Std" w:eastAsiaTheme="minorHAnsi" w:hAnsi="HelveticaNeueLT Std" w:cs="Arial"/>
          <w:sz w:val="20"/>
          <w:szCs w:val="20"/>
          <w:lang w:eastAsia="en-US"/>
        </w:rPr>
        <w:t>, debido principalmente a que los ingresos generados son mayores que los gastos de acuerdo con el estado de actividades.</w:t>
      </w:r>
    </w:p>
    <w:p w14:paraId="1C56FAAE" w14:textId="4FA6B541" w:rsidR="00D45FA4" w:rsidRDefault="00D45FA4">
      <w:pPr>
        <w:spacing w:line="259" w:lineRule="auto"/>
        <w:rPr>
          <w:rFonts w:cs="Arial"/>
        </w:rPr>
      </w:pPr>
      <w:r>
        <w:rPr>
          <w:rFonts w:cs="Arial"/>
        </w:rPr>
        <w:br w:type="page"/>
      </w:r>
    </w:p>
    <w:p w14:paraId="49846916" w14:textId="77777777" w:rsidR="00141D6F" w:rsidRPr="00141D6F" w:rsidRDefault="00141D6F" w:rsidP="00141D6F">
      <w:pPr>
        <w:pStyle w:val="Prrafodelista"/>
        <w:rPr>
          <w:rFonts w:ascii="HelveticaNeueLT Std" w:eastAsiaTheme="minorHAnsi" w:hAnsi="HelveticaNeueLT Std" w:cs="Arial"/>
          <w:sz w:val="20"/>
          <w:szCs w:val="20"/>
          <w:lang w:eastAsia="en-US"/>
        </w:rPr>
      </w:pPr>
    </w:p>
    <w:p w14:paraId="6258B0A9" w14:textId="77777777" w:rsidR="001B23A4" w:rsidRPr="00244768" w:rsidRDefault="001B23A4" w:rsidP="001B23A4">
      <w:pPr>
        <w:numPr>
          <w:ilvl w:val="0"/>
          <w:numId w:val="9"/>
        </w:numPr>
        <w:spacing w:before="240" w:after="240" w:line="276" w:lineRule="auto"/>
        <w:ind w:right="-1"/>
        <w:contextualSpacing/>
        <w:outlineLvl w:val="0"/>
        <w:rPr>
          <w:rFonts w:ascii="HelveticaNeueLT Std Lt" w:eastAsia="Times New Roman" w:hAnsi="HelveticaNeueLT Std Lt" w:cs="Times New Roman"/>
          <w:b/>
          <w:bCs/>
          <w:lang w:eastAsia="es-MX"/>
        </w:rPr>
      </w:pPr>
      <w:r w:rsidRPr="00304218">
        <w:rPr>
          <w:rFonts w:eastAsia="Times New Roman" w:cs="Arial"/>
          <w:b/>
          <w:lang w:eastAsia="es-MX"/>
        </w:rPr>
        <w:t>NOTAS AL ESTADO DE FLUJOS DE EFECTIVO</w:t>
      </w:r>
    </w:p>
    <w:p w14:paraId="7F7E3C7A" w14:textId="77777777" w:rsidR="001B23A4" w:rsidRPr="00304218" w:rsidRDefault="001B23A4" w:rsidP="001B23A4">
      <w:pPr>
        <w:spacing w:before="240" w:after="240" w:line="276" w:lineRule="auto"/>
        <w:ind w:left="1788" w:right="-1"/>
        <w:contextualSpacing/>
        <w:outlineLvl w:val="0"/>
        <w:rPr>
          <w:rFonts w:ascii="HelveticaNeueLT Std Lt" w:eastAsia="Times New Roman" w:hAnsi="HelveticaNeueLT Std Lt" w:cs="Times New Roman"/>
          <w:b/>
          <w:bCs/>
          <w:lang w:eastAsia="es-MX"/>
        </w:rPr>
      </w:pPr>
    </w:p>
    <w:p w14:paraId="27E54977" w14:textId="77777777" w:rsidR="001B23A4" w:rsidRDefault="001B23A4" w:rsidP="001B23A4">
      <w:pPr>
        <w:spacing w:line="276" w:lineRule="auto"/>
        <w:ind w:right="-1"/>
        <w:rPr>
          <w:rFonts w:cs="Arial"/>
        </w:rPr>
      </w:pPr>
      <w:r w:rsidRPr="00594439">
        <w:rPr>
          <w:rFonts w:cs="Arial"/>
        </w:rPr>
        <w:t>En este Estado se observa el análisis de los saldos inicial y final que figuran en la última parte del Estado de Flujo de Efectivo en la cuenta de efectivo y equivalentes es como sigue:</w:t>
      </w:r>
    </w:p>
    <w:p w14:paraId="0F3C61BE" w14:textId="77777777" w:rsidR="001B23A4" w:rsidRDefault="001B23A4" w:rsidP="001B23A4">
      <w:pPr>
        <w:tabs>
          <w:tab w:val="left" w:pos="5918"/>
        </w:tabs>
        <w:spacing w:line="276" w:lineRule="auto"/>
        <w:ind w:right="-1"/>
        <w:jc w:val="center"/>
        <w:rPr>
          <w:rFonts w:cs="Arial"/>
        </w:rPr>
      </w:pPr>
      <w:r w:rsidRPr="00483EF1">
        <w:rPr>
          <w:noProof/>
          <w:lang w:eastAsia="es-MX"/>
        </w:rPr>
        <w:drawing>
          <wp:inline distT="0" distB="0" distL="0" distR="0" wp14:anchorId="3D7FB48C" wp14:editId="68B4B65A">
            <wp:extent cx="5519698" cy="1389888"/>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878" cy="1397991"/>
                    </a:xfrm>
                    <a:prstGeom prst="rect">
                      <a:avLst/>
                    </a:prstGeom>
                    <a:noFill/>
                    <a:ln>
                      <a:noFill/>
                    </a:ln>
                  </pic:spPr>
                </pic:pic>
              </a:graphicData>
            </a:graphic>
          </wp:inline>
        </w:drawing>
      </w:r>
    </w:p>
    <w:p w14:paraId="0FBE294F" w14:textId="1947A202" w:rsidR="001B23A4" w:rsidRDefault="001B23A4" w:rsidP="001B23A4">
      <w:pPr>
        <w:spacing w:line="276" w:lineRule="auto"/>
        <w:ind w:right="-1"/>
        <w:jc w:val="both"/>
      </w:pPr>
      <w:r w:rsidRPr="00C1138F">
        <w:t>La Conciliación de los Flujos de Efectivo Netos de las Actividades de Operación y la cuenta de Ahorro/Desahorro antes de Rubros Extraordinarios, queda como sigue:</w:t>
      </w:r>
    </w:p>
    <w:p w14:paraId="0D437EF3" w14:textId="77777777" w:rsidR="001B23A4" w:rsidRPr="00846C68" w:rsidRDefault="001B23A4" w:rsidP="001B23A4">
      <w:pPr>
        <w:spacing w:line="276" w:lineRule="auto"/>
        <w:ind w:right="-1"/>
        <w:jc w:val="center"/>
        <w:rPr>
          <w:color w:val="FF0000"/>
          <w:highlight w:val="yellow"/>
        </w:rPr>
      </w:pPr>
      <w:r w:rsidRPr="00494B4B">
        <w:rPr>
          <w:noProof/>
          <w:lang w:eastAsia="es-MX"/>
        </w:rPr>
        <w:drawing>
          <wp:inline distT="0" distB="0" distL="0" distR="0" wp14:anchorId="56549C41" wp14:editId="210A204D">
            <wp:extent cx="5423457" cy="2728569"/>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6673" cy="2765404"/>
                    </a:xfrm>
                    <a:prstGeom prst="rect">
                      <a:avLst/>
                    </a:prstGeom>
                    <a:noFill/>
                    <a:ln>
                      <a:noFill/>
                    </a:ln>
                  </pic:spPr>
                </pic:pic>
              </a:graphicData>
            </a:graphic>
          </wp:inline>
        </w:drawing>
      </w:r>
    </w:p>
    <w:p w14:paraId="7169F7CB" w14:textId="330867DF" w:rsidR="00141D6F" w:rsidRDefault="001B23A4" w:rsidP="001B23A4">
      <w:pPr>
        <w:spacing w:line="240" w:lineRule="auto"/>
        <w:jc w:val="both"/>
        <w:rPr>
          <w:rFonts w:cs="Arial"/>
        </w:rPr>
      </w:pPr>
      <w:r w:rsidRPr="00C1138F">
        <w:rPr>
          <w:rFonts w:cs="Arial"/>
        </w:rPr>
        <w:t xml:space="preserve">El efectivo y equivalentes en este mes para que el Instituto de la Función Registral del Estado de México cubra sus obligaciones de pago, fue de </w:t>
      </w:r>
      <w:r w:rsidRPr="00483EF1">
        <w:rPr>
          <w:rFonts w:cs="Arial"/>
        </w:rPr>
        <w:t>268</w:t>
      </w:r>
      <w:r>
        <w:rPr>
          <w:rFonts w:cs="Arial"/>
        </w:rPr>
        <w:t>,</w:t>
      </w:r>
      <w:r w:rsidRPr="00483EF1">
        <w:rPr>
          <w:rFonts w:cs="Arial"/>
        </w:rPr>
        <w:t>245</w:t>
      </w:r>
      <w:r>
        <w:rPr>
          <w:rFonts w:cs="Arial"/>
        </w:rPr>
        <w:t>,</w:t>
      </w:r>
      <w:r w:rsidRPr="00483EF1">
        <w:rPr>
          <w:rFonts w:cs="Arial"/>
        </w:rPr>
        <w:t>230.86</w:t>
      </w:r>
      <w:r>
        <w:rPr>
          <w:rFonts w:cs="Arial"/>
        </w:rPr>
        <w:t>.</w:t>
      </w:r>
    </w:p>
    <w:p w14:paraId="6485940D" w14:textId="77777777" w:rsidR="00141D6F" w:rsidRDefault="00141D6F">
      <w:pPr>
        <w:spacing w:line="259" w:lineRule="auto"/>
        <w:rPr>
          <w:rFonts w:cs="Arial"/>
        </w:rPr>
      </w:pPr>
      <w:r>
        <w:rPr>
          <w:rFonts w:cs="Arial"/>
        </w:rPr>
        <w:br w:type="page"/>
      </w:r>
    </w:p>
    <w:p w14:paraId="062B9DF3" w14:textId="77777777" w:rsidR="001D5339" w:rsidRPr="00C24A06" w:rsidRDefault="001D5339" w:rsidP="008842F0">
      <w:pPr>
        <w:pStyle w:val="Prrafodelista"/>
        <w:numPr>
          <w:ilvl w:val="0"/>
          <w:numId w:val="9"/>
        </w:numPr>
        <w:spacing w:before="240" w:after="240" w:line="276" w:lineRule="auto"/>
        <w:ind w:left="993" w:right="-1" w:hanging="567"/>
        <w:outlineLvl w:val="0"/>
        <w:rPr>
          <w:rFonts w:ascii="HelveticaNeueLT Std" w:eastAsia="Calibri" w:hAnsi="HelveticaNeueLT Std" w:cs="Arial"/>
          <w:b/>
          <w:sz w:val="20"/>
          <w:szCs w:val="20"/>
        </w:rPr>
      </w:pPr>
      <w:bookmarkStart w:id="2" w:name="_Hlk99539725"/>
      <w:bookmarkStart w:id="3" w:name="_Hlk99539704"/>
      <w:r w:rsidRPr="00C24A06">
        <w:rPr>
          <w:rFonts w:ascii="HelveticaNeueLT Std" w:hAnsi="HelveticaNeueLT Std" w:cs="Arial"/>
          <w:b/>
          <w:sz w:val="20"/>
          <w:szCs w:val="20"/>
        </w:rPr>
        <w:t>CONCILIACIÓN ENTRE LOS INGRESOS PRESUPUESTARIOS Y CONTABLES, ASÍ COMO ENTRE LOS EGRESOS PRESUPUESTARIOS Y LOS GASTOS CONTABLES</w:t>
      </w:r>
    </w:p>
    <w:bookmarkEnd w:id="2"/>
    <w:p w14:paraId="52571FC9" w14:textId="77777777" w:rsidR="001D5339" w:rsidRDefault="001D5339" w:rsidP="001D5339">
      <w:pPr>
        <w:spacing w:after="0" w:line="276" w:lineRule="auto"/>
        <w:ind w:right="-1"/>
        <w:rPr>
          <w:noProof/>
          <w:lang w:eastAsia="es-MX"/>
        </w:rPr>
      </w:pPr>
      <w:r w:rsidRPr="00FC1ACF">
        <w:rPr>
          <w:noProof/>
          <w:lang w:eastAsia="es-MX"/>
        </w:rPr>
        <w:drawing>
          <wp:inline distT="0" distB="0" distL="0" distR="0" wp14:anchorId="5281A283" wp14:editId="52445C06">
            <wp:extent cx="6276975" cy="3857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14:paraId="736B37CF" w14:textId="77777777" w:rsidR="001D5339" w:rsidRPr="00A64450" w:rsidRDefault="001D5339" w:rsidP="001D5339">
      <w:pPr>
        <w:spacing w:after="0" w:line="276" w:lineRule="auto"/>
        <w:ind w:right="-1"/>
        <w:rPr>
          <w:noProof/>
          <w:lang w:eastAsia="es-MX"/>
        </w:rPr>
      </w:pPr>
    </w:p>
    <w:p w14:paraId="7348FF93" w14:textId="77777777" w:rsidR="001D5339" w:rsidRPr="00A64450" w:rsidRDefault="001D5339" w:rsidP="001D5339">
      <w:pPr>
        <w:tabs>
          <w:tab w:val="left" w:pos="1545"/>
        </w:tabs>
        <w:jc w:val="both"/>
        <w:rPr>
          <w:rFonts w:cs="Arial"/>
        </w:rPr>
      </w:pPr>
      <w:r w:rsidRPr="00E4694C">
        <w:rPr>
          <w:rFonts w:cs="Arial"/>
          <w:b/>
        </w:rPr>
        <w:t xml:space="preserve">Conciliación entre los Ingresos Presupuestarios y </w:t>
      </w:r>
      <w:proofErr w:type="gramStart"/>
      <w:r w:rsidRPr="00E4694C">
        <w:rPr>
          <w:rFonts w:cs="Arial"/>
          <w:b/>
        </w:rPr>
        <w:t>Contables</w:t>
      </w:r>
      <w:r>
        <w:rPr>
          <w:rFonts w:cs="Arial"/>
        </w:rPr>
        <w:t>.-</w:t>
      </w:r>
      <w:proofErr w:type="gramEnd"/>
      <w:r>
        <w:rPr>
          <w:rFonts w:cs="Arial"/>
        </w:rPr>
        <w:t xml:space="preserve"> </w:t>
      </w:r>
      <w:r w:rsidRPr="00FC1ACF">
        <w:rPr>
          <w:rFonts w:cs="Arial"/>
        </w:rPr>
        <w:t>El renglón de Ingresos Derivados de Financiamientos por la cantidad de 404,030,844.00 se integra de</w:t>
      </w:r>
      <w:r>
        <w:rPr>
          <w:rFonts w:cs="Arial"/>
        </w:rPr>
        <w:t>;</w:t>
      </w:r>
      <w:r w:rsidRPr="00FC1ACF">
        <w:rPr>
          <w:rFonts w:cs="Arial"/>
        </w:rPr>
        <w:t xml:space="preserve"> 337,168,235.22 para el Pago de Amortización de Capital de las Series A , B Y C de los Certificados Bursátiles del Fideicomiso de Cobranza y se destinaron 66,862,608.78 de Ingresos </w:t>
      </w:r>
      <w:r>
        <w:rPr>
          <w:rFonts w:cs="Arial"/>
        </w:rPr>
        <w:t>p</w:t>
      </w:r>
      <w:r w:rsidRPr="00FC1ACF">
        <w:rPr>
          <w:rFonts w:cs="Arial"/>
        </w:rPr>
        <w:t xml:space="preserve">or </w:t>
      </w:r>
      <w:r>
        <w:rPr>
          <w:rFonts w:cs="Arial"/>
        </w:rPr>
        <w:t>D</w:t>
      </w:r>
      <w:r w:rsidRPr="00FC1ACF">
        <w:rPr>
          <w:rFonts w:cs="Arial"/>
        </w:rPr>
        <w:t>isponibilidades Presupuestarias Entidades Públicas</w:t>
      </w:r>
      <w:r>
        <w:rPr>
          <w:rFonts w:cs="Arial"/>
        </w:rPr>
        <w:t>,</w:t>
      </w:r>
      <w:r w:rsidRPr="00FC1ACF">
        <w:rPr>
          <w:rFonts w:cs="Arial"/>
        </w:rPr>
        <w:t xml:space="preserve"> para el Suministro de Sistemas de Archivo en Oficinas Registrales </w:t>
      </w:r>
      <w:r>
        <w:rPr>
          <w:rFonts w:cs="Arial"/>
        </w:rPr>
        <w:t>y</w:t>
      </w:r>
      <w:r w:rsidRPr="00FC1ACF">
        <w:rPr>
          <w:rFonts w:cs="Arial"/>
        </w:rPr>
        <w:t xml:space="preserve"> Archivo General de Notarias.</w:t>
      </w:r>
    </w:p>
    <w:p w14:paraId="2DC17402" w14:textId="77777777" w:rsidR="00134B5E" w:rsidRPr="003B10B7" w:rsidRDefault="00134B5E" w:rsidP="00134B5E">
      <w:pPr>
        <w:rPr>
          <w:rFonts w:cs="Arial"/>
          <w:highlight w:val="yellow"/>
        </w:rPr>
      </w:pPr>
    </w:p>
    <w:p w14:paraId="5E0B62DA" w14:textId="77777777" w:rsidR="001D5339" w:rsidRDefault="001D5339" w:rsidP="001D5339">
      <w:pPr>
        <w:tabs>
          <w:tab w:val="left" w:pos="1215"/>
        </w:tabs>
        <w:jc w:val="center"/>
        <w:rPr>
          <w:rFonts w:cs="Arial"/>
          <w:b/>
        </w:rPr>
      </w:pPr>
      <w:r w:rsidRPr="00FC1ACF">
        <w:rPr>
          <w:noProof/>
          <w:lang w:eastAsia="es-MX"/>
        </w:rPr>
        <w:drawing>
          <wp:inline distT="0" distB="0" distL="0" distR="0" wp14:anchorId="1D1A5A58" wp14:editId="17089A65">
            <wp:extent cx="6388735" cy="59334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577" cy="5936079"/>
                    </a:xfrm>
                    <a:prstGeom prst="rect">
                      <a:avLst/>
                    </a:prstGeom>
                    <a:noFill/>
                    <a:ln>
                      <a:noFill/>
                    </a:ln>
                  </pic:spPr>
                </pic:pic>
              </a:graphicData>
            </a:graphic>
          </wp:inline>
        </w:drawing>
      </w:r>
    </w:p>
    <w:p w14:paraId="75DC3CEE" w14:textId="566FCCCC" w:rsidR="001D5339" w:rsidRDefault="001D5339" w:rsidP="001D5339">
      <w:pPr>
        <w:tabs>
          <w:tab w:val="left" w:pos="1215"/>
        </w:tabs>
        <w:jc w:val="both"/>
        <w:rPr>
          <w:rFonts w:cs="Arial"/>
        </w:rPr>
      </w:pPr>
      <w:r w:rsidRPr="00E4694C">
        <w:rPr>
          <w:rFonts w:cs="Arial"/>
          <w:b/>
        </w:rPr>
        <w:t>Conciliación entre los Egreso</w:t>
      </w:r>
      <w:r>
        <w:rPr>
          <w:rFonts w:cs="Arial"/>
          <w:b/>
        </w:rPr>
        <w:t xml:space="preserve">s Presupuestarios y los Gastos </w:t>
      </w:r>
      <w:proofErr w:type="gramStart"/>
      <w:r>
        <w:rPr>
          <w:rFonts w:cs="Arial"/>
          <w:b/>
        </w:rPr>
        <w:t>C</w:t>
      </w:r>
      <w:r w:rsidRPr="00E4694C">
        <w:rPr>
          <w:rFonts w:cs="Arial"/>
          <w:b/>
        </w:rPr>
        <w:t>ontables</w:t>
      </w:r>
      <w:r>
        <w:rPr>
          <w:rFonts w:cs="Arial"/>
        </w:rPr>
        <w:t>.-</w:t>
      </w:r>
      <w:proofErr w:type="gramEnd"/>
      <w:r w:rsidRPr="00177121">
        <w:rPr>
          <w:rFonts w:cs="Arial"/>
        </w:rPr>
        <w:t xml:space="preserve"> </w:t>
      </w:r>
      <w:r w:rsidRPr="00FC1ACF">
        <w:rPr>
          <w:rFonts w:cs="Arial"/>
        </w:rPr>
        <w:t xml:space="preserve">El renglón de Otros Egresos Presupuestales No Contables por </w:t>
      </w:r>
      <w:r>
        <w:rPr>
          <w:rFonts w:cs="Arial"/>
        </w:rPr>
        <w:t>1,192,600,240.69 se integran de;</w:t>
      </w:r>
      <w:r w:rsidRPr="00FC1ACF">
        <w:rPr>
          <w:rFonts w:cs="Arial"/>
        </w:rPr>
        <w:t xml:space="preserve"> 1,102,334,299.46, de las Transferencias al Fideicomiso de Cobranza y 90,265,941.23 del </w:t>
      </w:r>
      <w:r>
        <w:rPr>
          <w:rFonts w:cs="Arial"/>
        </w:rPr>
        <w:t>Presupuesto de Egresos</w:t>
      </w:r>
      <w:r w:rsidRPr="00FC1ACF">
        <w:rPr>
          <w:rFonts w:cs="Arial"/>
        </w:rPr>
        <w:t xml:space="preserve"> </w:t>
      </w:r>
      <w:r>
        <w:rPr>
          <w:rFonts w:cs="Arial"/>
        </w:rPr>
        <w:t>C</w:t>
      </w:r>
      <w:r w:rsidRPr="00FC1ACF">
        <w:rPr>
          <w:rFonts w:cs="Arial"/>
        </w:rPr>
        <w:t>omprometido</w:t>
      </w:r>
      <w:r>
        <w:rPr>
          <w:rFonts w:cs="Arial"/>
        </w:rPr>
        <w:t>,</w:t>
      </w:r>
      <w:r w:rsidRPr="00FC1ACF">
        <w:rPr>
          <w:rFonts w:cs="Arial"/>
        </w:rPr>
        <w:t xml:space="preserve"> de acuerdo al Avance Presupuestal al mes que se analiza. En el rubro de Otros Gastos Contables No Presupuestales el importe de 4,499,847.84</w:t>
      </w:r>
      <w:r>
        <w:rPr>
          <w:rFonts w:cs="Arial"/>
        </w:rPr>
        <w:t>, es</w:t>
      </w:r>
      <w:r w:rsidRPr="00FC1ACF">
        <w:rPr>
          <w:rFonts w:cs="Arial"/>
        </w:rPr>
        <w:t xml:space="preserve"> por la transferencia al GEM, de los remanentes del Programa de Regularización de Tenencia de la Tierra 2021, que incluye los intereses generados.</w:t>
      </w:r>
    </w:p>
    <w:p w14:paraId="1A10A373" w14:textId="77777777" w:rsidR="004E2EA9" w:rsidRPr="000F51A0" w:rsidRDefault="004E2EA9" w:rsidP="001D5339">
      <w:pPr>
        <w:tabs>
          <w:tab w:val="left" w:pos="1215"/>
        </w:tabs>
        <w:jc w:val="both"/>
        <w:rPr>
          <w:rFonts w:cs="Arial"/>
        </w:rPr>
      </w:pPr>
    </w:p>
    <w:bookmarkEnd w:id="3"/>
    <w:p w14:paraId="0D3A1253" w14:textId="77777777" w:rsidR="003B146B" w:rsidRPr="003C2837" w:rsidRDefault="003B146B" w:rsidP="008842F0">
      <w:pPr>
        <w:numPr>
          <w:ilvl w:val="0"/>
          <w:numId w:val="16"/>
        </w:numPr>
        <w:tabs>
          <w:tab w:val="left" w:pos="3836"/>
          <w:tab w:val="left" w:pos="4395"/>
        </w:tabs>
        <w:spacing w:after="0" w:line="276" w:lineRule="auto"/>
        <w:ind w:right="-1"/>
        <w:contextualSpacing/>
        <w:outlineLvl w:val="0"/>
        <w:rPr>
          <w:rFonts w:eastAsia="Times New Roman" w:cs="Arial"/>
          <w:b/>
          <w:lang w:eastAsia="es-MX"/>
        </w:rPr>
      </w:pPr>
      <w:r w:rsidRPr="003C2837">
        <w:rPr>
          <w:rFonts w:eastAsia="Times New Roman" w:cs="Arial"/>
          <w:b/>
          <w:lang w:eastAsia="es-MX"/>
        </w:rPr>
        <w:t>NOTAS DE MEMORIA (CUENTAS DE ORDEN)</w:t>
      </w:r>
    </w:p>
    <w:p w14:paraId="07DDAF21" w14:textId="77777777" w:rsidR="003B146B" w:rsidRPr="003C2837" w:rsidRDefault="003B146B" w:rsidP="003B146B">
      <w:pPr>
        <w:tabs>
          <w:tab w:val="left" w:pos="3836"/>
        </w:tabs>
        <w:spacing w:after="0" w:line="276" w:lineRule="auto"/>
        <w:ind w:left="714" w:right="-1"/>
        <w:contextualSpacing/>
        <w:outlineLvl w:val="0"/>
        <w:rPr>
          <w:rFonts w:eastAsia="Times New Roman" w:cs="Arial"/>
          <w:b/>
          <w:lang w:eastAsia="es-MX"/>
        </w:rPr>
      </w:pPr>
    </w:p>
    <w:p w14:paraId="5E944892" w14:textId="77777777" w:rsidR="003B146B" w:rsidRDefault="003B146B" w:rsidP="003B146B">
      <w:pPr>
        <w:tabs>
          <w:tab w:val="left" w:pos="8064"/>
        </w:tabs>
        <w:spacing w:line="276" w:lineRule="auto"/>
        <w:ind w:right="-1"/>
        <w:jc w:val="both"/>
        <w:outlineLvl w:val="0"/>
        <w:rPr>
          <w:rFonts w:cs="Arial"/>
        </w:rPr>
      </w:pPr>
      <w:r w:rsidRPr="00D62C1B">
        <w:rPr>
          <w:rFonts w:cs="Arial"/>
        </w:rPr>
        <w:t>Las Cuentas de Orden Contables y Presupuestarias se integran de la siguiente forma:</w:t>
      </w:r>
    </w:p>
    <w:p w14:paraId="79B10318" w14:textId="77777777" w:rsidR="003B146B" w:rsidRDefault="003B146B" w:rsidP="003B146B">
      <w:pPr>
        <w:tabs>
          <w:tab w:val="left" w:pos="8064"/>
        </w:tabs>
        <w:spacing w:line="276" w:lineRule="auto"/>
        <w:ind w:right="-1"/>
        <w:jc w:val="center"/>
        <w:outlineLvl w:val="0"/>
        <w:rPr>
          <w:rFonts w:cs="Arial"/>
        </w:rPr>
      </w:pPr>
      <w:r w:rsidRPr="0039213D">
        <w:rPr>
          <w:noProof/>
          <w:lang w:eastAsia="es-MX"/>
        </w:rPr>
        <w:drawing>
          <wp:inline distT="0" distB="0" distL="0" distR="0" wp14:anchorId="49D49D8A" wp14:editId="29AD2BE9">
            <wp:extent cx="6388060" cy="14924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3625" cy="1496106"/>
                    </a:xfrm>
                    <a:prstGeom prst="rect">
                      <a:avLst/>
                    </a:prstGeom>
                    <a:noFill/>
                    <a:ln>
                      <a:noFill/>
                    </a:ln>
                  </pic:spPr>
                </pic:pic>
              </a:graphicData>
            </a:graphic>
          </wp:inline>
        </w:drawing>
      </w:r>
    </w:p>
    <w:p w14:paraId="16D0ABCE" w14:textId="77777777" w:rsidR="003B146B" w:rsidRDefault="003B146B" w:rsidP="003B146B">
      <w:pPr>
        <w:tabs>
          <w:tab w:val="left" w:pos="8064"/>
        </w:tabs>
        <w:spacing w:line="276" w:lineRule="auto"/>
        <w:ind w:right="-1"/>
        <w:jc w:val="center"/>
        <w:outlineLvl w:val="0"/>
        <w:rPr>
          <w:rFonts w:cs="Arial"/>
        </w:rPr>
      </w:pPr>
      <w:r w:rsidRPr="0039213D">
        <w:rPr>
          <w:noProof/>
          <w:lang w:eastAsia="es-MX"/>
        </w:rPr>
        <w:drawing>
          <wp:inline distT="0" distB="0" distL="0" distR="0" wp14:anchorId="036D9031" wp14:editId="1B2CCDEA">
            <wp:extent cx="6388100" cy="467441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8484" cy="4689329"/>
                    </a:xfrm>
                    <a:prstGeom prst="rect">
                      <a:avLst/>
                    </a:prstGeom>
                    <a:noFill/>
                    <a:ln>
                      <a:noFill/>
                    </a:ln>
                  </pic:spPr>
                </pic:pic>
              </a:graphicData>
            </a:graphic>
          </wp:inline>
        </w:drawing>
      </w:r>
    </w:p>
    <w:p w14:paraId="5E5BA985" w14:textId="77777777" w:rsidR="003B146B" w:rsidRDefault="003B146B" w:rsidP="003B146B">
      <w:pPr>
        <w:tabs>
          <w:tab w:val="left" w:pos="8064"/>
        </w:tabs>
        <w:spacing w:line="276" w:lineRule="auto"/>
        <w:ind w:right="-1"/>
        <w:jc w:val="both"/>
        <w:outlineLvl w:val="0"/>
        <w:rPr>
          <w:rFonts w:cs="Arial"/>
        </w:rPr>
      </w:pPr>
      <w:r w:rsidRPr="00D62C1B">
        <w:rPr>
          <w:rFonts w:cs="Arial"/>
        </w:rPr>
        <w:br w:type="page"/>
      </w:r>
      <w:r w:rsidRPr="0013598B">
        <w:rPr>
          <w:rFonts w:cs="Arial"/>
        </w:rPr>
        <w:t>La comunicación de la asignación del Presupuesto Autoriza</w:t>
      </w:r>
      <w:r>
        <w:rPr>
          <w:rFonts w:cs="Arial"/>
        </w:rPr>
        <w:t>do para el Ejercicio Fiscal 2022</w:t>
      </w:r>
      <w:r w:rsidRPr="0013598B">
        <w:rPr>
          <w:rFonts w:cs="Arial"/>
        </w:rPr>
        <w:t xml:space="preserve">, se realizó mediante oficio No. 20704001L-0062/2022, de fecha 08 de febrero de 2022, emitido por la Secretaría de Finanzas, con el cual se aprueba la asignación presupuestal autorizada por la LXI Legislatura local al Instituto de la Función Registral del Estado de México, que asciende a la cantidad de </w:t>
      </w:r>
      <w:r w:rsidRPr="0013598B">
        <w:rPr>
          <w:rFonts w:cs="Arial"/>
          <w:b/>
        </w:rPr>
        <w:t>2,398,812,320.00,</w:t>
      </w:r>
      <w:r w:rsidRPr="0013598B">
        <w:rPr>
          <w:rFonts w:cs="Arial"/>
        </w:rPr>
        <w:t xml:space="preserve"> </w:t>
      </w:r>
      <w:r>
        <w:rPr>
          <w:rFonts w:cs="Arial"/>
        </w:rPr>
        <w:t>adicionalmente</w:t>
      </w:r>
      <w:r>
        <w:rPr>
          <w:rFonts w:cs="Arial"/>
          <w:b/>
        </w:rPr>
        <w:t xml:space="preserve"> s</w:t>
      </w:r>
      <w:r>
        <w:rPr>
          <w:rFonts w:cs="Arial"/>
        </w:rPr>
        <w:t>e tuvo una asignación y autorización presupuestal de 38,658,686.65, autorizada con el oficio No. 20704000L-APAD-0017/22, del 10 de febrero de 2022, signado por el Subsecretario de Planeación y Presupuesto, con cargo al Programa de Acciones para el Desarrollo (PAD), dando un total de 2,437</w:t>
      </w:r>
      <w:r w:rsidRPr="0007131E">
        <w:rPr>
          <w:rFonts w:cs="Arial"/>
        </w:rPr>
        <w:t>,</w:t>
      </w:r>
      <w:r>
        <w:rPr>
          <w:rFonts w:cs="Arial"/>
        </w:rPr>
        <w:t>471</w:t>
      </w:r>
      <w:r w:rsidRPr="0007131E">
        <w:rPr>
          <w:rFonts w:cs="Arial"/>
        </w:rPr>
        <w:t>,</w:t>
      </w:r>
      <w:r>
        <w:rPr>
          <w:rFonts w:cs="Arial"/>
        </w:rPr>
        <w:t>006.65, distribuido de la siguiente manera:</w:t>
      </w:r>
    </w:p>
    <w:p w14:paraId="7D83292E" w14:textId="77777777" w:rsidR="003B146B" w:rsidRDefault="003B146B" w:rsidP="003B146B">
      <w:pPr>
        <w:tabs>
          <w:tab w:val="left" w:pos="8064"/>
        </w:tabs>
        <w:spacing w:line="276" w:lineRule="auto"/>
        <w:ind w:right="-1"/>
        <w:jc w:val="both"/>
        <w:outlineLvl w:val="0"/>
        <w:rPr>
          <w:rFonts w:cs="Arial"/>
        </w:rPr>
      </w:pPr>
    </w:p>
    <w:p w14:paraId="2BCFD00F" w14:textId="77777777" w:rsidR="003B146B" w:rsidRPr="00141D6F" w:rsidRDefault="003B146B" w:rsidP="003B146B">
      <w:pPr>
        <w:tabs>
          <w:tab w:val="left" w:pos="8064"/>
        </w:tabs>
        <w:spacing w:line="276" w:lineRule="auto"/>
        <w:ind w:right="-1"/>
        <w:jc w:val="center"/>
        <w:outlineLvl w:val="0"/>
        <w:rPr>
          <w:noProof/>
          <w:lang w:eastAsia="es-MX"/>
        </w:rPr>
      </w:pPr>
      <w:r w:rsidRPr="00141D6F">
        <w:rPr>
          <w:noProof/>
          <w:lang w:eastAsia="es-MX"/>
        </w:rPr>
        <w:drawing>
          <wp:inline distT="0" distB="0" distL="0" distR="0" wp14:anchorId="71852B5F" wp14:editId="1CDDE169">
            <wp:extent cx="5916227" cy="1773141"/>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0356" cy="1789364"/>
                    </a:xfrm>
                    <a:prstGeom prst="rect">
                      <a:avLst/>
                    </a:prstGeom>
                    <a:noFill/>
                    <a:ln>
                      <a:noFill/>
                    </a:ln>
                  </pic:spPr>
                </pic:pic>
              </a:graphicData>
            </a:graphic>
          </wp:inline>
        </w:drawing>
      </w:r>
    </w:p>
    <w:p w14:paraId="5E6D9D26" w14:textId="77777777" w:rsidR="003B146B" w:rsidRPr="00141D6F" w:rsidRDefault="003B146B" w:rsidP="003B146B">
      <w:pPr>
        <w:tabs>
          <w:tab w:val="left" w:pos="8064"/>
        </w:tabs>
        <w:spacing w:line="276" w:lineRule="auto"/>
        <w:ind w:right="-1"/>
        <w:jc w:val="both"/>
        <w:outlineLvl w:val="0"/>
      </w:pPr>
      <w:r w:rsidRPr="00141D6F">
        <w:t xml:space="preserve">El presupuesto se ha modificado para el presente ejercicio dando un total de </w:t>
      </w:r>
      <w:r w:rsidRPr="00141D6F">
        <w:rPr>
          <w:b/>
        </w:rPr>
        <w:t>2,738,638,262.85,</w:t>
      </w:r>
      <w:r w:rsidRPr="00141D6F">
        <w:t xml:space="preserve"> de acuerdo con las siguientes adecuaciones:</w:t>
      </w:r>
    </w:p>
    <w:p w14:paraId="2E32A282" w14:textId="14DE8A5E" w:rsidR="00D45FA4" w:rsidRDefault="003B146B" w:rsidP="00141D6F">
      <w:pPr>
        <w:tabs>
          <w:tab w:val="left" w:pos="8064"/>
        </w:tabs>
        <w:spacing w:line="276" w:lineRule="auto"/>
        <w:ind w:right="-1"/>
        <w:jc w:val="center"/>
        <w:outlineLvl w:val="0"/>
      </w:pPr>
      <w:r w:rsidRPr="0005384A">
        <w:rPr>
          <w:noProof/>
          <w:lang w:eastAsia="es-MX"/>
        </w:rPr>
        <w:drawing>
          <wp:inline distT="0" distB="0" distL="0" distR="0" wp14:anchorId="071D4367" wp14:editId="37066851">
            <wp:extent cx="6042025" cy="2982178"/>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9333" cy="2985785"/>
                    </a:xfrm>
                    <a:prstGeom prst="rect">
                      <a:avLst/>
                    </a:prstGeom>
                    <a:noFill/>
                    <a:ln>
                      <a:noFill/>
                    </a:ln>
                  </pic:spPr>
                </pic:pic>
              </a:graphicData>
            </a:graphic>
          </wp:inline>
        </w:drawing>
      </w:r>
    </w:p>
    <w:p w14:paraId="679117B0" w14:textId="12C7E23D" w:rsidR="003B146B" w:rsidRDefault="00D45FA4" w:rsidP="00D45FA4">
      <w:pPr>
        <w:spacing w:line="259" w:lineRule="auto"/>
      </w:pPr>
      <w:r>
        <w:br w:type="page"/>
      </w:r>
      <w:r w:rsidR="003B146B" w:rsidRPr="00D62C1B">
        <w:rPr>
          <w:b/>
        </w:rPr>
        <w:t>Estado Comparativo del Ejercicio del Presupuesto de Egresos:</w:t>
      </w:r>
      <w:r w:rsidR="003B146B" w:rsidRPr="00C1395C">
        <w:t xml:space="preserve"> </w:t>
      </w:r>
    </w:p>
    <w:p w14:paraId="44469933" w14:textId="77777777" w:rsidR="003B146B" w:rsidRDefault="003B146B" w:rsidP="003B146B">
      <w:pPr>
        <w:tabs>
          <w:tab w:val="left" w:pos="6420"/>
        </w:tabs>
        <w:spacing w:line="259" w:lineRule="auto"/>
        <w:rPr>
          <w:b/>
        </w:rPr>
      </w:pPr>
      <w:r w:rsidRPr="00B14C3F">
        <w:rPr>
          <w:noProof/>
          <w:lang w:eastAsia="es-MX"/>
        </w:rPr>
        <w:drawing>
          <wp:inline distT="0" distB="0" distL="0" distR="0" wp14:anchorId="4EECB77A" wp14:editId="6A479058">
            <wp:extent cx="6388735" cy="18478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426" cy="1848050"/>
                    </a:xfrm>
                    <a:prstGeom prst="rect">
                      <a:avLst/>
                    </a:prstGeom>
                    <a:noFill/>
                    <a:ln>
                      <a:noFill/>
                    </a:ln>
                  </pic:spPr>
                </pic:pic>
              </a:graphicData>
            </a:graphic>
          </wp:inline>
        </w:drawing>
      </w:r>
    </w:p>
    <w:p w14:paraId="63700055" w14:textId="77777777" w:rsidR="003B146B" w:rsidRPr="00D62C1B" w:rsidRDefault="003B146B" w:rsidP="003B146B">
      <w:pPr>
        <w:tabs>
          <w:tab w:val="left" w:pos="488"/>
        </w:tabs>
        <w:spacing w:line="276" w:lineRule="auto"/>
        <w:ind w:right="-1"/>
        <w:jc w:val="both"/>
        <w:outlineLvl w:val="0"/>
        <w:rPr>
          <w:rFonts w:cs="Arial"/>
        </w:rPr>
      </w:pPr>
      <w:r w:rsidRPr="00D62C1B">
        <w:rPr>
          <w:rFonts w:cs="Arial"/>
        </w:rPr>
        <w:t>El presupuesto de egresos aprobado anual fue de 2,3</w:t>
      </w:r>
      <w:r>
        <w:rPr>
          <w:rFonts w:cs="Arial"/>
        </w:rPr>
        <w:t>98’8</w:t>
      </w:r>
      <w:r w:rsidRPr="00D62C1B">
        <w:rPr>
          <w:rFonts w:cs="Arial"/>
        </w:rPr>
        <w:t>12,3</w:t>
      </w:r>
      <w:r>
        <w:rPr>
          <w:rFonts w:cs="Arial"/>
        </w:rPr>
        <w:t>20</w:t>
      </w:r>
      <w:r w:rsidRPr="00D62C1B">
        <w:rPr>
          <w:rFonts w:cs="Arial"/>
        </w:rPr>
        <w:t xml:space="preserve">.00, el presupuesto modificado al mes es de </w:t>
      </w:r>
      <w:r w:rsidRPr="009E097E">
        <w:rPr>
          <w:rFonts w:cs="Arial"/>
        </w:rPr>
        <w:t>2</w:t>
      </w:r>
      <w:r>
        <w:rPr>
          <w:rFonts w:cs="Arial"/>
        </w:rPr>
        <w:t>,</w:t>
      </w:r>
      <w:r w:rsidRPr="009E097E">
        <w:rPr>
          <w:rFonts w:cs="Arial"/>
        </w:rPr>
        <w:t>584</w:t>
      </w:r>
      <w:r>
        <w:rPr>
          <w:rFonts w:cs="Arial"/>
        </w:rPr>
        <w:t>’</w:t>
      </w:r>
      <w:r w:rsidRPr="009E097E">
        <w:rPr>
          <w:rFonts w:cs="Arial"/>
        </w:rPr>
        <w:t>667</w:t>
      </w:r>
      <w:r>
        <w:rPr>
          <w:rFonts w:cs="Arial"/>
        </w:rPr>
        <w:t>,</w:t>
      </w:r>
      <w:r w:rsidRPr="009E097E">
        <w:rPr>
          <w:rFonts w:cs="Arial"/>
        </w:rPr>
        <w:t>781.85</w:t>
      </w:r>
      <w:r>
        <w:rPr>
          <w:rFonts w:cs="Arial"/>
        </w:rPr>
        <w:t xml:space="preserve"> </w:t>
      </w:r>
      <w:r w:rsidRPr="00D62C1B">
        <w:rPr>
          <w:rFonts w:cs="Arial"/>
        </w:rPr>
        <w:t xml:space="preserve">y se ha ejercido al mes que se analiza la cantidad de </w:t>
      </w:r>
      <w:r w:rsidRPr="009E097E">
        <w:rPr>
          <w:rFonts w:cs="Arial"/>
        </w:rPr>
        <w:t>2</w:t>
      </w:r>
      <w:r>
        <w:rPr>
          <w:rFonts w:cs="Arial"/>
        </w:rPr>
        <w:t>,</w:t>
      </w:r>
      <w:r w:rsidRPr="009E097E">
        <w:rPr>
          <w:rFonts w:cs="Arial"/>
        </w:rPr>
        <w:t>289</w:t>
      </w:r>
      <w:r>
        <w:rPr>
          <w:rFonts w:cs="Arial"/>
        </w:rPr>
        <w:t>’</w:t>
      </w:r>
      <w:r w:rsidRPr="009E097E">
        <w:rPr>
          <w:rFonts w:cs="Arial"/>
        </w:rPr>
        <w:t>645</w:t>
      </w:r>
      <w:r>
        <w:rPr>
          <w:rFonts w:cs="Arial"/>
        </w:rPr>
        <w:t>,</w:t>
      </w:r>
      <w:r w:rsidRPr="009E097E">
        <w:rPr>
          <w:rFonts w:cs="Arial"/>
        </w:rPr>
        <w:t>821.96</w:t>
      </w:r>
      <w:r>
        <w:rPr>
          <w:rFonts w:cs="Arial"/>
        </w:rPr>
        <w:t>;</w:t>
      </w:r>
      <w:r w:rsidRPr="00D62C1B">
        <w:rPr>
          <w:rFonts w:cs="Arial"/>
        </w:rPr>
        <w:t xml:space="preserve"> por lo tanto, se observa una variación absoluta de </w:t>
      </w:r>
      <w:r w:rsidRPr="009E097E">
        <w:rPr>
          <w:rFonts w:cs="Arial"/>
        </w:rPr>
        <w:t>295</w:t>
      </w:r>
      <w:r>
        <w:rPr>
          <w:rFonts w:cs="Arial"/>
        </w:rPr>
        <w:t>’</w:t>
      </w:r>
      <w:r w:rsidRPr="009E097E">
        <w:rPr>
          <w:rFonts w:cs="Arial"/>
        </w:rPr>
        <w:t>021</w:t>
      </w:r>
      <w:r>
        <w:rPr>
          <w:rFonts w:cs="Arial"/>
        </w:rPr>
        <w:t>,</w:t>
      </w:r>
      <w:r w:rsidRPr="009E097E">
        <w:rPr>
          <w:rFonts w:cs="Arial"/>
        </w:rPr>
        <w:t>959.89</w:t>
      </w:r>
      <w:r>
        <w:rPr>
          <w:rFonts w:cs="Arial"/>
        </w:rPr>
        <w:t>, que representa el 11.41 por ciento</w:t>
      </w:r>
      <w:r w:rsidRPr="00D62C1B">
        <w:rPr>
          <w:rFonts w:cs="Arial"/>
        </w:rPr>
        <w:t xml:space="preserve"> contra el presupuesto</w:t>
      </w:r>
      <w:r>
        <w:rPr>
          <w:rFonts w:cs="Arial"/>
        </w:rPr>
        <w:t xml:space="preserve"> acumulado al mes modificado</w:t>
      </w:r>
      <w:r w:rsidRPr="00D62C1B">
        <w:rPr>
          <w:rFonts w:cs="Arial"/>
        </w:rPr>
        <w:t>, principalmente por lo siguiente:</w:t>
      </w:r>
    </w:p>
    <w:p w14:paraId="5AC9AFAB" w14:textId="77777777" w:rsidR="003B146B" w:rsidRPr="00E120AD" w:rsidRDefault="003B146B" w:rsidP="003B146B">
      <w:pPr>
        <w:spacing w:line="276" w:lineRule="auto"/>
        <w:ind w:right="-1"/>
        <w:jc w:val="both"/>
        <w:rPr>
          <w:rFonts w:eastAsia="Calibri" w:cs="Arial"/>
        </w:rPr>
      </w:pPr>
      <w:r w:rsidRPr="00D30737">
        <w:rPr>
          <w:rFonts w:cs="Arial"/>
          <w:b/>
        </w:rPr>
        <w:t>En el Capítulo 1000 “Servicios Personales</w:t>
      </w:r>
      <w:r w:rsidRPr="00D30737">
        <w:rPr>
          <w:rFonts w:cs="Arial"/>
        </w:rPr>
        <w:t>”.</w:t>
      </w:r>
      <w:r w:rsidRPr="00D30737">
        <w:rPr>
          <w:rFonts w:cs="Arial"/>
          <w:b/>
        </w:rPr>
        <w:t xml:space="preserve"> –</w:t>
      </w:r>
      <w:r w:rsidRPr="00D30737">
        <w:rPr>
          <w:rFonts w:cs="Arial"/>
        </w:rPr>
        <w:t xml:space="preserve"> </w:t>
      </w:r>
      <w:r>
        <w:rPr>
          <w:rFonts w:eastAsia="Calibri" w:cs="Arial"/>
        </w:rPr>
        <w:t>La variación relativa del cuatro</w:t>
      </w:r>
      <w:r w:rsidRPr="00C6486A">
        <w:rPr>
          <w:rFonts w:eastAsia="Calibri" w:cs="Arial"/>
        </w:rPr>
        <w:t xml:space="preserve"> por ciento en este mes, obedece a que el</w:t>
      </w:r>
      <w:r>
        <w:rPr>
          <w:rFonts w:eastAsia="Calibri" w:cs="Arial"/>
        </w:rPr>
        <w:t xml:space="preserve"> presupuesto autorizado por la S</w:t>
      </w:r>
      <w:r w:rsidRPr="00C6486A">
        <w:rPr>
          <w:rFonts w:eastAsia="Calibri" w:cs="Arial"/>
        </w:rPr>
        <w:t>ecretaría de Finanzas es superior al costo de la Plantilla de este Instituto.</w:t>
      </w:r>
    </w:p>
    <w:p w14:paraId="06651774" w14:textId="77777777" w:rsidR="003B146B" w:rsidRDefault="003B146B" w:rsidP="003B146B">
      <w:pPr>
        <w:spacing w:line="276" w:lineRule="auto"/>
        <w:ind w:right="-1"/>
        <w:jc w:val="both"/>
        <w:rPr>
          <w:rFonts w:cs="Arial"/>
        </w:rPr>
      </w:pPr>
      <w:r>
        <w:rPr>
          <w:rFonts w:cs="Arial"/>
          <w:b/>
        </w:rPr>
        <w:t>En el Capítulo 2</w:t>
      </w:r>
      <w:r w:rsidRPr="00517C1D">
        <w:rPr>
          <w:rFonts w:cs="Arial"/>
          <w:b/>
        </w:rPr>
        <w:t>000 “</w:t>
      </w:r>
      <w:r>
        <w:rPr>
          <w:rFonts w:cs="Arial"/>
          <w:b/>
        </w:rPr>
        <w:t>Materiales y Suministros</w:t>
      </w:r>
      <w:r w:rsidRPr="00517C1D">
        <w:rPr>
          <w:rFonts w:cs="Arial"/>
          <w:b/>
        </w:rPr>
        <w:t xml:space="preserve">”. </w:t>
      </w:r>
      <w:r>
        <w:rPr>
          <w:rFonts w:cs="Arial"/>
          <w:b/>
        </w:rPr>
        <w:t>–</w:t>
      </w:r>
      <w:r w:rsidRPr="00517C1D">
        <w:rPr>
          <w:rFonts w:cs="Arial"/>
        </w:rPr>
        <w:t xml:space="preserve"> </w:t>
      </w:r>
      <w:r w:rsidRPr="00D30737">
        <w:rPr>
          <w:rFonts w:cs="Arial"/>
        </w:rPr>
        <w:t xml:space="preserve">La variación relativa del </w:t>
      </w:r>
      <w:r>
        <w:rPr>
          <w:rFonts w:cs="Arial"/>
        </w:rPr>
        <w:t>30</w:t>
      </w:r>
      <w:r w:rsidRPr="00D30737">
        <w:rPr>
          <w:rFonts w:cs="Arial"/>
        </w:rPr>
        <w:t xml:space="preserve"> por ciento</w:t>
      </w:r>
      <w:r>
        <w:rPr>
          <w:rFonts w:cs="Arial"/>
        </w:rPr>
        <w:t>, obedece a que se encuentra en proceso de substanciación de algunos procedimientos adquisitivos. Adicional a esto, las adquisiciones realizadas en los periodos anteriores fueron substanciadas y contratadas a un menor precio de lo presupuestado y por consiguiente impacta en el subejercicio acumulado.</w:t>
      </w:r>
    </w:p>
    <w:p w14:paraId="6F4178EE" w14:textId="77777777" w:rsidR="003B146B" w:rsidRDefault="003B146B" w:rsidP="003B146B">
      <w:pPr>
        <w:spacing w:line="276" w:lineRule="auto"/>
        <w:ind w:right="-1"/>
        <w:jc w:val="both"/>
        <w:rPr>
          <w:rFonts w:cs="Arial"/>
        </w:rPr>
      </w:pPr>
      <w:r>
        <w:rPr>
          <w:rFonts w:cs="Arial"/>
          <w:b/>
        </w:rPr>
        <w:t>En el Capítulo 3</w:t>
      </w:r>
      <w:r w:rsidRPr="00517C1D">
        <w:rPr>
          <w:rFonts w:cs="Arial"/>
          <w:b/>
        </w:rPr>
        <w:t>000 “Servicios Generales</w:t>
      </w:r>
      <w:proofErr w:type="gramStart"/>
      <w:r w:rsidRPr="00517C1D">
        <w:rPr>
          <w:rFonts w:cs="Arial"/>
          <w:b/>
        </w:rPr>
        <w:t>”.</w:t>
      </w:r>
      <w:r>
        <w:rPr>
          <w:rFonts w:cs="Arial"/>
          <w:b/>
        </w:rPr>
        <w:t>-</w:t>
      </w:r>
      <w:proofErr w:type="gramEnd"/>
      <w:r>
        <w:rPr>
          <w:rFonts w:cs="Arial"/>
          <w:b/>
        </w:rPr>
        <w:t xml:space="preserve"> </w:t>
      </w:r>
      <w:r>
        <w:rPr>
          <w:rFonts w:cs="Arial"/>
        </w:rPr>
        <w:t xml:space="preserve">Para el 21 </w:t>
      </w:r>
      <w:proofErr w:type="spellStart"/>
      <w:r>
        <w:rPr>
          <w:rFonts w:cs="Arial"/>
        </w:rPr>
        <w:t>porciento</w:t>
      </w:r>
      <w:proofErr w:type="spellEnd"/>
      <w:r>
        <w:rPr>
          <w:rFonts w:cs="Arial"/>
        </w:rPr>
        <w:t xml:space="preserve"> de variación, e</w:t>
      </w:r>
      <w:r w:rsidRPr="004A43D4">
        <w:rPr>
          <w:rFonts w:cs="Arial"/>
        </w:rPr>
        <w:t xml:space="preserve">l subejercicio mensual </w:t>
      </w:r>
      <w:r>
        <w:rPr>
          <w:rFonts w:cs="Arial"/>
        </w:rPr>
        <w:t xml:space="preserve">obedece a que se encuentra en proceso de substanciación para la contratación de algunos servicios que fortalecerán la infraestructura tecnológica de este Instituto. Adicional a esto, las contrataciones realizadas en los periodos anteriores fueron substanciadas y </w:t>
      </w:r>
      <w:proofErr w:type="spellStart"/>
      <w:r>
        <w:rPr>
          <w:rFonts w:cs="Arial"/>
        </w:rPr>
        <w:t>contrataas</w:t>
      </w:r>
      <w:proofErr w:type="spellEnd"/>
      <w:r>
        <w:rPr>
          <w:rFonts w:cs="Arial"/>
        </w:rPr>
        <w:t xml:space="preserve"> a un menor precio de lo </w:t>
      </w:r>
      <w:proofErr w:type="spellStart"/>
      <w:r>
        <w:rPr>
          <w:rFonts w:cs="Arial"/>
        </w:rPr>
        <w:t>prespuestado</w:t>
      </w:r>
      <w:proofErr w:type="spellEnd"/>
      <w:r>
        <w:rPr>
          <w:rFonts w:cs="Arial"/>
        </w:rPr>
        <w:t>; y por consiguiente impacta en el subejercicio acumulado.</w:t>
      </w:r>
    </w:p>
    <w:p w14:paraId="3DC940B7" w14:textId="77777777" w:rsidR="003B146B" w:rsidRPr="00423728" w:rsidRDefault="003B146B" w:rsidP="003B146B">
      <w:pPr>
        <w:spacing w:line="276" w:lineRule="auto"/>
        <w:ind w:right="-1"/>
        <w:jc w:val="both"/>
        <w:rPr>
          <w:rFonts w:eastAsia="Calibri" w:cs="Arial"/>
        </w:rPr>
      </w:pPr>
      <w:r w:rsidRPr="00423728">
        <w:rPr>
          <w:rFonts w:eastAsia="Calibri" w:cs="Arial"/>
          <w:b/>
        </w:rPr>
        <w:t>En el Capítulo 4000 “Transferencias, Asignaciones, Subsidios y Otras Ayudas</w:t>
      </w:r>
      <w:r>
        <w:rPr>
          <w:rFonts w:eastAsia="Calibri" w:cs="Arial"/>
          <w:b/>
        </w:rPr>
        <w:t xml:space="preserve">.- </w:t>
      </w:r>
      <w:r w:rsidRPr="00423728">
        <w:rPr>
          <w:rFonts w:eastAsia="Calibri" w:cs="Arial"/>
        </w:rPr>
        <w:t>La variación en este capítulo,</w:t>
      </w:r>
      <w:r>
        <w:rPr>
          <w:rFonts w:eastAsia="Calibri" w:cs="Arial"/>
        </w:rPr>
        <w:t xml:space="preserve"> asciende al cinco por ciento donde el subejercicio mensual y acumulado en el </w:t>
      </w:r>
      <w:proofErr w:type="spellStart"/>
      <w:r>
        <w:rPr>
          <w:rFonts w:eastAsia="Calibri" w:cs="Arial"/>
        </w:rPr>
        <w:t>Capitulo</w:t>
      </w:r>
      <w:proofErr w:type="spellEnd"/>
      <w:r>
        <w:rPr>
          <w:rFonts w:eastAsia="Calibri" w:cs="Arial"/>
        </w:rPr>
        <w:t xml:space="preserve"> “Transferencias, </w:t>
      </w:r>
      <w:proofErr w:type="spellStart"/>
      <w:r>
        <w:rPr>
          <w:rFonts w:eastAsia="Calibri" w:cs="Arial"/>
        </w:rPr>
        <w:t>asignacions</w:t>
      </w:r>
      <w:proofErr w:type="spellEnd"/>
      <w:r>
        <w:rPr>
          <w:rFonts w:eastAsia="Calibri" w:cs="Arial"/>
        </w:rPr>
        <w:t>,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al Fiduciario que derivan de los derechos recaudados por los servicios registrales que presta este Instituto.</w:t>
      </w:r>
    </w:p>
    <w:p w14:paraId="6CC488DD" w14:textId="77777777" w:rsidR="003B146B" w:rsidRDefault="003B146B" w:rsidP="003B146B">
      <w:pPr>
        <w:spacing w:line="276" w:lineRule="auto"/>
        <w:ind w:right="-1"/>
        <w:jc w:val="both"/>
        <w:rPr>
          <w:rFonts w:cs="Arial"/>
        </w:rPr>
      </w:pPr>
      <w:r>
        <w:rPr>
          <w:rFonts w:cs="Arial"/>
          <w:b/>
        </w:rPr>
        <w:t>En el Capítulo 5</w:t>
      </w:r>
      <w:r w:rsidRPr="00517C1D">
        <w:rPr>
          <w:rFonts w:cs="Arial"/>
          <w:b/>
        </w:rPr>
        <w:t>000 “</w:t>
      </w:r>
      <w:r>
        <w:rPr>
          <w:rFonts w:cs="Arial"/>
          <w:b/>
        </w:rPr>
        <w:t>Bienes Muebles, Inmuebles e Intangibles</w:t>
      </w:r>
      <w:proofErr w:type="gramStart"/>
      <w:r>
        <w:rPr>
          <w:rFonts w:cs="Arial"/>
          <w:b/>
        </w:rPr>
        <w:t>”.-</w:t>
      </w:r>
      <w:proofErr w:type="gramEnd"/>
      <w:r>
        <w:rPr>
          <w:rFonts w:cs="Arial"/>
          <w:b/>
        </w:rPr>
        <w:t xml:space="preserve"> </w:t>
      </w:r>
      <w:r w:rsidRPr="004A43D4">
        <w:rPr>
          <w:rFonts w:cs="Arial"/>
        </w:rPr>
        <w:t>El subejercicio mensual obedece a que se encuentra</w:t>
      </w:r>
      <w:r>
        <w:rPr>
          <w:rFonts w:cs="Arial"/>
        </w:rPr>
        <w:t>n</w:t>
      </w:r>
      <w:r w:rsidRPr="004A43D4">
        <w:rPr>
          <w:rFonts w:cs="Arial"/>
        </w:rPr>
        <w:t xml:space="preserve"> </w:t>
      </w:r>
      <w:r>
        <w:rPr>
          <w:rFonts w:cs="Arial"/>
        </w:rPr>
        <w:t xml:space="preserve">en proceso de substanciación de los procedimientos adquisitivos relativos a la infraestructura  tecnológica; </w:t>
      </w:r>
      <w:proofErr w:type="spellStart"/>
      <w:r>
        <w:rPr>
          <w:rFonts w:cs="Arial"/>
        </w:rPr>
        <w:t>asi</w:t>
      </w:r>
      <w:proofErr w:type="spellEnd"/>
      <w:r>
        <w:rPr>
          <w:rFonts w:cs="Arial"/>
        </w:rPr>
        <w:t xml:space="preserve"> como, bienes muebles para este Instituto.</w:t>
      </w:r>
    </w:p>
    <w:p w14:paraId="4AC38510" w14:textId="77777777" w:rsidR="003B146B" w:rsidRDefault="003B146B" w:rsidP="003B146B">
      <w:pPr>
        <w:spacing w:line="276" w:lineRule="auto"/>
        <w:ind w:right="-1"/>
        <w:jc w:val="both"/>
        <w:rPr>
          <w:rFonts w:eastAsia="Calibri" w:cs="Arial"/>
        </w:rPr>
      </w:pPr>
      <w:r>
        <w:rPr>
          <w:rFonts w:cs="Arial"/>
          <w:b/>
        </w:rPr>
        <w:t>En el Capítulo 9</w:t>
      </w:r>
      <w:r w:rsidRPr="00517C1D">
        <w:rPr>
          <w:rFonts w:cs="Arial"/>
          <w:b/>
        </w:rPr>
        <w:t>000 “</w:t>
      </w:r>
      <w:r>
        <w:rPr>
          <w:rFonts w:cs="Arial"/>
          <w:b/>
        </w:rPr>
        <w:t>Deuda Pública</w:t>
      </w:r>
      <w:proofErr w:type="gramStart"/>
      <w:r>
        <w:rPr>
          <w:rFonts w:cs="Arial"/>
          <w:b/>
        </w:rPr>
        <w:t>”.-</w:t>
      </w:r>
      <w:proofErr w:type="gramEnd"/>
      <w:r>
        <w:rPr>
          <w:rFonts w:cs="Arial"/>
          <w:b/>
        </w:rPr>
        <w:t xml:space="preserve"> </w:t>
      </w:r>
      <w:r w:rsidRPr="004A43D4">
        <w:rPr>
          <w:rFonts w:eastAsia="Calibri" w:cs="Arial"/>
        </w:rPr>
        <w:t xml:space="preserve">El subejercicio que muestra el </w:t>
      </w:r>
      <w:r>
        <w:rPr>
          <w:rFonts w:eastAsia="Calibri" w:cs="Arial"/>
        </w:rPr>
        <w:t>presente capítulo de gasto “Deuda ¨Pública”</w:t>
      </w:r>
      <w:r w:rsidRPr="004A43D4">
        <w:rPr>
          <w:rFonts w:eastAsia="Calibri" w:cs="Arial"/>
        </w:rPr>
        <w:t xml:space="preserve">, </w:t>
      </w:r>
      <w:r>
        <w:rPr>
          <w:rFonts w:eastAsia="Calibri" w:cs="Arial"/>
        </w:rPr>
        <w:t xml:space="preserve">deriva principalmente de los recursos programados para el pago de los Certificados Bursátiles Fiduciarios Serie “C” que se consideran bajo la fuente de financiamiento de Ingresos Propios en el mes que nos ocupa, no obstante, el remanente será ejercido a través de la actualización de la deuda y en particular a la Serie “C”, la cual se tiene pactada en Unidades de Inversión (UDIS). </w:t>
      </w:r>
    </w:p>
    <w:p w14:paraId="63EC00AF" w14:textId="0C67412B" w:rsidR="00931B5B" w:rsidRPr="00EC2C88" w:rsidRDefault="008842F0" w:rsidP="008842F0">
      <w:pPr>
        <w:spacing w:after="101" w:line="276" w:lineRule="auto"/>
        <w:ind w:left="648" w:right="-1"/>
        <w:rPr>
          <w:rFonts w:cs="Arial"/>
        </w:rPr>
      </w:pPr>
      <w:r>
        <w:rPr>
          <w:b/>
        </w:rPr>
        <w:t xml:space="preserve">C) </w:t>
      </w:r>
      <w:r w:rsidR="00931B5B" w:rsidRPr="00EC2C88">
        <w:rPr>
          <w:b/>
        </w:rPr>
        <w:t>NOTAS DE GESTIÓN ADMINISTRATIVA</w:t>
      </w:r>
    </w:p>
    <w:p w14:paraId="6FE31822" w14:textId="77777777" w:rsidR="00931B5B" w:rsidRPr="00EC2C88" w:rsidRDefault="00931B5B" w:rsidP="00931B5B">
      <w:pPr>
        <w:tabs>
          <w:tab w:val="left" w:pos="3836"/>
          <w:tab w:val="left" w:pos="4395"/>
        </w:tabs>
        <w:spacing w:after="0" w:line="276" w:lineRule="auto"/>
        <w:ind w:right="-1"/>
        <w:contextualSpacing/>
        <w:jc w:val="both"/>
        <w:outlineLvl w:val="0"/>
        <w:rPr>
          <w:rFonts w:cs="Arial"/>
          <w:sz w:val="14"/>
        </w:rPr>
      </w:pPr>
    </w:p>
    <w:p w14:paraId="7621B307" w14:textId="77777777" w:rsidR="00931B5B" w:rsidRPr="00EC2C88" w:rsidRDefault="00931B5B" w:rsidP="00931B5B">
      <w:pPr>
        <w:jc w:val="both"/>
      </w:pPr>
      <w:r w:rsidRPr="00EC2C88">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05DE1C4A" w14:textId="77777777" w:rsidR="00931B5B" w:rsidRPr="00EC2C88" w:rsidRDefault="00931B5B" w:rsidP="00931B5B">
      <w:pPr>
        <w:spacing w:line="276" w:lineRule="auto"/>
        <w:ind w:right="-1"/>
        <w:jc w:val="both"/>
      </w:pPr>
      <w:r w:rsidRPr="00EC2C88">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4F00964" w14:textId="77777777" w:rsidR="00931B5B" w:rsidRPr="00EC2C88" w:rsidRDefault="00931B5B" w:rsidP="00931B5B">
      <w:pPr>
        <w:numPr>
          <w:ilvl w:val="0"/>
          <w:numId w:val="2"/>
        </w:numPr>
        <w:spacing w:after="0" w:line="276" w:lineRule="auto"/>
        <w:ind w:left="851" w:right="-1"/>
        <w:contextualSpacing/>
        <w:jc w:val="both"/>
        <w:rPr>
          <w:rFonts w:eastAsia="Times New Roman" w:cs="Arial"/>
          <w:b/>
          <w:lang w:eastAsia="es-MX"/>
        </w:rPr>
      </w:pPr>
      <w:r w:rsidRPr="00EC2C88">
        <w:rPr>
          <w:rFonts w:eastAsia="Times New Roman" w:cs="Times New Roman"/>
          <w:b/>
          <w:lang w:eastAsia="es-MX"/>
        </w:rPr>
        <w:t>Introducción</w:t>
      </w:r>
    </w:p>
    <w:p w14:paraId="77A5183E" w14:textId="77777777" w:rsidR="00931B5B" w:rsidRPr="00EC2C88" w:rsidRDefault="00931B5B" w:rsidP="00931B5B">
      <w:pPr>
        <w:spacing w:before="240" w:line="276" w:lineRule="auto"/>
        <w:ind w:right="-1"/>
        <w:jc w:val="both"/>
      </w:pPr>
      <w:r w:rsidRPr="00EC2C88">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139FF757" w14:textId="77777777" w:rsidR="00931B5B" w:rsidRPr="00EC2C88" w:rsidRDefault="00931B5B" w:rsidP="00931B5B">
      <w:pPr>
        <w:spacing w:line="276" w:lineRule="auto"/>
        <w:ind w:right="-1"/>
        <w:jc w:val="both"/>
      </w:pPr>
      <w:r w:rsidRPr="00EC2C88">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7AE07EF9" w14:textId="77777777" w:rsidR="00931B5B" w:rsidRPr="00EC2C88" w:rsidRDefault="00931B5B" w:rsidP="00931B5B">
      <w:pPr>
        <w:spacing w:line="276" w:lineRule="auto"/>
        <w:ind w:right="-1"/>
        <w:jc w:val="both"/>
      </w:pPr>
      <w:r w:rsidRPr="00EC2C88">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11740368" w14:textId="77777777" w:rsidR="00931B5B" w:rsidRPr="00EC2C88" w:rsidRDefault="00931B5B" w:rsidP="00931B5B">
      <w:pPr>
        <w:spacing w:line="276" w:lineRule="auto"/>
        <w:ind w:right="-1"/>
        <w:jc w:val="both"/>
      </w:pPr>
      <w:r w:rsidRPr="00EC2C88">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r w:rsidRPr="00EC2C88">
        <w:br w:type="page"/>
      </w:r>
    </w:p>
    <w:p w14:paraId="2AB36474" w14:textId="77777777" w:rsidR="00931B5B" w:rsidRPr="00EC2C88" w:rsidRDefault="00931B5B" w:rsidP="00931B5B">
      <w:pPr>
        <w:numPr>
          <w:ilvl w:val="0"/>
          <w:numId w:val="2"/>
        </w:numPr>
        <w:spacing w:after="0" w:line="276" w:lineRule="auto"/>
        <w:ind w:left="851" w:right="-1"/>
        <w:contextualSpacing/>
        <w:jc w:val="both"/>
        <w:rPr>
          <w:rFonts w:eastAsia="Times New Roman" w:cs="Times New Roman"/>
          <w:b/>
          <w:lang w:eastAsia="es-MX"/>
        </w:rPr>
      </w:pPr>
      <w:r w:rsidRPr="00EC2C88">
        <w:rPr>
          <w:rFonts w:eastAsia="Times New Roman" w:cs="Times New Roman"/>
          <w:b/>
          <w:lang w:eastAsia="es-MX"/>
        </w:rPr>
        <w:t>Panorama Económico y Financiero</w:t>
      </w:r>
    </w:p>
    <w:p w14:paraId="3F218E68" w14:textId="77777777" w:rsidR="00931B5B" w:rsidRPr="00EC2C88" w:rsidRDefault="00931B5B" w:rsidP="00931B5B">
      <w:pPr>
        <w:spacing w:after="0" w:line="276" w:lineRule="auto"/>
        <w:ind w:right="-1"/>
        <w:contextualSpacing/>
        <w:jc w:val="both"/>
        <w:rPr>
          <w:rFonts w:eastAsia="Times New Roman" w:cs="Times New Roman"/>
          <w:b/>
          <w:lang w:eastAsia="es-MX"/>
        </w:rPr>
      </w:pPr>
    </w:p>
    <w:p w14:paraId="05610493" w14:textId="77777777" w:rsidR="00931B5B" w:rsidRPr="00EC2C88" w:rsidRDefault="00931B5B" w:rsidP="00931B5B">
      <w:pPr>
        <w:spacing w:after="101" w:line="276" w:lineRule="auto"/>
        <w:ind w:right="-1"/>
        <w:jc w:val="both"/>
        <w:rPr>
          <w:rFonts w:eastAsia="Times New Roman" w:cs="Arial"/>
          <w:lang w:val="es-ES" w:eastAsia="es-ES"/>
        </w:rPr>
      </w:pPr>
      <w:r w:rsidRPr="00EC2C88">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75F9383E" w14:textId="77777777" w:rsidR="00931B5B" w:rsidRPr="00EC2C88" w:rsidRDefault="00931B5B" w:rsidP="00931B5B">
      <w:pPr>
        <w:numPr>
          <w:ilvl w:val="0"/>
          <w:numId w:val="2"/>
        </w:numPr>
        <w:spacing w:after="0" w:line="276" w:lineRule="auto"/>
        <w:ind w:left="851" w:right="-1"/>
        <w:contextualSpacing/>
        <w:jc w:val="both"/>
        <w:rPr>
          <w:rFonts w:eastAsia="Times New Roman" w:cs="Times New Roman"/>
          <w:b/>
          <w:lang w:eastAsia="es-MX"/>
        </w:rPr>
      </w:pPr>
      <w:r w:rsidRPr="00EC2C88">
        <w:rPr>
          <w:rFonts w:eastAsia="Times New Roman" w:cs="Times New Roman"/>
          <w:b/>
          <w:lang w:eastAsia="es-MX"/>
        </w:rPr>
        <w:t xml:space="preserve"> Autorización e Historia</w:t>
      </w:r>
    </w:p>
    <w:p w14:paraId="74EF8F3E" w14:textId="77777777" w:rsidR="00931B5B" w:rsidRPr="00EC2C88" w:rsidRDefault="00931B5B" w:rsidP="00931B5B">
      <w:pPr>
        <w:spacing w:after="0" w:line="276" w:lineRule="auto"/>
        <w:ind w:right="-1"/>
        <w:contextualSpacing/>
        <w:jc w:val="both"/>
        <w:rPr>
          <w:rFonts w:eastAsia="Times New Roman" w:cs="Times New Roman"/>
          <w:b/>
          <w:lang w:eastAsia="es-MX"/>
        </w:rPr>
      </w:pPr>
    </w:p>
    <w:p w14:paraId="25572CF2" w14:textId="77777777" w:rsidR="00931B5B" w:rsidRPr="00EC2C88" w:rsidRDefault="00931B5B" w:rsidP="00931B5B">
      <w:pPr>
        <w:spacing w:line="276" w:lineRule="auto"/>
        <w:ind w:right="-1"/>
        <w:jc w:val="both"/>
      </w:pPr>
      <w:r w:rsidRPr="00EC2C88">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1C63F74A" w14:textId="77777777" w:rsidR="00931B5B" w:rsidRPr="00EC2C88" w:rsidRDefault="00931B5B" w:rsidP="00931B5B">
      <w:pPr>
        <w:spacing w:line="276" w:lineRule="auto"/>
        <w:ind w:right="-1"/>
        <w:jc w:val="both"/>
      </w:pPr>
      <w:r w:rsidRPr="00EC2C88">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42128E46" w14:textId="77777777" w:rsidR="00931B5B" w:rsidRPr="00EC2C88" w:rsidRDefault="00931B5B" w:rsidP="00931B5B">
      <w:pPr>
        <w:spacing w:line="276" w:lineRule="auto"/>
        <w:ind w:right="-1"/>
        <w:jc w:val="both"/>
      </w:pPr>
      <w:r w:rsidRPr="00EC2C88">
        <w:t>Asimismo, se subrogaron al Instituto de la Función Registral del Estado de México, los derechos y obligaciones de la Dirección General del Registro Público de la Propiedad de la Secretaría General de Gobierno.</w:t>
      </w:r>
    </w:p>
    <w:p w14:paraId="5CE8FCB4" w14:textId="77777777" w:rsidR="00931B5B" w:rsidRPr="00EC2C88" w:rsidRDefault="00931B5B" w:rsidP="00931B5B">
      <w:pPr>
        <w:spacing w:line="276" w:lineRule="auto"/>
        <w:ind w:right="-1"/>
        <w:jc w:val="both"/>
      </w:pPr>
      <w:r w:rsidRPr="00EC2C88">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71336718" w14:textId="77777777" w:rsidR="00931B5B" w:rsidRPr="00EC2C88" w:rsidRDefault="00931B5B" w:rsidP="00931B5B">
      <w:pPr>
        <w:spacing w:line="276" w:lineRule="auto"/>
        <w:ind w:right="-1"/>
        <w:jc w:val="both"/>
      </w:pPr>
      <w:r w:rsidRPr="00EC2C88">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5C06FE86" w14:textId="77777777" w:rsidR="00931B5B" w:rsidRPr="00EC2C88" w:rsidRDefault="00931B5B" w:rsidP="00931B5B">
      <w:pPr>
        <w:spacing w:line="276" w:lineRule="auto"/>
        <w:ind w:right="-1"/>
        <w:jc w:val="both"/>
      </w:pPr>
      <w:r w:rsidRPr="00EC2C88">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135F4FCC" w14:textId="77777777" w:rsidR="00931B5B" w:rsidRPr="00EC2C88" w:rsidRDefault="00931B5B" w:rsidP="00931B5B">
      <w:pPr>
        <w:spacing w:line="276" w:lineRule="auto"/>
        <w:ind w:right="-1"/>
        <w:jc w:val="both"/>
      </w:pPr>
      <w:r w:rsidRPr="00EC2C88">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A84F4EA" w14:textId="77777777" w:rsidR="00931B5B" w:rsidRPr="00EC2C88" w:rsidRDefault="00931B5B" w:rsidP="00931B5B">
      <w:pPr>
        <w:spacing w:line="276" w:lineRule="auto"/>
        <w:ind w:right="-1"/>
        <w:jc w:val="both"/>
      </w:pPr>
      <w:r w:rsidRPr="00EC2C88">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69B48A80" w14:textId="77777777" w:rsidR="00931B5B" w:rsidRPr="00EC2C88" w:rsidRDefault="00931B5B" w:rsidP="00931B5B">
      <w:pPr>
        <w:spacing w:line="276" w:lineRule="auto"/>
        <w:ind w:right="-1"/>
        <w:jc w:val="both"/>
      </w:pPr>
      <w:r w:rsidRPr="00EC2C88">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4E323401" w14:textId="77777777" w:rsidR="00931B5B" w:rsidRPr="00EC2C88" w:rsidRDefault="00931B5B" w:rsidP="00931B5B">
      <w:pPr>
        <w:numPr>
          <w:ilvl w:val="0"/>
          <w:numId w:val="2"/>
        </w:numPr>
        <w:spacing w:after="0" w:line="276" w:lineRule="auto"/>
        <w:ind w:left="851" w:right="-1"/>
        <w:contextualSpacing/>
        <w:jc w:val="both"/>
        <w:rPr>
          <w:rFonts w:eastAsia="Times New Roman" w:cs="Times New Roman"/>
          <w:b/>
          <w:lang w:eastAsia="es-MX"/>
        </w:rPr>
      </w:pPr>
      <w:r w:rsidRPr="00EC2C88">
        <w:rPr>
          <w:rFonts w:eastAsia="Times New Roman" w:cs="Times New Roman"/>
          <w:b/>
          <w:lang w:eastAsia="es-MX"/>
        </w:rPr>
        <w:t>Organización y Objeto Social</w:t>
      </w:r>
    </w:p>
    <w:p w14:paraId="7701EC97" w14:textId="77777777" w:rsidR="00931B5B" w:rsidRPr="00EC2C88" w:rsidRDefault="00931B5B" w:rsidP="00931B5B">
      <w:pPr>
        <w:spacing w:after="0" w:line="276" w:lineRule="auto"/>
        <w:ind w:right="-1"/>
        <w:contextualSpacing/>
        <w:jc w:val="both"/>
        <w:rPr>
          <w:rFonts w:eastAsia="Times New Roman" w:cs="Times New Roman"/>
          <w:b/>
          <w:lang w:eastAsia="es-MX"/>
        </w:rPr>
      </w:pPr>
    </w:p>
    <w:p w14:paraId="1FDE6215" w14:textId="77777777" w:rsidR="00931B5B" w:rsidRPr="00EC2C88" w:rsidRDefault="00931B5B" w:rsidP="00931B5B">
      <w:pPr>
        <w:spacing w:after="0" w:line="276" w:lineRule="auto"/>
        <w:ind w:right="-1"/>
        <w:jc w:val="both"/>
        <w:rPr>
          <w:rFonts w:eastAsia="Times New Roman" w:cs="Arial"/>
          <w:lang w:val="es-ES" w:eastAsia="es-ES"/>
        </w:rPr>
      </w:pPr>
      <w:r w:rsidRPr="00EC2C88">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3165719B" w14:textId="77777777" w:rsidR="00931B5B" w:rsidRPr="00EC2C88" w:rsidRDefault="00931B5B" w:rsidP="00931B5B">
      <w:pPr>
        <w:spacing w:line="276" w:lineRule="auto"/>
        <w:ind w:right="-1"/>
        <w:jc w:val="both"/>
      </w:pPr>
      <w:r w:rsidRPr="00EC2C88">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3" w:history="1">
        <w:r w:rsidRPr="00EC2C88">
          <w:rPr>
            <w:u w:val="single"/>
          </w:rPr>
          <w:t>http://ifrem.edomex.gob.mx/organigrama</w:t>
        </w:r>
      </w:hyperlink>
      <w:r w:rsidRPr="00EC2C88">
        <w:t>.</w:t>
      </w:r>
    </w:p>
    <w:p w14:paraId="1BC42712" w14:textId="77777777" w:rsidR="00931B5B" w:rsidRPr="00EC2C88" w:rsidRDefault="00931B5B" w:rsidP="00931B5B">
      <w:pPr>
        <w:spacing w:line="276" w:lineRule="auto"/>
        <w:ind w:right="-1"/>
        <w:jc w:val="both"/>
        <w:rPr>
          <w:rFonts w:eastAsia="Times New Roman" w:cs="Arial"/>
          <w:lang w:val="es-ES" w:eastAsia="es-ES"/>
        </w:rPr>
      </w:pPr>
      <w:r w:rsidRPr="00EC2C88">
        <w:t xml:space="preserve"> </w:t>
      </w:r>
      <w:r w:rsidRPr="00EC2C88">
        <w:rPr>
          <w:rFonts w:eastAsia="Times New Roman" w:cs="Arial"/>
          <w:lang w:val="es-ES" w:eastAsia="es-ES"/>
        </w:rPr>
        <w:t>El Instituto,</w:t>
      </w:r>
      <w:r w:rsidRPr="00EC2C88">
        <w:rPr>
          <w:rFonts w:eastAsia="Times New Roman" w:cs="CenturyGothic"/>
          <w:lang w:val="es-ES" w:eastAsia="es-ES"/>
        </w:rPr>
        <w:t xml:space="preserve"> p</w:t>
      </w:r>
      <w:r w:rsidRPr="00EC2C88">
        <w:rPr>
          <w:rFonts w:eastAsia="Times New Roman" w:cs="Arial"/>
          <w:lang w:val="es-ES" w:eastAsia="es-ES"/>
        </w:rPr>
        <w:t>ara el cumplimiento de su objeto, tendrá las atribuciones que se mencionan en su Decreto de creación publicado en el periódico oficial Gaceta del Gobierno.</w:t>
      </w:r>
    </w:p>
    <w:p w14:paraId="4F1B9642" w14:textId="77777777" w:rsidR="00931B5B" w:rsidRPr="00764DAC" w:rsidRDefault="00931B5B" w:rsidP="00931B5B">
      <w:pPr>
        <w:spacing w:line="259" w:lineRule="auto"/>
        <w:jc w:val="both"/>
        <w:rPr>
          <w:rFonts w:eastAsia="Times New Roman" w:cs="Arial"/>
          <w:lang w:val="es-ES" w:eastAsia="es-ES"/>
        </w:rPr>
      </w:pPr>
      <w:r w:rsidRPr="00EC2C88">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w:t>
      </w:r>
      <w:r w:rsidRPr="00764DAC">
        <w:rPr>
          <w:rFonts w:eastAsia="Times New Roman" w:cs="Arial"/>
          <w:lang w:val="es-ES" w:eastAsia="es-ES"/>
        </w:rPr>
        <w:t>estima que de presentarse esta obligación, se solicitara el monto correspondiente al área jurídica. Por lo tanto, cuando se tenga la documentación soporte de cualquier resolución judicial o cualquier otra derivada de las relaciones laborales, se dará la suficiencia presupuestal y se creará el pasivo correspondiente, mismo que se deberá cancelar con el pago en el mismo ejercicio fiscal.</w:t>
      </w:r>
    </w:p>
    <w:p w14:paraId="70604F12" w14:textId="77777777" w:rsidR="00931B5B" w:rsidRPr="00EC2C88" w:rsidRDefault="00931B5B" w:rsidP="00931B5B">
      <w:pPr>
        <w:spacing w:line="259" w:lineRule="auto"/>
        <w:jc w:val="both"/>
        <w:rPr>
          <w:rFonts w:eastAsia="Times New Roman" w:cs="Arial"/>
          <w:sz w:val="8"/>
          <w:lang w:val="es-ES" w:eastAsia="es-ES"/>
        </w:rPr>
      </w:pPr>
    </w:p>
    <w:p w14:paraId="39C6515D" w14:textId="77777777" w:rsidR="00931B5B" w:rsidRPr="00EC2C88" w:rsidRDefault="00931B5B" w:rsidP="00931B5B">
      <w:pPr>
        <w:numPr>
          <w:ilvl w:val="0"/>
          <w:numId w:val="2"/>
        </w:numPr>
        <w:spacing w:after="0" w:line="276" w:lineRule="auto"/>
        <w:ind w:left="851" w:right="-1"/>
        <w:contextualSpacing/>
        <w:jc w:val="both"/>
        <w:rPr>
          <w:rFonts w:eastAsia="Times New Roman" w:cs="Arial"/>
          <w:lang w:val="es-ES" w:eastAsia="es-ES"/>
        </w:rPr>
      </w:pPr>
      <w:r w:rsidRPr="00EC2C88">
        <w:rPr>
          <w:b/>
        </w:rPr>
        <w:t>Bases preparación de los Estados Financieros</w:t>
      </w:r>
    </w:p>
    <w:p w14:paraId="082C1EF3" w14:textId="77777777" w:rsidR="00931B5B" w:rsidRPr="00EC2C88" w:rsidRDefault="00931B5B" w:rsidP="00931B5B">
      <w:pPr>
        <w:spacing w:after="240" w:line="276" w:lineRule="auto"/>
        <w:ind w:right="-1"/>
        <w:contextualSpacing/>
        <w:jc w:val="both"/>
        <w:rPr>
          <w:rFonts w:eastAsia="Times New Roman" w:cs="Times New Roman"/>
          <w:lang w:eastAsia="es-MX"/>
        </w:rPr>
      </w:pPr>
    </w:p>
    <w:p w14:paraId="1FAC12AB" w14:textId="77777777" w:rsidR="00931B5B" w:rsidRPr="00EC2C88" w:rsidRDefault="00931B5B" w:rsidP="00931B5B">
      <w:pPr>
        <w:spacing w:after="101" w:line="276" w:lineRule="auto"/>
        <w:ind w:right="-1"/>
        <w:jc w:val="both"/>
        <w:rPr>
          <w:rFonts w:eastAsia="Times New Roman" w:cs="Arial"/>
          <w:lang w:val="es-ES" w:eastAsia="es-ES"/>
        </w:rPr>
      </w:pPr>
      <w:r w:rsidRPr="00EC2C88">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2754DB0D" w14:textId="77777777" w:rsidR="00931B5B" w:rsidRPr="00EC2C88" w:rsidRDefault="00931B5B" w:rsidP="00931B5B">
      <w:pPr>
        <w:spacing w:line="276" w:lineRule="auto"/>
        <w:ind w:right="-1"/>
        <w:jc w:val="both"/>
      </w:pPr>
      <w:r w:rsidRPr="00EC2C88">
        <w:t xml:space="preserve">Con base en dicho manual en este ejercicio se han realizado las </w:t>
      </w:r>
      <w:r w:rsidRPr="00EC2C88">
        <w:rPr>
          <w:rFonts w:eastAsia="Times New Roman" w:cs="Arial"/>
          <w:lang w:val="es-ES" w:eastAsia="es-ES"/>
        </w:rPr>
        <w:t>adecuaciones</w:t>
      </w:r>
      <w:r w:rsidRPr="00EC2C88">
        <w:t xml:space="preserve"> de presentación necesarias para estas notas. Así mismo </w:t>
      </w:r>
      <w:r w:rsidRPr="00EC2C88">
        <w:rPr>
          <w:rFonts w:cs="Arial"/>
          <w:lang w:eastAsia="es-MX"/>
        </w:rPr>
        <w:t>la información se elaboró conforme a las normas, criterios y principios técnicos y las disposiciones legales aplicables, obedeciendo a las mejores prácticas contables,</w:t>
      </w:r>
      <w:r w:rsidRPr="00EC2C88">
        <w:t xml:space="preserve"> se incluye lo correspondiente a las normas y lineamientos </w:t>
      </w:r>
      <w:r w:rsidRPr="00EC2C88">
        <w:rPr>
          <w:rFonts w:cs="Arial"/>
          <w:lang w:eastAsia="es-MX"/>
        </w:rPr>
        <w:t xml:space="preserve">emitidos por </w:t>
      </w:r>
      <w:r w:rsidRPr="00EC2C88">
        <w:t>el Consejo Nacional de Armonización Contable (CONAC)</w:t>
      </w:r>
      <w:r w:rsidRPr="00EC2C88">
        <w:rPr>
          <w:rFonts w:cs="Arial"/>
          <w:lang w:eastAsia="es-MX"/>
        </w:rPr>
        <w:t>;</w:t>
      </w:r>
      <w:r w:rsidRPr="00EC2C88">
        <w:t xml:space="preserve"> publicados el 13 de octubre de 2014, en el periódico oficial del Gobierno del Estado de México, denominado “Gaceta del Gobierno”.</w:t>
      </w:r>
    </w:p>
    <w:p w14:paraId="7D644CA6" w14:textId="77777777" w:rsidR="00931B5B" w:rsidRPr="00EC2C88" w:rsidRDefault="00931B5B" w:rsidP="00931B5B">
      <w:pPr>
        <w:autoSpaceDE w:val="0"/>
        <w:autoSpaceDN w:val="0"/>
        <w:adjustRightInd w:val="0"/>
        <w:spacing w:line="276" w:lineRule="auto"/>
        <w:ind w:right="-1"/>
        <w:jc w:val="both"/>
      </w:pPr>
      <w:r w:rsidRPr="00EC2C88">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0BDD6EB9" w14:textId="77777777" w:rsidR="00931B5B" w:rsidRPr="00EC2C88" w:rsidRDefault="00931B5B" w:rsidP="00931B5B">
      <w:pPr>
        <w:autoSpaceDE w:val="0"/>
        <w:autoSpaceDN w:val="0"/>
        <w:adjustRightInd w:val="0"/>
        <w:spacing w:line="276" w:lineRule="auto"/>
        <w:ind w:right="-1"/>
        <w:jc w:val="both"/>
        <w:rPr>
          <w:b/>
          <w:bCs/>
        </w:rPr>
      </w:pPr>
      <w:r w:rsidRPr="00EC2C88">
        <w:t>El 26 de octubre de 2018, el Consejo Nacional de Armonización Contable con fundamento en los artículos 6, 7, 9 y 14 de la Ley General de Contabilidad Gubernamental, aprobó los siguientes: “</w:t>
      </w:r>
      <w:r w:rsidRPr="00EC2C88">
        <w:rPr>
          <w:b/>
          <w:bCs/>
        </w:rPr>
        <w:t xml:space="preserve">Acuerdo por el que se reforman y adicionan las Normas y Metodología para la Determinación de los Momentos Contables de los Ingresos”, </w:t>
      </w:r>
      <w:r w:rsidRPr="00EC2C88">
        <w:rPr>
          <w:bCs/>
        </w:rPr>
        <w:t>así como</w:t>
      </w:r>
      <w:r w:rsidRPr="00EC2C88">
        <w:rPr>
          <w:b/>
          <w:bCs/>
        </w:rPr>
        <w:t xml:space="preserve">; el Acuerdo por el que se reforma y adiciona el Manual de Contabilidad Gubernamental. </w:t>
      </w:r>
      <w:r w:rsidRPr="00EC2C88">
        <w:rPr>
          <w:b/>
          <w:bCs/>
          <w:i/>
        </w:rPr>
        <w:t>“</w:t>
      </w:r>
      <w:r w:rsidRPr="00EC2C88">
        <w:rPr>
          <w:i/>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48ED70C5" w14:textId="77777777" w:rsidR="00931B5B" w:rsidRPr="00EC2C88" w:rsidRDefault="00931B5B" w:rsidP="00931B5B">
      <w:pPr>
        <w:autoSpaceDE w:val="0"/>
        <w:autoSpaceDN w:val="0"/>
        <w:adjustRightInd w:val="0"/>
        <w:spacing w:line="276" w:lineRule="auto"/>
        <w:ind w:right="-1"/>
        <w:jc w:val="both"/>
        <w:rPr>
          <w:i/>
        </w:rPr>
      </w:pPr>
      <w:r w:rsidRPr="00EC2C88">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C2C88">
        <w:rPr>
          <w:rFonts w:eastAsia="Times New Roman" w:cs="Times New Roman"/>
          <w:b/>
          <w:lang w:eastAsia="es-MX"/>
        </w:rPr>
        <w:t>Políticas de Contabilidad Significativas”.</w:t>
      </w:r>
      <w:r w:rsidRPr="00EC2C88">
        <w:rPr>
          <w:rFonts w:cs="Arial"/>
        </w:rPr>
        <w:t xml:space="preserve"> </w:t>
      </w:r>
      <w:r w:rsidRPr="00EC2C88">
        <w:rPr>
          <w:i/>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580C0CEF" w14:textId="77777777" w:rsidR="00931B5B" w:rsidRPr="00EC2C88" w:rsidRDefault="00931B5B" w:rsidP="00931B5B">
      <w:pPr>
        <w:autoSpaceDE w:val="0"/>
        <w:autoSpaceDN w:val="0"/>
        <w:adjustRightInd w:val="0"/>
        <w:spacing w:after="240" w:line="276" w:lineRule="auto"/>
        <w:ind w:right="-1"/>
        <w:contextualSpacing/>
        <w:jc w:val="both"/>
        <w:rPr>
          <w:i/>
        </w:rPr>
      </w:pPr>
      <w:r w:rsidRPr="00EC2C88">
        <w:rPr>
          <w:rFonts w:cs="Arial"/>
          <w:b/>
          <w:bCs/>
        </w:rPr>
        <w:t xml:space="preserve">“Acuerdo por el que se reforma y adiciona el Formato de Conciliación entre los Ingresos Presupuestarios y Contables, así como entre los Egresos Presupuestarios y los Gastos Contables”. </w:t>
      </w:r>
      <w:r w:rsidRPr="00EC2C88">
        <w:rPr>
          <w:i/>
        </w:rPr>
        <w:t xml:space="preserve">“Se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w:t>
      </w:r>
      <w:proofErr w:type="gramStart"/>
      <w:r w:rsidRPr="00EC2C88">
        <w:rPr>
          <w:i/>
        </w:rPr>
        <w:t>Total</w:t>
      </w:r>
      <w:proofErr w:type="gramEnd"/>
      <w:r w:rsidRPr="00EC2C88">
        <w:rPr>
          <w:i/>
        </w:rPr>
        <w:t xml:space="preserve">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6158FEB8" w14:textId="77777777" w:rsidR="00931B5B" w:rsidRPr="00EC2C88" w:rsidRDefault="00931B5B" w:rsidP="00931B5B">
      <w:pPr>
        <w:autoSpaceDE w:val="0"/>
        <w:autoSpaceDN w:val="0"/>
        <w:adjustRightInd w:val="0"/>
        <w:spacing w:after="240" w:line="276" w:lineRule="auto"/>
        <w:ind w:right="-1"/>
        <w:contextualSpacing/>
        <w:jc w:val="both"/>
        <w:rPr>
          <w:i/>
        </w:rPr>
      </w:pPr>
    </w:p>
    <w:p w14:paraId="2E30C724" w14:textId="77777777" w:rsidR="00931B5B" w:rsidRPr="00EC2C88" w:rsidRDefault="00931B5B" w:rsidP="00931B5B">
      <w:pPr>
        <w:spacing w:line="259" w:lineRule="auto"/>
        <w:rPr>
          <w:i/>
        </w:rPr>
      </w:pPr>
      <w:r w:rsidRPr="00EC2C88">
        <w:rPr>
          <w:rFonts w:cs="Arial"/>
          <w:b/>
          <w:bCs/>
        </w:rPr>
        <w:t>“Acuerdo por el que se reforma el Clasificador por Rubros de Ingresos”. “</w:t>
      </w:r>
      <w:r w:rsidRPr="00EC2C88">
        <w:rPr>
          <w:i/>
        </w:rPr>
        <w:t>Se reforman el párrafo sexto de antecedentes y el párrafo catorce del punto A. ASPECTOS GENERALES”.</w:t>
      </w:r>
    </w:p>
    <w:p w14:paraId="205471F1" w14:textId="77777777" w:rsidR="00931B5B" w:rsidRPr="00EC2C88" w:rsidRDefault="00931B5B" w:rsidP="00931B5B">
      <w:pPr>
        <w:spacing w:after="0" w:line="276" w:lineRule="auto"/>
        <w:ind w:right="-1"/>
        <w:jc w:val="both"/>
        <w:rPr>
          <w:rFonts w:cs="Arial"/>
        </w:rPr>
      </w:pPr>
      <w:r w:rsidRPr="00EC2C88">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62A3F76D" w14:textId="77777777" w:rsidR="00931B5B" w:rsidRPr="00EC2C88" w:rsidRDefault="00931B5B" w:rsidP="00931B5B">
      <w:pPr>
        <w:spacing w:after="0" w:line="276" w:lineRule="auto"/>
        <w:ind w:right="-1"/>
        <w:jc w:val="both"/>
        <w:rPr>
          <w:rFonts w:cs="Arial"/>
        </w:rPr>
      </w:pPr>
    </w:p>
    <w:p w14:paraId="4757F860" w14:textId="77777777" w:rsidR="00931B5B" w:rsidRPr="00EC2C88" w:rsidRDefault="00931B5B" w:rsidP="00931B5B">
      <w:pPr>
        <w:spacing w:line="259" w:lineRule="auto"/>
        <w:rPr>
          <w:rFonts w:cs="Arial"/>
        </w:rPr>
      </w:pPr>
      <w:r w:rsidRPr="00EC2C88">
        <w:rPr>
          <w:rFonts w:cs="Arial"/>
        </w:rPr>
        <w:br w:type="page"/>
      </w:r>
    </w:p>
    <w:p w14:paraId="14E0444F" w14:textId="77777777" w:rsidR="00931B5B" w:rsidRPr="00EC2C88" w:rsidRDefault="00931B5B" w:rsidP="00931B5B">
      <w:pPr>
        <w:spacing w:after="0" w:line="276" w:lineRule="auto"/>
        <w:ind w:right="-1"/>
        <w:jc w:val="both"/>
        <w:rPr>
          <w:rFonts w:cs="Arial"/>
        </w:rPr>
      </w:pPr>
    </w:p>
    <w:p w14:paraId="7AA93E79" w14:textId="77777777" w:rsidR="00931B5B" w:rsidRPr="00EC2C88" w:rsidRDefault="00931B5B" w:rsidP="00931B5B">
      <w:pPr>
        <w:numPr>
          <w:ilvl w:val="0"/>
          <w:numId w:val="2"/>
        </w:numPr>
        <w:spacing w:after="0" w:line="276" w:lineRule="auto"/>
        <w:ind w:left="851" w:right="-1"/>
        <w:contextualSpacing/>
        <w:jc w:val="both"/>
        <w:rPr>
          <w:rFonts w:eastAsia="Times New Roman" w:cs="Times New Roman"/>
          <w:lang w:eastAsia="es-MX"/>
        </w:rPr>
      </w:pPr>
      <w:r w:rsidRPr="00EC2C88">
        <w:rPr>
          <w:rFonts w:eastAsia="Times New Roman" w:cs="Times New Roman"/>
          <w:b/>
          <w:lang w:eastAsia="es-MX"/>
        </w:rPr>
        <w:t>Políticas de Contabilidad Significativas</w:t>
      </w:r>
    </w:p>
    <w:p w14:paraId="49CE9580" w14:textId="77777777" w:rsidR="00931B5B" w:rsidRPr="00EC2C88" w:rsidRDefault="00931B5B" w:rsidP="00931B5B">
      <w:pPr>
        <w:autoSpaceDE w:val="0"/>
        <w:autoSpaceDN w:val="0"/>
        <w:adjustRightInd w:val="0"/>
        <w:spacing w:after="240" w:line="276" w:lineRule="auto"/>
        <w:ind w:left="284" w:right="-1"/>
        <w:contextualSpacing/>
        <w:jc w:val="both"/>
        <w:rPr>
          <w:rFonts w:eastAsia="Times New Roman" w:cs="Times New Roman"/>
          <w:lang w:eastAsia="es-MX"/>
        </w:rPr>
      </w:pPr>
    </w:p>
    <w:p w14:paraId="154A3EEC" w14:textId="77777777" w:rsidR="00931B5B" w:rsidRPr="00EC2C88" w:rsidRDefault="00931B5B" w:rsidP="00931B5B">
      <w:pPr>
        <w:numPr>
          <w:ilvl w:val="0"/>
          <w:numId w:val="4"/>
        </w:numPr>
        <w:spacing w:before="240" w:line="276" w:lineRule="auto"/>
        <w:jc w:val="both"/>
        <w:rPr>
          <w:rFonts w:cs="Arial"/>
        </w:rPr>
      </w:pPr>
      <w:r w:rsidRPr="00EC2C88">
        <w:rPr>
          <w:rFonts w:cs="Arial"/>
        </w:rPr>
        <w:t>Los Estados Financieros se preparan tomando como base los Postulados Básicos de Contabilidad Gubernamental.</w:t>
      </w:r>
    </w:p>
    <w:p w14:paraId="5C5C9B08" w14:textId="77777777" w:rsidR="00931B5B" w:rsidRPr="00EC2C88" w:rsidRDefault="00931B5B" w:rsidP="00931B5B">
      <w:pPr>
        <w:numPr>
          <w:ilvl w:val="0"/>
          <w:numId w:val="4"/>
        </w:numPr>
        <w:ind w:right="-1"/>
        <w:jc w:val="both"/>
        <w:rPr>
          <w:rFonts w:cs="Arial"/>
        </w:rPr>
      </w:pPr>
      <w:r w:rsidRPr="00EC2C88">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67B45DB1" w14:textId="77777777" w:rsidR="00931B5B" w:rsidRPr="00EC2C88" w:rsidRDefault="00931B5B" w:rsidP="00931B5B">
      <w:pPr>
        <w:numPr>
          <w:ilvl w:val="0"/>
          <w:numId w:val="4"/>
        </w:numPr>
        <w:spacing w:line="276" w:lineRule="auto"/>
        <w:ind w:right="-1"/>
        <w:jc w:val="both"/>
        <w:rPr>
          <w:rFonts w:cs="Arial"/>
        </w:rPr>
      </w:pPr>
      <w:r w:rsidRPr="00EC2C88">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0D7B3CB3" w14:textId="77777777" w:rsidR="00931B5B" w:rsidRPr="00EC2C88" w:rsidRDefault="00931B5B" w:rsidP="00931B5B">
      <w:pPr>
        <w:numPr>
          <w:ilvl w:val="0"/>
          <w:numId w:val="4"/>
        </w:numPr>
        <w:spacing w:line="276" w:lineRule="auto"/>
        <w:ind w:right="-1"/>
        <w:jc w:val="both"/>
        <w:rPr>
          <w:rFonts w:cs="Arial"/>
        </w:rPr>
      </w:pPr>
      <w:r w:rsidRPr="00EC2C88">
        <w:rPr>
          <w:rFonts w:cs="Arial"/>
        </w:rPr>
        <w:t>La información de obra pública se clasifica en Obras en Proceso y Gasto Ejercido; y Obras Concluidas y su Costo. Así como la información de la nómina: Plantilla de personal.</w:t>
      </w:r>
    </w:p>
    <w:p w14:paraId="4BD459FF" w14:textId="77777777" w:rsidR="00931B5B" w:rsidRPr="00EC2C88" w:rsidRDefault="00931B5B" w:rsidP="00931B5B">
      <w:pPr>
        <w:numPr>
          <w:ilvl w:val="0"/>
          <w:numId w:val="4"/>
        </w:numPr>
        <w:spacing w:line="276" w:lineRule="auto"/>
        <w:ind w:right="-1"/>
        <w:jc w:val="both"/>
        <w:rPr>
          <w:rFonts w:cs="Arial"/>
        </w:rPr>
      </w:pPr>
      <w:r w:rsidRPr="00EC2C88">
        <w:rPr>
          <w:rFonts w:cs="Arial"/>
        </w:rPr>
        <w:t>Respecto a la clasificación del pasivo, se considerará a corto plazo el que vence dentro del ejercicio fiscal correspondiente y, a largo plazo el que venza en ejercicios fiscales posteriores al que corresponda la información.</w:t>
      </w:r>
    </w:p>
    <w:p w14:paraId="2C8D639B" w14:textId="77777777" w:rsidR="00931B5B" w:rsidRPr="00EC2C88" w:rsidRDefault="00931B5B" w:rsidP="00931B5B">
      <w:pPr>
        <w:numPr>
          <w:ilvl w:val="0"/>
          <w:numId w:val="4"/>
        </w:numPr>
        <w:spacing w:line="276" w:lineRule="auto"/>
        <w:ind w:right="-1"/>
        <w:jc w:val="both"/>
        <w:rPr>
          <w:rFonts w:cs="Arial"/>
        </w:rPr>
      </w:pPr>
      <w:r w:rsidRPr="00EC2C88">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4732EE3A" w14:textId="77777777" w:rsidR="00931B5B" w:rsidRPr="00EC2C88" w:rsidRDefault="00931B5B" w:rsidP="00931B5B">
      <w:pPr>
        <w:numPr>
          <w:ilvl w:val="0"/>
          <w:numId w:val="4"/>
        </w:numPr>
        <w:spacing w:line="276" w:lineRule="auto"/>
        <w:ind w:right="-1"/>
        <w:jc w:val="both"/>
        <w:rPr>
          <w:rFonts w:cs="Arial"/>
        </w:rPr>
      </w:pPr>
      <w:r w:rsidRPr="00EC2C88">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07E9F466" w14:textId="77777777" w:rsidR="00931B5B" w:rsidRPr="00EC2C88" w:rsidRDefault="00931B5B" w:rsidP="00931B5B">
      <w:pPr>
        <w:numPr>
          <w:ilvl w:val="0"/>
          <w:numId w:val="4"/>
        </w:numPr>
        <w:spacing w:line="276" w:lineRule="auto"/>
        <w:ind w:right="-1"/>
        <w:jc w:val="both"/>
        <w:rPr>
          <w:rFonts w:cs="Arial"/>
        </w:rPr>
      </w:pPr>
      <w:r w:rsidRPr="00EC2C88">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3551B1EA" w14:textId="77777777" w:rsidR="00931B5B" w:rsidRPr="00EC2C88" w:rsidRDefault="00931B5B" w:rsidP="00931B5B">
      <w:pPr>
        <w:numPr>
          <w:ilvl w:val="0"/>
          <w:numId w:val="4"/>
        </w:numPr>
        <w:spacing w:line="276" w:lineRule="auto"/>
        <w:ind w:right="-1"/>
        <w:jc w:val="both"/>
        <w:rPr>
          <w:rFonts w:cs="Arial"/>
        </w:rPr>
      </w:pPr>
      <w:r w:rsidRPr="00EC2C88">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1A233514" w14:textId="52E86E64" w:rsidR="00931B5B" w:rsidRPr="00EC2C88" w:rsidRDefault="00931B5B" w:rsidP="00931B5B">
      <w:pPr>
        <w:numPr>
          <w:ilvl w:val="0"/>
          <w:numId w:val="4"/>
        </w:numPr>
        <w:spacing w:line="259" w:lineRule="auto"/>
        <w:ind w:right="-1"/>
        <w:jc w:val="both"/>
        <w:rPr>
          <w:rFonts w:cs="Arial"/>
        </w:rPr>
      </w:pPr>
      <w:r w:rsidRPr="00EC2C88">
        <w:rPr>
          <w:rFonts w:cs="Arial"/>
        </w:rPr>
        <w:t xml:space="preserve">Las existencias del almacén se valúan a costo promedio y se afectará tanto el resultado del ejercicio como el presupuesto de egresos en el momento en que el gasto se considere devengado, en términos de lo dispuesto por el </w:t>
      </w:r>
      <w:r w:rsidR="00737469" w:rsidRPr="00AA355F">
        <w:rPr>
          <w:rFonts w:cs="Arial"/>
        </w:rPr>
        <w:t xml:space="preserve">Postulado </w:t>
      </w:r>
      <w:r w:rsidR="00737469">
        <w:rPr>
          <w:rFonts w:cs="Arial"/>
        </w:rPr>
        <w:t>Básico de Contabilidad Gubernamental</w:t>
      </w:r>
      <w:r w:rsidR="00737469" w:rsidRPr="00AA355F">
        <w:rPr>
          <w:rFonts w:cs="Arial"/>
        </w:rPr>
        <w:t xml:space="preserve">, </w:t>
      </w:r>
      <w:r w:rsidRPr="00EC2C88">
        <w:rPr>
          <w:rFonts w:cs="Arial"/>
        </w:rPr>
        <w:t>por otro lado, las existencias se controlarán en cuentas de orden.</w:t>
      </w:r>
    </w:p>
    <w:p w14:paraId="53B7F64A" w14:textId="77777777" w:rsidR="00931B5B" w:rsidRPr="00EC2C88" w:rsidRDefault="00931B5B" w:rsidP="00931B5B">
      <w:pPr>
        <w:numPr>
          <w:ilvl w:val="0"/>
          <w:numId w:val="2"/>
        </w:numPr>
        <w:spacing w:after="0" w:line="276" w:lineRule="auto"/>
        <w:ind w:left="851" w:right="-1"/>
        <w:contextualSpacing/>
        <w:jc w:val="both"/>
        <w:rPr>
          <w:b/>
        </w:rPr>
      </w:pPr>
      <w:r w:rsidRPr="00EC2C88">
        <w:rPr>
          <w:b/>
        </w:rPr>
        <w:t>Posición en Moneda Extranjera y Protección por Riesgo Cambiario</w:t>
      </w:r>
    </w:p>
    <w:p w14:paraId="53704D4C" w14:textId="77777777" w:rsidR="00931B5B" w:rsidRPr="00EC2C88" w:rsidRDefault="00931B5B" w:rsidP="00931B5B">
      <w:pPr>
        <w:spacing w:after="101" w:line="276" w:lineRule="auto"/>
        <w:ind w:right="-1"/>
        <w:jc w:val="both"/>
        <w:rPr>
          <w:rFonts w:eastAsia="Times New Roman" w:cs="Arial"/>
          <w:lang w:val="es-ES" w:eastAsia="es-ES"/>
        </w:rPr>
      </w:pPr>
      <w:r w:rsidRPr="00EC2C88">
        <w:rPr>
          <w:rFonts w:eastAsia="Times New Roman" w:cs="Arial"/>
          <w:lang w:val="es-ES" w:eastAsia="es-ES"/>
        </w:rPr>
        <w:t>Los estados financieros antes mencionados se presentan en moneda de informe peso mexicano, que es igual a la moneda de registro y a su moneda funcional, por lo tanto, este punto no es aplicable para la entidad.</w:t>
      </w:r>
    </w:p>
    <w:p w14:paraId="16524357" w14:textId="77777777" w:rsidR="00931B5B" w:rsidRPr="00EC2C88" w:rsidRDefault="00931B5B" w:rsidP="00931B5B">
      <w:pPr>
        <w:spacing w:after="101" w:line="276" w:lineRule="auto"/>
        <w:ind w:right="-1"/>
        <w:jc w:val="both"/>
        <w:rPr>
          <w:rFonts w:eastAsia="Times New Roman" w:cs="Arial"/>
          <w:lang w:val="es-ES" w:eastAsia="es-ES"/>
        </w:rPr>
      </w:pPr>
    </w:p>
    <w:p w14:paraId="6CEE1534" w14:textId="77777777" w:rsidR="00931B5B" w:rsidRPr="005E07EB" w:rsidRDefault="00931B5B" w:rsidP="00931B5B">
      <w:pPr>
        <w:numPr>
          <w:ilvl w:val="0"/>
          <w:numId w:val="2"/>
        </w:numPr>
        <w:spacing w:after="0" w:line="276" w:lineRule="auto"/>
        <w:ind w:left="851" w:right="-1"/>
        <w:contextualSpacing/>
        <w:jc w:val="both"/>
        <w:rPr>
          <w:b/>
        </w:rPr>
      </w:pPr>
      <w:r w:rsidRPr="005E07EB">
        <w:rPr>
          <w:b/>
        </w:rPr>
        <w:t>Reporte Analítico del Activo</w:t>
      </w:r>
    </w:p>
    <w:p w14:paraId="04B0595D" w14:textId="77777777" w:rsidR="00931B5B" w:rsidRPr="005E07EB" w:rsidRDefault="00931B5B" w:rsidP="00931B5B">
      <w:pPr>
        <w:spacing w:after="0" w:line="276" w:lineRule="auto"/>
        <w:ind w:right="-1"/>
        <w:contextualSpacing/>
        <w:jc w:val="both"/>
        <w:rPr>
          <w:b/>
        </w:rPr>
      </w:pPr>
    </w:p>
    <w:p w14:paraId="7C6106CB" w14:textId="77777777" w:rsidR="00931B5B" w:rsidRDefault="00931B5B" w:rsidP="00931B5B">
      <w:pPr>
        <w:spacing w:after="0" w:line="240" w:lineRule="exact"/>
        <w:jc w:val="both"/>
        <w:rPr>
          <w:rFonts w:eastAsia="Times New Roman" w:cs="Arial"/>
          <w:lang w:eastAsia="es-ES"/>
        </w:rPr>
      </w:pPr>
      <w:r w:rsidRPr="005E07EB">
        <w:rPr>
          <w:rFonts w:eastAsia="Times New Roman" w:cs="Arial"/>
          <w:noProof/>
          <w:lang w:eastAsia="es-MX"/>
        </w:rPr>
        <mc:AlternateContent>
          <mc:Choice Requires="wpg">
            <w:drawing>
              <wp:anchor distT="0" distB="0" distL="114300" distR="114300" simplePos="0" relativeHeight="251659264" behindDoc="0" locked="0" layoutInCell="1" allowOverlap="1" wp14:anchorId="63B50067" wp14:editId="31DD588B">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6AA05C0"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">
                <v:rect id="Rectángulo 25" o:spid="_x0000_s1027" style="position:absolute;width:64674;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Rectangle 439" o:spid="_x0000_s1028" style="position:absolute;left:62445;top:464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" fillcolor="#d4d4d4" stroked="f"/>
                <v:line id="Line 440" o:spid="_x0000_s1029" style="position:absolute;visibility:visible;mso-wrap-style:square" from="62445,6153" to="6245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" strokecolor="#d4d4d4" strokeweight="0"/>
                <v:rect id="Rectangle 441" o:spid="_x0000_s1030" style="position:absolute;left:62445;top:615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" fillcolor="#d4d4d4" stroked="f"/>
                <v:line id="Line 442" o:spid="_x0000_s1031" style="position:absolute;visibility:visible;mso-wrap-style:square" from="62445,7721" to="62452,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" strokecolor="#d4d4d4" strokeweight="0"/>
                <v:rect id="Rectangle 443" o:spid="_x0000_s1032" style="position:absolute;left:62445;top:7721;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J5vwAAANsAAAAPAAAAZHJzL2Rvd25yZXYueG1sRE/NisIw&#10;EL4v+A5hBC+Lpi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AahMJ5vwAAANsAAAAPAAAAAAAA&#10;AAAAAAAAAAcCAABkcnMvZG93bnJldi54bWxQSwUGAAAAAAMAAwC3AAAA8wIAAAAA&#10;" fillcolor="#d4d4d4" stroked="f"/>
                <v:line id="Line 444" o:spid="_x0000_s1033" style="position:absolute;visibility:visible;mso-wrap-style:square" from="62445,8966" to="62452,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16xgAAANsAAAAPAAAAZHJzL2Rvd25yZXYueG1sRI/dagIx&#10;FITvC75DOEJvima3BS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4bHdesYAAADbAAAA&#10;DwAAAAAAAAAAAAAAAAAHAgAAZHJzL2Rvd25yZXYueG1sUEsFBgAAAAADAAMAtwAAAPoCAAAAAA==&#10;" strokecolor="#d4d4d4" strokeweight="0"/>
                <v:rect id="Rectangle 445" o:spid="_x0000_s1034" style="position:absolute;left:62445;top:896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VwgAAANsAAAAPAAAAZHJzL2Rvd25yZXYueG1sRI/RagIx&#10;FETfBf8hXKEvotlaFF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CFGvmVwgAAANsAAAAPAAAA&#10;AAAAAAAAAAAAAAcCAABkcnMvZG93bnJldi54bWxQSwUGAAAAAAMAAwC3AAAA9gIAAAAA&#10;" fillcolor="#d4d4d4" stroked="f"/>
                <v:line id="Line 446" o:spid="_x0000_s1035" style="position:absolute;visibility:visible;mso-wrap-style:square" from="62445,10083" to="6245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gAAANsAAAAPAAAAZHJzL2Rvd25yZXYueG1sRI9BawIx&#10;FITvgv8hPKEXqVkV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fi/mlsYAAADbAAAA&#10;DwAAAAAAAAAAAAAAAAAHAgAAZHJzL2Rvd25yZXYueG1sUEsFBgAAAAADAAMAtwAAAPoCAAAAAA==&#10;" strokecolor="#d4d4d4" strokeweight="0"/>
                <v:rect id="Rectangle 447" o:spid="_x0000_s1036" style="position:absolute;left:62445;top:1008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" fillcolor="#d4d4d4" stroked="f"/>
                <v:line id="Line 448" o:spid="_x0000_s1037" style="position:absolute;visibility:visible;mso-wrap-style:square" from="62445,11195" to="6245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t5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J6K23nHAAAA2wAA&#10;AA8AAAAAAAAAAAAAAAAABwIAAGRycy9kb3ducmV2LnhtbFBLBQYAAAAAAwADALcAAAD7AgAAAAA=&#10;" strokecolor="#d4d4d4" strokeweight="0"/>
                <v:rect id="Rectangle 449" o:spid="_x0000_s1038" style="position:absolute;left:62445;top:11195;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WwwAAANsAAAAPAAAAZHJzL2Rvd25yZXYueG1sRI9Ra8Iw&#10;FIXfBf9DuMJeZKZuWL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iH/lsMAAADbAAAADwAA&#10;AAAAAAAAAAAAAAAHAgAAZHJzL2Rvd25yZXYueG1sUEsFBgAAAAADAAMAtwAAAPcCAAAAAA==&#10;" fillcolor="#d4d4d4" stroked="f"/>
                <v:line id="Line 450" o:spid="_x0000_s1039" style="position:absolute;visibility:visible;mso-wrap-style:square" from="62445,12306" to="62452,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F8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B/H0XzHAAAA2wAA&#10;AA8AAAAAAAAAAAAAAAAABwIAAGRycy9kb3ducmV2LnhtbFBLBQYAAAAAAwADALcAAAD7AgAAAAA=&#10;" strokecolor="#d4d4d4" strokeweight="0"/>
                <v:rect id="Rectangle 451" o:spid="_x0000_s1040" style="position:absolute;left:62445;top:1230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EvwAAANsAAAAPAAAAZHJzL2Rvd25yZXYueG1sRE/NisIw&#10;EL4v+A5hBC+Lpo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BCgrEEvwAAANsAAAAPAAAAAAAA&#10;AAAAAAAAAAcCAABkcnMvZG93bnJldi54bWxQSwUGAAAAAAMAAwC3AAAA8wIAAAAA&#10;" fillcolor="#d4d4d4" stroked="f"/>
                <v:line id="Line 452" o:spid="_x0000_s1041" style="position:absolute;visibility:visible;mso-wrap-style:square" from="62445,13423" to="624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4HxgAAANsAAAAPAAAAZHJzL2Rvd25yZXYueG1sRI/dagIx&#10;FITvC75DOEJvima3F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ubeuB8YAAADbAAAA&#10;DwAAAAAAAAAAAAAAAAAHAgAAZHJzL2Rvd25yZXYueG1sUEsFBgAAAAADAAMAtwAAAPoCAAAAAA==&#10;" strokecolor="#d4d4d4" strokeweight="0"/>
                <v:rect id="Rectangle 453" o:spid="_x0000_s1042" style="position:absolute;left:62445;top:1342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rowgAAANsAAAAPAAAAZHJzL2Rvd25yZXYueG1sRI/RagIx&#10;FETfBf8hXKEvotlKFV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DdHIrowgAAANsAAAAPAAAA&#10;AAAAAAAAAAAAAAcCAABkcnMvZG93bnJldi54bWxQSwUGAAAAAAMAAwC3AAAA9gIAAAAA&#10;" fillcolor="#d4d4d4" stroked="f"/>
                <v:line id="Line 454" o:spid="_x0000_s1043" style="position:absolute;visibility:visible;mso-wrap-style:square" from="62445,15125" to="62452,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Xr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YplevHAAAA2wAA&#10;AA8AAAAAAAAAAAAAAAAABwIAAGRycy9kb3ducmV2LnhtbFBLBQYAAAAAAwADALcAAAD7AgAAAAA=&#10;" strokecolor="#d4d4d4" strokeweight="0"/>
                <v:rect id="Rectangle 455" o:spid="_x0000_s1044" style="position:absolute;left:62445;top:1512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line id="Line 456" o:spid="_x0000_s1045" style="position:absolute;visibility:visible;mso-wrap-style:square" from="62445,16236" to="6245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gE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MaMqATHAAAA2wAA&#10;AA8AAAAAAAAAAAAAAAAABwIAAGRycy9kb3ducmV2LnhtbFBLBQYAAAAAAwADALcAAAD7AgAAAAA=&#10;" strokecolor="#d4d4d4" strokeweight="0"/>
                <v:rect id="Rectangle 457" o:spid="_x0000_s1046" style="position:absolute;left:62445;top:162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zrwwAAANsAAAAPAAAAZHJzL2Rvd25yZXYueG1sRI9Ra8Iw&#10;FIXfBf9DuMJeZKaOWb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oieM68MAAADbAAAADwAA&#10;AAAAAAAAAAAAAAAHAgAAZHJzL2Rvd25yZXYueG1sUEsFBgAAAAADAAMAtwAAAPcCAAAAAA==&#10;" fillcolor="#d4d4d4" stroked="f"/>
                <v:line id="Line 458" o:spid="_x0000_s1047" style="position:absolute;visibility:visible;mso-wrap-style:square" from="62445,17348" to="62452,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Po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FkSk+jHAAAA2wAA&#10;AA8AAAAAAAAAAAAAAAAABwIAAGRycy9kb3ducmV2LnhtbFBLBQYAAAAAAwADALcAAAD7AgAAAAA=&#10;" strokecolor="#d4d4d4" strokeweight="0"/>
                <v:rect id="Rectangle 459" o:spid="_x0000_s1048" style="position:absolute;left:62445;top:17348;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line id="Line 460" o:spid="_x0000_s1049" style="position:absolute;visibility:visible;mso-wrap-style:square" from="62445,18465" to="62452,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IB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EfBogHHAAAA2wAA&#10;AA8AAAAAAAAAAAAAAAAABwIAAGRycy9kb3ducmV2LnhtbFBLBQYAAAAAAwADALcAAAD7AgAAAAA=&#10;" strokecolor="#d4d4d4" strokeweight="0"/>
                <v:rect id="Rectangle 461" o:spid="_x0000_s1050" style="position:absolute;left:62445;top:1846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462" o:spid="_x0000_s1051" style="position:absolute;visibility:visible;mso-wrap-style:square" from="62445,19577" to="62452,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463" o:spid="_x0000_s1052" style="position:absolute;left:62445;top:19577;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v:line id="Line 464" o:spid="_x0000_s1053" style="position:absolute;visibility:visible;mso-wrap-style:square" from="62445,20688" to="6245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M2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KPwAzbHAAAA2wAA&#10;AA8AAAAAAAAAAAAAAAAABwIAAGRycy9kb3ducmV2LnhtbFBLBQYAAAAAAwADALcAAAD7AgAAAAA=&#10;" strokecolor="#d4d4d4" strokeweight="0"/>
                <v:rect id="Rectangle 465" o:spid="_x0000_s1054" style="position:absolute;left:62445;top:2068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line id="Line 466" o:spid="_x0000_s1055" style="position:absolute;visibility:visible;mso-wrap-style:square" from="62445,21869" to="62452,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7ZxgAAANsAAAAPAAAAZHJzL2Rvd25yZXYueG1sRI9BawIx&#10;FITvgv8hPKEXqVkFS9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1U+2cYAAADbAAAA&#10;DwAAAAAAAAAAAAAAAAAHAgAAZHJzL2Rvd25yZXYueG1sUEsFBgAAAAADAAMAtwAAAPoCAAAAAA==&#10;" strokecolor="#d4d4d4" strokeweight="0"/>
                <v:rect id="Rectangle 467" o:spid="_x0000_s1056" style="position:absolute;left:62445;top:21869;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group>
            </w:pict>
          </mc:Fallback>
        </mc:AlternateContent>
      </w:r>
      <w:r w:rsidRPr="005E07EB">
        <w:rPr>
          <w:rFonts w:eastAsia="Times New Roman" w:cs="Arial"/>
          <w:lang w:eastAsia="es-ES"/>
        </w:rPr>
        <w:t>En el “</w:t>
      </w:r>
      <w:r w:rsidRPr="005E07EB">
        <w:rPr>
          <w:rFonts w:eastAsia="Times New Roman" w:cs="Arial"/>
          <w:b/>
          <w:lang w:eastAsia="es-ES"/>
        </w:rPr>
        <w:t xml:space="preserve">Estado Analítico del Activo”, </w:t>
      </w:r>
      <w:r w:rsidRPr="005E07EB">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5E07EB">
        <w:rPr>
          <w:rFonts w:eastAsia="Times New Roman" w:cs="Arial"/>
          <w:b/>
          <w:lang w:eastAsia="es-ES"/>
        </w:rPr>
        <w:t xml:space="preserve"> bienes muebles e inmuebles, </w:t>
      </w:r>
      <w:r w:rsidRPr="005E07EB">
        <w:rPr>
          <w:rFonts w:eastAsia="Times New Roman" w:cs="Arial"/>
          <w:lang w:eastAsia="es-ES"/>
        </w:rPr>
        <w:t>como</w:t>
      </w:r>
      <w:r w:rsidRPr="005E07EB">
        <w:rPr>
          <w:rFonts w:eastAsia="Times New Roman" w:cs="Arial"/>
          <w:b/>
          <w:lang w:eastAsia="es-ES"/>
        </w:rPr>
        <w:t xml:space="preserve"> </w:t>
      </w:r>
      <w:r w:rsidRPr="005E07EB">
        <w:rPr>
          <w:rFonts w:eastAsia="Times New Roman" w:cs="Arial"/>
          <w:lang w:eastAsia="es-ES"/>
        </w:rPr>
        <w:t>se detallan a continuación:</w:t>
      </w:r>
    </w:p>
    <w:p w14:paraId="2F9A2F45" w14:textId="77777777" w:rsidR="00931B5B" w:rsidRPr="005E07EB" w:rsidRDefault="00931B5B" w:rsidP="00931B5B">
      <w:pPr>
        <w:spacing w:after="0" w:line="240" w:lineRule="exact"/>
        <w:jc w:val="both"/>
        <w:rPr>
          <w:rFonts w:eastAsia="Times New Roman" w:cs="Arial"/>
          <w:lang w:eastAsia="es-ES"/>
        </w:rPr>
      </w:pPr>
    </w:p>
    <w:p w14:paraId="4914343F" w14:textId="77777777" w:rsidR="00931B5B" w:rsidRPr="0064385C" w:rsidRDefault="00931B5B" w:rsidP="001E3DFE">
      <w:pPr>
        <w:spacing w:line="259" w:lineRule="auto"/>
        <w:ind w:left="708" w:hanging="708"/>
        <w:jc w:val="center"/>
        <w:rPr>
          <w:noProof/>
          <w:highlight w:val="red"/>
          <w:lang w:eastAsia="es-MX"/>
        </w:rPr>
      </w:pPr>
      <w:r w:rsidRPr="00E568FE">
        <w:rPr>
          <w:noProof/>
          <w:lang w:eastAsia="es-MX"/>
        </w:rPr>
        <w:drawing>
          <wp:inline distT="0" distB="0" distL="0" distR="0" wp14:anchorId="139AA045" wp14:editId="3D17CC29">
            <wp:extent cx="3845725" cy="1996440"/>
            <wp:effectExtent l="0" t="0" r="2540" b="3810"/>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3584" cy="2052433"/>
                    </a:xfrm>
                    <a:prstGeom prst="rect">
                      <a:avLst/>
                    </a:prstGeom>
                    <a:noFill/>
                    <a:ln>
                      <a:noFill/>
                    </a:ln>
                  </pic:spPr>
                </pic:pic>
              </a:graphicData>
            </a:graphic>
          </wp:inline>
        </w:drawing>
      </w:r>
    </w:p>
    <w:p w14:paraId="5B309357" w14:textId="77777777" w:rsidR="00931B5B" w:rsidRPr="00686A79" w:rsidRDefault="00931B5B" w:rsidP="00931B5B">
      <w:pPr>
        <w:spacing w:line="259" w:lineRule="auto"/>
        <w:jc w:val="center"/>
        <w:rPr>
          <w:rFonts w:eastAsia="Times New Roman" w:cs="Arial"/>
          <w:b/>
          <w:lang w:eastAsia="es-ES"/>
        </w:rPr>
      </w:pPr>
      <w:r w:rsidRPr="00686A79">
        <w:rPr>
          <w:rFonts w:eastAsia="Times New Roman" w:cs="Arial"/>
          <w:b/>
          <w:lang w:eastAsia="es-ES"/>
        </w:rPr>
        <w:t xml:space="preserve">Depreciación. - </w:t>
      </w:r>
      <w:r w:rsidRPr="00686A79">
        <w:rPr>
          <w:rFonts w:eastAsia="Times New Roman" w:cs="Arial"/>
          <w:lang w:eastAsia="es-ES"/>
        </w:rPr>
        <w:t>Se calcula por el método de línea recta a partir del mes siguiente al de su adquisición, aplicando los porcentajes siguientes:</w:t>
      </w:r>
    </w:p>
    <w:tbl>
      <w:tblPr>
        <w:tblStyle w:val="Tablaconcuadrcula1111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128"/>
      </w:tblGrid>
      <w:tr w:rsidR="00931B5B" w:rsidRPr="0064385C" w14:paraId="4BCDC8D3" w14:textId="77777777" w:rsidTr="001E3DFE">
        <w:trPr>
          <w:trHeight w:val="767"/>
          <w:jc w:val="center"/>
        </w:trPr>
        <w:tc>
          <w:tcPr>
            <w:tcW w:w="3719" w:type="dxa"/>
            <w:hideMark/>
          </w:tcPr>
          <w:p w14:paraId="7191499E" w14:textId="77777777" w:rsidR="00931B5B" w:rsidRPr="00686A79" w:rsidRDefault="00931B5B" w:rsidP="006E017F">
            <w:pPr>
              <w:spacing w:line="276" w:lineRule="auto"/>
              <w:ind w:right="-1"/>
              <w:jc w:val="both"/>
              <w:rPr>
                <w:rFonts w:ascii="HelveticaNeueLT Std" w:eastAsia="Times New Roman" w:hAnsi="HelveticaNeueLT Std"/>
                <w:b/>
                <w:u w:val="single"/>
              </w:rPr>
            </w:pPr>
            <w:r w:rsidRPr="00686A79">
              <w:rPr>
                <w:rFonts w:ascii="HelveticaNeueLT Std" w:eastAsia="Times New Roman" w:hAnsi="HelveticaNeueLT Std"/>
                <w:b/>
                <w:u w:val="single"/>
              </w:rPr>
              <w:t>Concepto</w:t>
            </w:r>
          </w:p>
          <w:p w14:paraId="6DC22A82"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 xml:space="preserve">Edificios </w:t>
            </w:r>
          </w:p>
          <w:p w14:paraId="4CE59DA9"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Equipo de cómputo</w:t>
            </w:r>
            <w:r w:rsidRPr="00686A79">
              <w:rPr>
                <w:rFonts w:ascii="HelveticaNeueLT Std" w:eastAsia="Times New Roman" w:hAnsi="HelveticaNeueLT Std"/>
              </w:rPr>
              <w:tab/>
            </w:r>
          </w:p>
          <w:p w14:paraId="1FDE2D8B"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Mobiliario y equipo de oficina</w:t>
            </w:r>
          </w:p>
          <w:p w14:paraId="2985FC79"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Maquinaria</w:t>
            </w:r>
            <w:r w:rsidRPr="00686A79">
              <w:rPr>
                <w:rFonts w:ascii="HelveticaNeueLT Std" w:eastAsia="Times New Roman" w:hAnsi="HelveticaNeueLT Std"/>
              </w:rPr>
              <w:tab/>
            </w:r>
          </w:p>
          <w:p w14:paraId="143372AB"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Vehículos</w:t>
            </w:r>
          </w:p>
        </w:tc>
        <w:tc>
          <w:tcPr>
            <w:tcW w:w="2128" w:type="dxa"/>
            <w:hideMark/>
          </w:tcPr>
          <w:p w14:paraId="14C2D341"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Tasa</w:t>
            </w:r>
          </w:p>
          <w:p w14:paraId="112F22E2"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2%</w:t>
            </w:r>
          </w:p>
          <w:p w14:paraId="5859E967"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20%</w:t>
            </w:r>
          </w:p>
          <w:p w14:paraId="0C5C0231"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3%</w:t>
            </w:r>
          </w:p>
          <w:p w14:paraId="40CCC93F"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10%</w:t>
            </w:r>
          </w:p>
          <w:p w14:paraId="0B515F9D" w14:textId="77777777" w:rsidR="00931B5B" w:rsidRPr="00686A79" w:rsidRDefault="00931B5B" w:rsidP="006E017F">
            <w:pPr>
              <w:spacing w:line="276" w:lineRule="auto"/>
              <w:ind w:right="-1"/>
              <w:jc w:val="both"/>
              <w:rPr>
                <w:rFonts w:ascii="HelveticaNeueLT Std" w:eastAsia="Times New Roman" w:hAnsi="HelveticaNeueLT Std"/>
              </w:rPr>
            </w:pPr>
            <w:r w:rsidRPr="00686A79">
              <w:rPr>
                <w:rFonts w:ascii="HelveticaNeueLT Std" w:eastAsia="Times New Roman" w:hAnsi="HelveticaNeueLT Std"/>
              </w:rPr>
              <w:t>10%</w:t>
            </w:r>
          </w:p>
        </w:tc>
      </w:tr>
    </w:tbl>
    <w:p w14:paraId="309E28BC" w14:textId="77777777" w:rsidR="00931B5B" w:rsidRPr="0064385C" w:rsidRDefault="00931B5B" w:rsidP="00931B5B">
      <w:pPr>
        <w:tabs>
          <w:tab w:val="left" w:pos="1803"/>
        </w:tabs>
        <w:spacing w:after="101" w:line="276" w:lineRule="auto"/>
        <w:ind w:right="-1"/>
        <w:jc w:val="both"/>
        <w:rPr>
          <w:rFonts w:eastAsia="Times New Roman" w:cs="Arial"/>
          <w:b/>
          <w:highlight w:val="red"/>
          <w:lang w:eastAsia="es-ES"/>
        </w:rPr>
      </w:pPr>
    </w:p>
    <w:p w14:paraId="3E8D8538" w14:textId="77777777" w:rsidR="00931B5B" w:rsidRPr="00CE0F40" w:rsidRDefault="00931B5B" w:rsidP="00931B5B">
      <w:pPr>
        <w:tabs>
          <w:tab w:val="left" w:pos="1803"/>
        </w:tabs>
        <w:spacing w:after="101" w:line="276" w:lineRule="auto"/>
        <w:ind w:right="-1"/>
        <w:jc w:val="both"/>
        <w:rPr>
          <w:rFonts w:eastAsia="Times New Roman" w:cs="Arial"/>
          <w:lang w:eastAsia="es-ES"/>
        </w:rPr>
      </w:pPr>
      <w:r w:rsidRPr="00686A79">
        <w:rPr>
          <w:rFonts w:eastAsia="Times New Roman" w:cs="Arial"/>
          <w:b/>
          <w:lang w:eastAsia="es-ES"/>
        </w:rPr>
        <w:t xml:space="preserve">Depreciación, Deterioro </w:t>
      </w:r>
      <w:r w:rsidRPr="00CE0F40">
        <w:rPr>
          <w:rFonts w:eastAsia="Times New Roman" w:cs="Arial"/>
          <w:b/>
          <w:lang w:eastAsia="es-ES"/>
        </w:rPr>
        <w:t>y Amortización Acumulada de Bienes</w:t>
      </w:r>
      <w:r w:rsidRPr="00CE0F40">
        <w:rPr>
          <w:rFonts w:eastAsia="Times New Roman" w:cs="Arial"/>
          <w:lang w:eastAsia="es-ES"/>
        </w:rPr>
        <w:t xml:space="preserve">. - El saldo </w:t>
      </w:r>
      <w:proofErr w:type="gramStart"/>
      <w:r w:rsidRPr="00CE0F40">
        <w:rPr>
          <w:rFonts w:eastAsia="Times New Roman" w:cs="Arial"/>
          <w:lang w:eastAsia="es-ES"/>
        </w:rPr>
        <w:t>de  147,327,754.08</w:t>
      </w:r>
      <w:proofErr w:type="gramEnd"/>
      <w:r w:rsidRPr="00CE0F40">
        <w:rPr>
          <w:rFonts w:eastAsia="Times New Roman" w:cs="Arial"/>
          <w:lang w:eastAsia="es-ES"/>
        </w:rPr>
        <w:t xml:space="preserve"> se integra con las siguientes cuentas, dando un total neto en el rubro de activo fijo de  160,472,685.66.</w:t>
      </w:r>
    </w:p>
    <w:p w14:paraId="563C95C7" w14:textId="77777777" w:rsidR="00931B5B" w:rsidRPr="00CE0F40" w:rsidRDefault="00931B5B" w:rsidP="00931B5B">
      <w:pPr>
        <w:spacing w:after="101" w:line="276" w:lineRule="auto"/>
        <w:ind w:right="-1"/>
        <w:jc w:val="both"/>
        <w:rPr>
          <w:rFonts w:eastAsia="Times New Roman" w:cs="Arial"/>
          <w:lang w:eastAsia="es-ES"/>
        </w:rPr>
      </w:pPr>
      <w:r w:rsidRPr="00CE0F40">
        <w:rPr>
          <w:rFonts w:eastAsia="Times New Roman" w:cs="Arial"/>
          <w:b/>
          <w:lang w:eastAsia="es-ES"/>
        </w:rPr>
        <w:t>Depreciación Acumulada de Bienes Inmuebles. -</w:t>
      </w:r>
      <w:r w:rsidRPr="00CE0F40">
        <w:rPr>
          <w:rFonts w:eastAsia="Times New Roman" w:cs="Arial"/>
          <w:lang w:eastAsia="es-ES"/>
        </w:rPr>
        <w:t xml:space="preserve"> El saldo de 11,894,787.99, es el importe de la disminución a valores históricos de los bienes inmuebles del Instituto, el total neto en la cuenta de Edificios No Habitacionales es </w:t>
      </w:r>
      <w:proofErr w:type="gramStart"/>
      <w:r w:rsidRPr="00CE0F40">
        <w:rPr>
          <w:rFonts w:eastAsia="Times New Roman" w:cs="Arial"/>
          <w:lang w:eastAsia="es-ES"/>
        </w:rPr>
        <w:t>por  74,430,947.20</w:t>
      </w:r>
      <w:proofErr w:type="gramEnd"/>
      <w:r w:rsidRPr="00CE0F40">
        <w:rPr>
          <w:rFonts w:eastAsia="Times New Roman" w:cs="Arial"/>
          <w:lang w:eastAsia="es-ES"/>
        </w:rPr>
        <w:t xml:space="preserve"> Terrenos por 2,793,209.00</w:t>
      </w:r>
    </w:p>
    <w:p w14:paraId="6D4AC45D" w14:textId="77777777" w:rsidR="00931B5B" w:rsidRPr="00EC2C88" w:rsidRDefault="00931B5B" w:rsidP="00931B5B">
      <w:pPr>
        <w:spacing w:after="101" w:line="276" w:lineRule="auto"/>
        <w:ind w:right="-1"/>
        <w:jc w:val="both"/>
        <w:rPr>
          <w:rFonts w:eastAsia="Times New Roman" w:cs="Arial"/>
          <w:lang w:eastAsia="es-ES"/>
        </w:rPr>
      </w:pPr>
      <w:r w:rsidRPr="00CE0F40">
        <w:rPr>
          <w:rFonts w:eastAsia="Times New Roman" w:cs="Arial"/>
          <w:b/>
          <w:lang w:eastAsia="es-ES"/>
        </w:rPr>
        <w:t>Depreciación Acumulada de Bienes Muebles. -</w:t>
      </w:r>
      <w:r w:rsidRPr="00CE0F40">
        <w:rPr>
          <w:rFonts w:eastAsia="Times New Roman" w:cs="Arial"/>
          <w:lang w:eastAsia="es-ES"/>
        </w:rPr>
        <w:t xml:space="preserve"> El saldo </w:t>
      </w:r>
      <w:proofErr w:type="gramStart"/>
      <w:r w:rsidRPr="00CE0F40">
        <w:rPr>
          <w:rFonts w:eastAsia="Times New Roman" w:cs="Arial"/>
          <w:lang w:eastAsia="es-ES"/>
        </w:rPr>
        <w:t>de  135,432,966.10</w:t>
      </w:r>
      <w:proofErr w:type="gramEnd"/>
      <w:r w:rsidRPr="00CE0F40">
        <w:rPr>
          <w:rFonts w:eastAsia="Times New Roman" w:cs="Arial"/>
          <w:lang w:eastAsia="es-ES"/>
        </w:rPr>
        <w:t xml:space="preserve"> es el importe de la disminución a valores históricos de los bienes muebles del Instituto, dando un total neto en este rubro por  83,248,529.45.</w:t>
      </w:r>
    </w:p>
    <w:p w14:paraId="685C1227" w14:textId="77777777" w:rsidR="00931B5B" w:rsidRPr="00EC2C88" w:rsidRDefault="00931B5B" w:rsidP="00931B5B">
      <w:pPr>
        <w:spacing w:after="101" w:line="276" w:lineRule="auto"/>
        <w:ind w:right="-1"/>
        <w:jc w:val="both"/>
        <w:rPr>
          <w:rFonts w:eastAsia="Times New Roman" w:cs="Arial"/>
          <w:lang w:eastAsia="es-ES"/>
        </w:rPr>
      </w:pPr>
    </w:p>
    <w:p w14:paraId="2F315170" w14:textId="77777777" w:rsidR="00931B5B" w:rsidRPr="00EC2C88" w:rsidRDefault="00931B5B" w:rsidP="00931B5B">
      <w:pPr>
        <w:numPr>
          <w:ilvl w:val="0"/>
          <w:numId w:val="2"/>
        </w:numPr>
        <w:spacing w:after="0" w:line="276" w:lineRule="auto"/>
        <w:ind w:left="851" w:right="-1"/>
        <w:contextualSpacing/>
        <w:jc w:val="both"/>
        <w:rPr>
          <w:b/>
        </w:rPr>
      </w:pPr>
      <w:r w:rsidRPr="00EC2C88">
        <w:rPr>
          <w:b/>
        </w:rPr>
        <w:t>Fideicomisos, Mandatos y Análogos</w:t>
      </w:r>
    </w:p>
    <w:p w14:paraId="120E056A" w14:textId="77777777" w:rsidR="00931B5B" w:rsidRPr="00EC2C88" w:rsidRDefault="00931B5B" w:rsidP="00931B5B">
      <w:pPr>
        <w:spacing w:after="0" w:line="276" w:lineRule="auto"/>
        <w:ind w:left="851" w:right="-1"/>
        <w:contextualSpacing/>
        <w:jc w:val="both"/>
        <w:rPr>
          <w:b/>
        </w:rPr>
      </w:pPr>
    </w:p>
    <w:p w14:paraId="3EF2712D" w14:textId="77777777" w:rsidR="00931B5B" w:rsidRPr="00EC2C88" w:rsidRDefault="00931B5B" w:rsidP="00931B5B">
      <w:pPr>
        <w:numPr>
          <w:ilvl w:val="0"/>
          <w:numId w:val="3"/>
        </w:numPr>
        <w:spacing w:after="240" w:line="276" w:lineRule="auto"/>
        <w:ind w:right="-1"/>
        <w:jc w:val="both"/>
        <w:rPr>
          <w:rFonts w:cs="Arial"/>
        </w:rPr>
      </w:pPr>
      <w:r w:rsidRPr="00EC2C88">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75EC91A1" w14:textId="77777777" w:rsidR="00931B5B" w:rsidRPr="00EC2C88" w:rsidRDefault="00931B5B" w:rsidP="00931B5B">
      <w:pPr>
        <w:numPr>
          <w:ilvl w:val="0"/>
          <w:numId w:val="3"/>
        </w:numPr>
        <w:spacing w:after="240" w:line="276" w:lineRule="auto"/>
        <w:ind w:right="-1"/>
        <w:jc w:val="both"/>
        <w:rPr>
          <w:rFonts w:cs="Arial"/>
        </w:rPr>
      </w:pPr>
      <w:r w:rsidRPr="00EC2C88">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0F9BB5DE" w14:textId="77777777" w:rsidR="00931B5B" w:rsidRPr="00EC2C88" w:rsidRDefault="00931B5B" w:rsidP="00931B5B">
      <w:pPr>
        <w:numPr>
          <w:ilvl w:val="0"/>
          <w:numId w:val="3"/>
        </w:numPr>
        <w:spacing w:after="240" w:line="276" w:lineRule="auto"/>
        <w:ind w:right="-1"/>
        <w:jc w:val="both"/>
        <w:rPr>
          <w:rFonts w:cs="Arial"/>
        </w:rPr>
      </w:pPr>
      <w:r w:rsidRPr="00EC2C88">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639CBA2C" w14:textId="77777777" w:rsidR="00931B5B" w:rsidRPr="00EC2C88" w:rsidRDefault="00931B5B" w:rsidP="00931B5B">
      <w:pPr>
        <w:numPr>
          <w:ilvl w:val="0"/>
          <w:numId w:val="3"/>
        </w:numPr>
        <w:spacing w:after="240" w:line="276" w:lineRule="auto"/>
        <w:ind w:right="-1"/>
        <w:jc w:val="both"/>
        <w:rPr>
          <w:rFonts w:cs="Arial"/>
        </w:rPr>
      </w:pPr>
      <w:r w:rsidRPr="00EC2C88">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EC2C88">
        <w:rPr>
          <w:rFonts w:cs="Arial"/>
        </w:rPr>
        <w:t>Invex</w:t>
      </w:r>
      <w:proofErr w:type="spellEnd"/>
      <w:r w:rsidRPr="00EC2C88">
        <w:rPr>
          <w:rFonts w:cs="Arial"/>
        </w:rPr>
        <w:t xml:space="preserve">, S.A., Institución de Banca Múltiple </w:t>
      </w:r>
      <w:proofErr w:type="spellStart"/>
      <w:r w:rsidRPr="00EC2C88">
        <w:rPr>
          <w:rFonts w:cs="Arial"/>
        </w:rPr>
        <w:t>Invex</w:t>
      </w:r>
      <w:proofErr w:type="spellEnd"/>
      <w:r w:rsidRPr="00EC2C88">
        <w:rPr>
          <w:rFonts w:cs="Arial"/>
        </w:rPr>
        <w:t xml:space="preserve"> Grupo Financiero y </w:t>
      </w:r>
      <w:proofErr w:type="spellStart"/>
      <w:r w:rsidRPr="00EC2C88">
        <w:rPr>
          <w:rFonts w:cs="Arial"/>
        </w:rPr>
        <w:t>Monex</w:t>
      </w:r>
      <w:proofErr w:type="spellEnd"/>
      <w:r w:rsidRPr="00EC2C88">
        <w:rPr>
          <w:rFonts w:cs="Arial"/>
        </w:rPr>
        <w:t xml:space="preserve"> Casa de Bolsa, S.A. de C.V., como “Fiduciarios” representantes comunes de los tenedores de los Certificados Bursátiles Fiduciarios Series “A” y “B”.</w:t>
      </w:r>
    </w:p>
    <w:p w14:paraId="0E9F107D" w14:textId="77777777" w:rsidR="00931B5B" w:rsidRPr="00EC2C88" w:rsidRDefault="00931B5B" w:rsidP="00931B5B">
      <w:pPr>
        <w:numPr>
          <w:ilvl w:val="0"/>
          <w:numId w:val="3"/>
        </w:numPr>
        <w:spacing w:line="276" w:lineRule="auto"/>
        <w:ind w:right="-1"/>
        <w:jc w:val="both"/>
        <w:rPr>
          <w:rFonts w:cs="Arial"/>
        </w:rPr>
      </w:pPr>
      <w:r w:rsidRPr="00EC2C88">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EC2C88">
        <w:rPr>
          <w:rFonts w:cs="Arial"/>
        </w:rPr>
        <w:t>Monex</w:t>
      </w:r>
      <w:proofErr w:type="spellEnd"/>
      <w:r w:rsidRPr="00EC2C88">
        <w:rPr>
          <w:rFonts w:cs="Arial"/>
        </w:rPr>
        <w:t xml:space="preserve"> Casa de Bolsa, S.A. de C.V., </w:t>
      </w:r>
      <w:proofErr w:type="spellStart"/>
      <w:r w:rsidRPr="00EC2C88">
        <w:rPr>
          <w:rFonts w:cs="Arial"/>
        </w:rPr>
        <w:t>Monex</w:t>
      </w:r>
      <w:proofErr w:type="spellEnd"/>
      <w:r w:rsidRPr="00EC2C88">
        <w:rPr>
          <w:rFonts w:cs="Arial"/>
        </w:rPr>
        <w:t xml:space="preserve"> Grupo Financiero, como representante común de los tenedores de los Certificados Bursátiles y </w:t>
      </w:r>
      <w:proofErr w:type="spellStart"/>
      <w:r w:rsidRPr="00EC2C88">
        <w:rPr>
          <w:rFonts w:cs="Arial"/>
        </w:rPr>
        <w:t>The</w:t>
      </w:r>
      <w:proofErr w:type="spellEnd"/>
      <w:r w:rsidRPr="00EC2C88">
        <w:rPr>
          <w:rFonts w:cs="Arial"/>
        </w:rPr>
        <w:t xml:space="preserve"> Bank of New York </w:t>
      </w:r>
      <w:proofErr w:type="spellStart"/>
      <w:r w:rsidRPr="00EC2C88">
        <w:rPr>
          <w:rFonts w:cs="Arial"/>
        </w:rPr>
        <w:t>Mellon</w:t>
      </w:r>
      <w:proofErr w:type="spellEnd"/>
      <w:r w:rsidRPr="00EC2C88">
        <w:rPr>
          <w:rFonts w:cs="Arial"/>
        </w:rPr>
        <w:t>, S.A., Institución de Banca Múltiple como mandatario del Garante “A” y del Garante “B”.</w:t>
      </w:r>
    </w:p>
    <w:p w14:paraId="07485179" w14:textId="77777777" w:rsidR="00931B5B" w:rsidRPr="00EC2C88" w:rsidRDefault="00931B5B" w:rsidP="00931B5B">
      <w:pPr>
        <w:numPr>
          <w:ilvl w:val="0"/>
          <w:numId w:val="3"/>
        </w:numPr>
        <w:spacing w:after="0"/>
        <w:contextualSpacing/>
        <w:jc w:val="both"/>
        <w:rPr>
          <w:rFonts w:eastAsia="Times New Roman" w:cs="Arial"/>
          <w:lang w:eastAsia="es-MX"/>
        </w:rPr>
      </w:pPr>
      <w:r w:rsidRPr="00EC2C88">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7C6A3C0F" w14:textId="77777777" w:rsidR="00931B5B" w:rsidRPr="00EC2C88" w:rsidRDefault="00931B5B" w:rsidP="00931B5B">
      <w:pPr>
        <w:spacing w:after="0"/>
        <w:ind w:left="786"/>
        <w:contextualSpacing/>
        <w:jc w:val="both"/>
        <w:rPr>
          <w:rFonts w:eastAsia="Times New Roman" w:cs="Arial"/>
          <w:lang w:eastAsia="es-MX"/>
        </w:rPr>
      </w:pPr>
    </w:p>
    <w:p w14:paraId="128F18FE" w14:textId="77777777" w:rsidR="00931B5B" w:rsidRPr="00EC2C88" w:rsidRDefault="00931B5B" w:rsidP="00931B5B">
      <w:pPr>
        <w:numPr>
          <w:ilvl w:val="0"/>
          <w:numId w:val="3"/>
        </w:numPr>
        <w:spacing w:line="276" w:lineRule="auto"/>
        <w:ind w:right="-1"/>
        <w:jc w:val="both"/>
        <w:rPr>
          <w:rFonts w:cs="Arial"/>
        </w:rPr>
      </w:pPr>
      <w:r w:rsidRPr="00EC2C88">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EC2C88">
        <w:rPr>
          <w:rFonts w:cs="Arial"/>
        </w:rPr>
        <w:t>Treasury</w:t>
      </w:r>
      <w:proofErr w:type="spellEnd"/>
      <w:r w:rsidRPr="00EC2C88">
        <w:rPr>
          <w:rFonts w:cs="Arial"/>
        </w:rPr>
        <w:t xml:space="preserve"> </w:t>
      </w:r>
      <w:proofErr w:type="spellStart"/>
      <w:r w:rsidRPr="00EC2C88">
        <w:rPr>
          <w:rFonts w:cs="Arial"/>
        </w:rPr>
        <w:t>Cost</w:t>
      </w:r>
      <w:proofErr w:type="spellEnd"/>
      <w:r w:rsidRPr="00EC2C88">
        <w:rPr>
          <w:rFonts w:cs="Arial"/>
        </w:rPr>
        <w:t xml:space="preserve">, más 3.5 por ciento, y (ii) “B” por un monto de 1 mil 300 millones de pesos, con una tasa de interés anual igual al resultado de multiplicar 1.10 por la tasa moratoria que se establece en el </w:t>
      </w:r>
      <w:proofErr w:type="spellStart"/>
      <w:r w:rsidRPr="00EC2C88">
        <w:rPr>
          <w:rFonts w:cs="Arial"/>
        </w:rPr>
        <w:t>Macrotítulo</w:t>
      </w:r>
      <w:proofErr w:type="spellEnd"/>
      <w:r w:rsidRPr="00EC2C88">
        <w:rPr>
          <w:rFonts w:cs="Arial"/>
        </w:rPr>
        <w:t xml:space="preserve"> de los Certificados Bursátiles Fiduciarios Serie “B”, y se encuentran respaldados por los remanentes del Fideicomiso de Cobranza.</w:t>
      </w:r>
    </w:p>
    <w:p w14:paraId="16BE8066" w14:textId="77777777" w:rsidR="00931B5B" w:rsidRPr="00EC2C88" w:rsidRDefault="00931B5B" w:rsidP="00931B5B">
      <w:pPr>
        <w:numPr>
          <w:ilvl w:val="0"/>
          <w:numId w:val="3"/>
        </w:numPr>
        <w:spacing w:line="276" w:lineRule="auto"/>
        <w:ind w:right="-1"/>
        <w:jc w:val="both"/>
        <w:rPr>
          <w:rFonts w:cs="Arial"/>
        </w:rPr>
      </w:pPr>
      <w:r w:rsidRPr="00EC2C88">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25507E68" w14:textId="77777777" w:rsidR="00931B5B" w:rsidRPr="00EC2C88" w:rsidRDefault="00931B5B" w:rsidP="00931B5B">
      <w:pPr>
        <w:numPr>
          <w:ilvl w:val="0"/>
          <w:numId w:val="3"/>
        </w:numPr>
        <w:spacing w:after="240" w:line="276" w:lineRule="auto"/>
        <w:ind w:right="-1"/>
        <w:jc w:val="both"/>
        <w:rPr>
          <w:rFonts w:cs="Arial"/>
        </w:rPr>
      </w:pPr>
      <w:r w:rsidRPr="00EC2C88">
        <w:rPr>
          <w:rFonts w:cs="Arial"/>
        </w:rPr>
        <w:t xml:space="preserve">Adicionalmente los CBFS Serie A contarán con una garantía financiera de </w:t>
      </w:r>
      <w:proofErr w:type="spellStart"/>
      <w:r w:rsidRPr="00EC2C88">
        <w:rPr>
          <w:rFonts w:cs="Arial"/>
        </w:rPr>
        <w:t>Overseas</w:t>
      </w:r>
      <w:proofErr w:type="spellEnd"/>
      <w:r w:rsidRPr="00EC2C88">
        <w:rPr>
          <w:rFonts w:cs="Arial"/>
        </w:rPr>
        <w:t xml:space="preserve"> </w:t>
      </w:r>
      <w:proofErr w:type="spellStart"/>
      <w:r w:rsidRPr="00EC2C88">
        <w:rPr>
          <w:rFonts w:cs="Arial"/>
        </w:rPr>
        <w:t>Private</w:t>
      </w:r>
      <w:proofErr w:type="spellEnd"/>
      <w:r w:rsidRPr="00EC2C88">
        <w:rPr>
          <w:rFonts w:cs="Arial"/>
        </w:rPr>
        <w:t xml:space="preserve"> </w:t>
      </w:r>
      <w:proofErr w:type="spellStart"/>
      <w:r w:rsidRPr="00EC2C88">
        <w:rPr>
          <w:rFonts w:cs="Arial"/>
        </w:rPr>
        <w:t>Investment</w:t>
      </w:r>
      <w:proofErr w:type="spellEnd"/>
      <w:r w:rsidRPr="00EC2C88">
        <w:rPr>
          <w:rFonts w:cs="Arial"/>
        </w:rPr>
        <w:t xml:space="preserve"> </w:t>
      </w:r>
      <w:proofErr w:type="spellStart"/>
      <w:r w:rsidRPr="00EC2C88">
        <w:rPr>
          <w:rFonts w:cs="Arial"/>
        </w:rPr>
        <w:t>Corporation</w:t>
      </w:r>
      <w:proofErr w:type="spellEnd"/>
      <w:r w:rsidRPr="00EC2C88">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1C0E1BD9" w14:textId="77777777" w:rsidR="00931B5B" w:rsidRPr="00EC2C88" w:rsidRDefault="00931B5B" w:rsidP="00931B5B">
      <w:pPr>
        <w:numPr>
          <w:ilvl w:val="0"/>
          <w:numId w:val="3"/>
        </w:numPr>
        <w:spacing w:line="259" w:lineRule="auto"/>
        <w:ind w:right="-1"/>
        <w:jc w:val="both"/>
        <w:rPr>
          <w:rFonts w:cs="Arial"/>
        </w:rPr>
      </w:pPr>
      <w:r w:rsidRPr="00EC2C88">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644F12EB" w14:textId="77777777" w:rsidR="00931B5B" w:rsidRPr="00EC2C88" w:rsidRDefault="00931B5B" w:rsidP="00931B5B">
      <w:pPr>
        <w:numPr>
          <w:ilvl w:val="0"/>
          <w:numId w:val="3"/>
        </w:numPr>
        <w:spacing w:line="276" w:lineRule="auto"/>
        <w:ind w:right="-1"/>
        <w:jc w:val="both"/>
        <w:rPr>
          <w:rFonts w:cs="Arial"/>
        </w:rPr>
      </w:pPr>
      <w:r w:rsidRPr="00EC2C88">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4895BF53" w14:textId="77777777" w:rsidR="00931B5B" w:rsidRPr="00EC2C88" w:rsidRDefault="00931B5B" w:rsidP="00931B5B">
      <w:pPr>
        <w:numPr>
          <w:ilvl w:val="0"/>
          <w:numId w:val="3"/>
        </w:numPr>
        <w:spacing w:line="276" w:lineRule="auto"/>
        <w:ind w:right="-1"/>
        <w:jc w:val="both"/>
        <w:rPr>
          <w:rFonts w:cs="Arial"/>
        </w:rPr>
      </w:pPr>
      <w:r w:rsidRPr="00EC2C88">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385E1B26" w14:textId="5A32897F" w:rsidR="00931B5B" w:rsidRPr="001E3DFE" w:rsidRDefault="00931B5B" w:rsidP="001950F8">
      <w:pPr>
        <w:numPr>
          <w:ilvl w:val="0"/>
          <w:numId w:val="3"/>
        </w:numPr>
        <w:spacing w:line="259" w:lineRule="auto"/>
        <w:ind w:right="-1"/>
        <w:jc w:val="both"/>
        <w:rPr>
          <w:rFonts w:cs="Arial"/>
        </w:rPr>
      </w:pPr>
      <w:r w:rsidRPr="001E3DFE">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0D445673" w14:textId="77777777" w:rsidR="00931B5B" w:rsidRPr="008C39B7" w:rsidRDefault="00931B5B" w:rsidP="00931B5B">
      <w:pPr>
        <w:numPr>
          <w:ilvl w:val="0"/>
          <w:numId w:val="2"/>
        </w:numPr>
        <w:spacing w:after="0" w:line="276" w:lineRule="auto"/>
        <w:ind w:left="851" w:right="-1"/>
        <w:contextualSpacing/>
        <w:jc w:val="both"/>
        <w:rPr>
          <w:rFonts w:cs="Arial"/>
        </w:rPr>
      </w:pPr>
      <w:r w:rsidRPr="008C39B7">
        <w:rPr>
          <w:b/>
        </w:rPr>
        <w:t>Reporte de la Recaudación</w:t>
      </w:r>
    </w:p>
    <w:p w14:paraId="11B544DC" w14:textId="77777777" w:rsidR="00931B5B" w:rsidRPr="008C39B7" w:rsidRDefault="00931B5B" w:rsidP="00931B5B">
      <w:pPr>
        <w:spacing w:after="0" w:line="276" w:lineRule="auto"/>
        <w:ind w:left="851" w:right="-1"/>
        <w:contextualSpacing/>
        <w:jc w:val="both"/>
        <w:rPr>
          <w:rFonts w:cs="Arial"/>
        </w:rPr>
      </w:pPr>
    </w:p>
    <w:p w14:paraId="721F5F8B" w14:textId="77777777" w:rsidR="00931B5B" w:rsidRPr="009D0D4A" w:rsidRDefault="00931B5B" w:rsidP="00931B5B">
      <w:pPr>
        <w:spacing w:after="0" w:line="276" w:lineRule="auto"/>
        <w:ind w:right="-1"/>
        <w:contextualSpacing/>
        <w:jc w:val="center"/>
        <w:rPr>
          <w:noProof/>
          <w:color w:val="FF0000"/>
          <w:highlight w:val="red"/>
          <w:lang w:eastAsia="es-MX"/>
        </w:rPr>
      </w:pPr>
      <w:r w:rsidRPr="008C39B7">
        <w:rPr>
          <w:noProof/>
          <w:lang w:eastAsia="es-MX"/>
        </w:rPr>
        <w:drawing>
          <wp:inline distT="0" distB="0" distL="0" distR="0" wp14:anchorId="4AF12341" wp14:editId="1FE24ADC">
            <wp:extent cx="6480810" cy="3349279"/>
            <wp:effectExtent l="0" t="0" r="0" b="3810"/>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810" cy="3349279"/>
                    </a:xfrm>
                    <a:prstGeom prst="rect">
                      <a:avLst/>
                    </a:prstGeom>
                    <a:noFill/>
                    <a:ln>
                      <a:noFill/>
                    </a:ln>
                  </pic:spPr>
                </pic:pic>
              </a:graphicData>
            </a:graphic>
          </wp:inline>
        </w:drawing>
      </w:r>
    </w:p>
    <w:p w14:paraId="38A15D78" w14:textId="41D6D08E" w:rsidR="00931B5B" w:rsidRDefault="00931B5B" w:rsidP="00931B5B">
      <w:pPr>
        <w:pStyle w:val="Sinespaciado"/>
        <w:jc w:val="both"/>
        <w:rPr>
          <w:rFonts w:cs="Arial"/>
          <w:b/>
        </w:rPr>
      </w:pPr>
      <w:r w:rsidRPr="009D0D4A">
        <w:rPr>
          <w:noProof/>
          <w:color w:val="FF0000"/>
          <w:highlight w:val="red"/>
          <w:lang w:eastAsia="es-MX"/>
        </w:rPr>
        <w:br w:type="page"/>
      </w:r>
      <w:r w:rsidR="008842F0">
        <w:rPr>
          <w:rFonts w:cs="Arial"/>
          <w:b/>
        </w:rPr>
        <w:t>INGRESOS</w:t>
      </w:r>
    </w:p>
    <w:p w14:paraId="218B95BE" w14:textId="77777777" w:rsidR="00931B5B" w:rsidRPr="008C39B7" w:rsidRDefault="00931B5B" w:rsidP="00931B5B">
      <w:pPr>
        <w:pStyle w:val="Sinespaciado"/>
        <w:tabs>
          <w:tab w:val="left" w:pos="7560"/>
        </w:tabs>
        <w:jc w:val="both"/>
        <w:rPr>
          <w:rFonts w:cs="Arial"/>
        </w:rPr>
      </w:pPr>
      <w:r w:rsidRPr="008C39B7">
        <w:rPr>
          <w:rFonts w:cs="Arial"/>
        </w:rPr>
        <w:tab/>
      </w:r>
    </w:p>
    <w:p w14:paraId="02FC6900" w14:textId="77777777" w:rsidR="00931B5B" w:rsidRPr="008C39B7" w:rsidRDefault="00931B5B" w:rsidP="00931B5B">
      <w:pPr>
        <w:spacing w:line="240" w:lineRule="auto"/>
        <w:jc w:val="both"/>
        <w:rPr>
          <w:rFonts w:cs="Arial"/>
        </w:rPr>
      </w:pPr>
      <w:r>
        <w:rPr>
          <w:rFonts w:cs="Arial"/>
        </w:rPr>
        <w:t xml:space="preserve">Inicialmente se previó recaudar en la Ley de Ingresos Estimada la cantidad de 2,398,812,320.00. Se dio una asignación en el Capítulo de Inversión Pública por 38,658,686.65 que corresponden al Programa Acciones para el Desarrollo (PAD), denominado “Regularización de Tenencia de la Tierra, provenientes del Gobierno del Estado de México (GEM), cuya fuente de financiamiento son recursos estatales, dando un total autorizado de 2,437,471,006.65.  Se han realizado ampliaciones según el avance presupuestal de ingresos por un total de 341,134,385.91 al presupuesto y reducciones por </w:t>
      </w:r>
      <w:r w:rsidRPr="008C39B7">
        <w:rPr>
          <w:rFonts w:cs="Arial"/>
        </w:rPr>
        <w:t>1,308,443.06</w:t>
      </w:r>
      <w:r>
        <w:rPr>
          <w:rFonts w:cs="Arial"/>
        </w:rPr>
        <w:t xml:space="preserve">. El importe total recaudado al mes de septiembre fue de </w:t>
      </w:r>
      <w:r w:rsidRPr="008C39B7">
        <w:rPr>
          <w:rFonts w:cs="Arial"/>
        </w:rPr>
        <w:t>2,272,800,418.19</w:t>
      </w:r>
      <w:r>
        <w:rPr>
          <w:rFonts w:cs="Arial"/>
        </w:rPr>
        <w:t xml:space="preserve">, por lo que existe una variación del 17.0 por ciento con respecto al total autorizado anual. </w:t>
      </w:r>
    </w:p>
    <w:p w14:paraId="1C8DD085" w14:textId="42DEF7E4" w:rsidR="00931B5B" w:rsidRDefault="008842F0" w:rsidP="00931B5B">
      <w:pPr>
        <w:pStyle w:val="Sinespaciado"/>
        <w:jc w:val="both"/>
        <w:rPr>
          <w:rFonts w:cs="Arial"/>
          <w:b/>
        </w:rPr>
      </w:pPr>
      <w:r>
        <w:rPr>
          <w:rFonts w:cs="Arial"/>
          <w:b/>
        </w:rPr>
        <w:t>INGRESOS DE GESTIÓN</w:t>
      </w:r>
    </w:p>
    <w:p w14:paraId="07854CEC" w14:textId="77777777" w:rsidR="00931B5B" w:rsidRPr="001E3DFE" w:rsidRDefault="00931B5B" w:rsidP="00931B5B">
      <w:pPr>
        <w:pStyle w:val="Sinespaciado"/>
        <w:jc w:val="both"/>
        <w:rPr>
          <w:rFonts w:cs="Arial"/>
          <w:sz w:val="12"/>
        </w:rPr>
      </w:pPr>
    </w:p>
    <w:p w14:paraId="1FE49B9B" w14:textId="77777777" w:rsidR="00931B5B" w:rsidRDefault="00931B5B" w:rsidP="00931B5B">
      <w:pPr>
        <w:pStyle w:val="Sinespaciado"/>
        <w:jc w:val="both"/>
        <w:rPr>
          <w:rFonts w:cs="Arial"/>
        </w:rPr>
      </w:pPr>
      <w:r>
        <w:rPr>
          <w:rFonts w:cs="Arial"/>
        </w:rPr>
        <w:t>De acuerdo a lo señalado en la Ley de Ingresos para el ejercicio 2022, se previó recaudar ingresos por concepto de derechos del Registro Público de la Propiedad y Comercio un importe de 2,339,782,320.00. Se han realizado “traspasos internos” para dar suficiencia a otros ingresos varios.</w:t>
      </w:r>
    </w:p>
    <w:p w14:paraId="203240AF" w14:textId="77777777" w:rsidR="00931B5B" w:rsidRDefault="00931B5B" w:rsidP="00931B5B">
      <w:pPr>
        <w:pStyle w:val="Sinespaciado"/>
        <w:jc w:val="both"/>
        <w:rPr>
          <w:rFonts w:cs="Arial"/>
        </w:rPr>
      </w:pPr>
    </w:p>
    <w:p w14:paraId="42E835F7" w14:textId="77777777" w:rsidR="00931B5B" w:rsidRPr="008C39B7" w:rsidRDefault="00931B5B" w:rsidP="00931B5B">
      <w:pPr>
        <w:pStyle w:val="Sinespaciado"/>
        <w:jc w:val="both"/>
        <w:rPr>
          <w:rFonts w:cs="Arial"/>
        </w:rPr>
      </w:pPr>
      <w:r>
        <w:rPr>
          <w:rFonts w:cs="Arial"/>
        </w:rPr>
        <w:t>Asimismo, se autorizaron Ingresos por Venta de Bienes, Prestación de Servicios y Otros Ingresos, por 59,030,000.00.</w:t>
      </w:r>
    </w:p>
    <w:p w14:paraId="616B2E01" w14:textId="77777777" w:rsidR="00931B5B" w:rsidRDefault="00931B5B" w:rsidP="00931B5B">
      <w:pPr>
        <w:pStyle w:val="Sinespaciado"/>
        <w:jc w:val="both"/>
        <w:rPr>
          <w:rFonts w:cs="Arial"/>
        </w:rPr>
      </w:pPr>
    </w:p>
    <w:p w14:paraId="67D0BE11" w14:textId="77777777" w:rsidR="00931B5B" w:rsidRDefault="00931B5B" w:rsidP="00931B5B">
      <w:pPr>
        <w:spacing w:line="240" w:lineRule="auto"/>
        <w:jc w:val="both"/>
        <w:rPr>
          <w:rFonts w:cs="Arial"/>
        </w:rPr>
      </w:pPr>
      <w:r>
        <w:rPr>
          <w:rFonts w:cs="Arial"/>
        </w:rPr>
        <w:t xml:space="preserve">Se han recaudado por los derechos de los servicios que presta el Instituto </w:t>
      </w:r>
      <w:r w:rsidRPr="008C39B7">
        <w:rPr>
          <w:rFonts w:cs="Arial"/>
        </w:rPr>
        <w:t>1,280,516,176.00</w:t>
      </w:r>
      <w:r>
        <w:rPr>
          <w:rFonts w:cs="Arial"/>
        </w:rPr>
        <w:t xml:space="preserve"> lo que representa el 22.7 por ciento menos respecto del modificado anual. </w:t>
      </w:r>
    </w:p>
    <w:p w14:paraId="1EE56E39" w14:textId="4D1420C5" w:rsidR="00931B5B" w:rsidRDefault="00931B5B" w:rsidP="00931B5B">
      <w:pPr>
        <w:pStyle w:val="Sinespaciado"/>
        <w:jc w:val="both"/>
        <w:rPr>
          <w:rFonts w:cs="Arial"/>
          <w:b/>
        </w:rPr>
      </w:pPr>
      <w:r>
        <w:rPr>
          <w:rFonts w:cs="Arial"/>
          <w:b/>
        </w:rPr>
        <w:t>PARTICIPACIONES, APORTACIONES, TRANSFERENCIAS, ASIGNAC</w:t>
      </w:r>
      <w:r w:rsidR="008842F0">
        <w:rPr>
          <w:rFonts w:cs="Arial"/>
          <w:b/>
        </w:rPr>
        <w:t>IONES, SUBSIDIOS Y OTRAS AYUDAS</w:t>
      </w:r>
    </w:p>
    <w:p w14:paraId="62C24FE8" w14:textId="77777777" w:rsidR="00931B5B" w:rsidRPr="001E3DFE" w:rsidRDefault="00931B5B" w:rsidP="00931B5B">
      <w:pPr>
        <w:pStyle w:val="Sinespaciado"/>
        <w:jc w:val="both"/>
        <w:rPr>
          <w:rFonts w:cs="Arial"/>
          <w:sz w:val="10"/>
        </w:rPr>
      </w:pPr>
    </w:p>
    <w:p w14:paraId="538050E5" w14:textId="77777777" w:rsidR="00931B5B" w:rsidRDefault="00931B5B" w:rsidP="00931B5B">
      <w:pPr>
        <w:spacing w:line="240" w:lineRule="auto"/>
        <w:jc w:val="both"/>
        <w:rPr>
          <w:rFonts w:cs="Arial"/>
        </w:rPr>
      </w:pPr>
      <w:r>
        <w:rPr>
          <w:rFonts w:cs="Arial"/>
        </w:rPr>
        <w:t xml:space="preserve">Se autorizó la asignación presupuestal del proyecto denominado “Regularización de Tenencia de la Tierra” por 38,658,686.65, este importe se refleja en el rubro del Programa de Acciones para el Desarrollo (PAD) y se va recaudando con los depósitos que realiza mensualmente el GEM, que al mes de septiembre son </w:t>
      </w:r>
      <w:r w:rsidRPr="008C39B7">
        <w:rPr>
          <w:rFonts w:cs="Arial"/>
        </w:rPr>
        <w:t>27,834,254.38</w:t>
      </w:r>
      <w:r>
        <w:rPr>
          <w:rFonts w:cs="Arial"/>
        </w:rPr>
        <w:t xml:space="preserve">. </w:t>
      </w:r>
    </w:p>
    <w:p w14:paraId="7CAC4451" w14:textId="77777777" w:rsidR="00931B5B" w:rsidRPr="008C39B7" w:rsidRDefault="00931B5B" w:rsidP="00931B5B">
      <w:pPr>
        <w:spacing w:line="240" w:lineRule="auto"/>
        <w:jc w:val="both"/>
        <w:rPr>
          <w:rFonts w:cs="Arial"/>
        </w:rPr>
      </w:pPr>
      <w:r>
        <w:rPr>
          <w:rFonts w:cs="Arial"/>
        </w:rPr>
        <w:t>Se autorizó una ampliación presupuestal líquida por 215,000,000.00, para dar cumplimiento a las obligaciones de pago de certificados bursátiles, los cuales se consideraron ejercidos al 100%, el monto ejercido al mes de septiembre es por 215,000,000.00.</w:t>
      </w:r>
    </w:p>
    <w:p w14:paraId="77C5E38A" w14:textId="70B17F84" w:rsidR="00931B5B" w:rsidRDefault="008842F0" w:rsidP="00931B5B">
      <w:pPr>
        <w:pStyle w:val="Sinespaciado"/>
        <w:jc w:val="both"/>
        <w:rPr>
          <w:rFonts w:cs="Arial"/>
          <w:b/>
        </w:rPr>
      </w:pPr>
      <w:r>
        <w:rPr>
          <w:rFonts w:cs="Arial"/>
          <w:b/>
        </w:rPr>
        <w:t>OTROS INGRESOS Y BENEFICIOS</w:t>
      </w:r>
    </w:p>
    <w:p w14:paraId="7DB718BE" w14:textId="77777777" w:rsidR="00931B5B" w:rsidRPr="001E3DFE" w:rsidRDefault="00931B5B" w:rsidP="00931B5B">
      <w:pPr>
        <w:pStyle w:val="Sinespaciado"/>
        <w:jc w:val="both"/>
        <w:rPr>
          <w:rFonts w:cs="Arial"/>
          <w:sz w:val="12"/>
        </w:rPr>
      </w:pPr>
    </w:p>
    <w:p w14:paraId="743D3BB6" w14:textId="77777777" w:rsidR="00931B5B" w:rsidRDefault="00931B5B" w:rsidP="00931B5B">
      <w:pPr>
        <w:spacing w:line="240" w:lineRule="auto"/>
        <w:jc w:val="both"/>
        <w:rPr>
          <w:rFonts w:cs="Arial"/>
        </w:rPr>
      </w:pPr>
      <w:r>
        <w:rPr>
          <w:rFonts w:cs="Arial"/>
        </w:rPr>
        <w:t>Se han realizado traspasos internos para dar suficiencia presupuestal a los otros ingresos y beneficios varios</w:t>
      </w:r>
    </w:p>
    <w:p w14:paraId="7202CE0C" w14:textId="77777777" w:rsidR="00931B5B" w:rsidRDefault="00931B5B" w:rsidP="00931B5B">
      <w:pPr>
        <w:spacing w:line="240" w:lineRule="auto"/>
        <w:jc w:val="both"/>
      </w:pPr>
      <w:r>
        <w:rPr>
          <w:rFonts w:cs="Arial"/>
          <w:b/>
        </w:rPr>
        <w:t>Otros Ingresos Financieros. -</w:t>
      </w:r>
      <w:r>
        <w:rPr>
          <w:rFonts w:cs="Arial"/>
        </w:rPr>
        <w:t xml:space="preserve"> Se tiene recaudado la cantidad de </w:t>
      </w:r>
      <w:r w:rsidRPr="008C39B7">
        <w:rPr>
          <w:rFonts w:cs="Arial"/>
        </w:rPr>
        <w:t>342,139,928.65</w:t>
      </w:r>
      <w:r>
        <w:rPr>
          <w:rFonts w:cs="Arial"/>
        </w:rPr>
        <w:t xml:space="preserve">, de los cuales 330,419,681.63 </w:t>
      </w:r>
      <w:r w:rsidRPr="008C39B7">
        <w:rPr>
          <w:rFonts w:cs="Arial"/>
        </w:rPr>
        <w:t xml:space="preserve">corresponden a los ingresos del Fideicomiso de Cobranza para los pagos de intereses de los bonos correspondientes al ejercicio y 11,720,247.02 se derivan de rendimientos </w:t>
      </w:r>
      <w:r>
        <w:rPr>
          <w:rFonts w:cs="Arial"/>
        </w:rPr>
        <w:t>por intereses financieros generados por las inversiones de las Instituciones Bancarias de este Instituto.</w:t>
      </w:r>
    </w:p>
    <w:p w14:paraId="6AE336BF" w14:textId="77777777" w:rsidR="00931B5B" w:rsidRDefault="00931B5B" w:rsidP="00931B5B">
      <w:pPr>
        <w:spacing w:line="240" w:lineRule="auto"/>
        <w:jc w:val="both"/>
        <w:rPr>
          <w:rFonts w:cs="Arial"/>
        </w:rPr>
      </w:pPr>
      <w:r>
        <w:rPr>
          <w:rFonts w:cs="Arial"/>
          <w:b/>
        </w:rPr>
        <w:t xml:space="preserve">Otros Ingresos Diversos. - </w:t>
      </w:r>
      <w:r>
        <w:rPr>
          <w:rFonts w:cs="Arial"/>
        </w:rPr>
        <w:t xml:space="preserve">Se registra en ingresos diversos, un monto recaudado por </w:t>
      </w:r>
      <w:r w:rsidRPr="008C39B7">
        <w:rPr>
          <w:rFonts w:cs="Arial"/>
        </w:rPr>
        <w:t>407,310,059.16</w:t>
      </w:r>
      <w:r>
        <w:rPr>
          <w:rFonts w:cs="Arial"/>
        </w:rPr>
        <w:t xml:space="preserve">, los cuales se componen principalmente de la siguiente forma: 337,168,235.22 </w:t>
      </w:r>
      <w:r w:rsidRPr="008C39B7">
        <w:rPr>
          <w:rFonts w:cs="Arial"/>
        </w:rPr>
        <w:t>para pagos de amortización de capital de las series “A”, “B” y “C” por la emisión de los Certificados Bursátiles Fiduciarios</w:t>
      </w:r>
      <w:r>
        <w:rPr>
          <w:rFonts w:cs="Arial"/>
        </w:rPr>
        <w:t>; 66,862,608.78 de ingresos por disponibilidades presupuestarias, 91,719.69</w:t>
      </w:r>
      <w:r>
        <w:t xml:space="preserve"> </w:t>
      </w:r>
      <w:r>
        <w:rPr>
          <w:rFonts w:cs="Arial"/>
        </w:rPr>
        <w:t xml:space="preserve">de los intereses generados por las transferencias de los depósitos del Registro Público de Comercio (rendimientos de la remesa de ingresos por RPC). Asimismo, se han recaudado 3,187,495.47 de ingresos varios (depósitos no referenciados, llamadas no oficiales, reposición de credenciales, venta de desecho, venta de bases de concursos, cancelación de cuentas por pagar, notas de crédito por servicios no prestados, entre otros). </w:t>
      </w:r>
    </w:p>
    <w:p w14:paraId="18E3C0DA" w14:textId="6F9BF613" w:rsidR="00931B5B" w:rsidRDefault="00931B5B" w:rsidP="00931B5B">
      <w:pPr>
        <w:spacing w:after="0" w:line="276" w:lineRule="auto"/>
        <w:ind w:right="-1"/>
        <w:contextualSpacing/>
        <w:jc w:val="both"/>
        <w:rPr>
          <w:noProof/>
          <w:lang w:eastAsia="es-MX"/>
        </w:rPr>
      </w:pPr>
    </w:p>
    <w:p w14:paraId="4D3C1FCD" w14:textId="77777777" w:rsidR="005105F1" w:rsidRPr="00EC2C88" w:rsidRDefault="005105F1" w:rsidP="00931B5B">
      <w:pPr>
        <w:spacing w:after="0" w:line="276" w:lineRule="auto"/>
        <w:ind w:right="-1"/>
        <w:contextualSpacing/>
        <w:jc w:val="both"/>
        <w:rPr>
          <w:noProof/>
          <w:lang w:eastAsia="es-MX"/>
        </w:rPr>
      </w:pPr>
    </w:p>
    <w:p w14:paraId="746A22CA" w14:textId="77777777" w:rsidR="00931B5B" w:rsidRPr="002F68BA" w:rsidRDefault="00931B5B" w:rsidP="00931B5B">
      <w:pPr>
        <w:numPr>
          <w:ilvl w:val="0"/>
          <w:numId w:val="2"/>
        </w:numPr>
        <w:spacing w:after="0" w:line="276" w:lineRule="auto"/>
        <w:ind w:left="851" w:right="-1"/>
        <w:contextualSpacing/>
        <w:jc w:val="both"/>
        <w:rPr>
          <w:rFonts w:cs="Arial"/>
        </w:rPr>
      </w:pPr>
      <w:r w:rsidRPr="002F68BA">
        <w:rPr>
          <w:b/>
        </w:rPr>
        <w:t>Información sobre la Deuda y el Reporte Analítico de la Deuda</w:t>
      </w:r>
    </w:p>
    <w:p w14:paraId="26C5970C" w14:textId="77777777" w:rsidR="00931B5B" w:rsidRPr="002F68BA" w:rsidRDefault="00931B5B" w:rsidP="00931B5B">
      <w:pPr>
        <w:spacing w:after="0" w:line="276" w:lineRule="auto"/>
        <w:ind w:left="851" w:right="-1"/>
        <w:contextualSpacing/>
        <w:jc w:val="both"/>
        <w:rPr>
          <w:b/>
        </w:rPr>
      </w:pPr>
    </w:p>
    <w:p w14:paraId="05405DFC" w14:textId="77777777" w:rsidR="00931B5B" w:rsidRPr="002F68BA" w:rsidRDefault="00931B5B" w:rsidP="00931B5B">
      <w:pPr>
        <w:spacing w:line="276" w:lineRule="auto"/>
        <w:ind w:right="-1"/>
        <w:jc w:val="both"/>
        <w:rPr>
          <w:rFonts w:cs="Arial"/>
        </w:rPr>
      </w:pPr>
      <w:r w:rsidRPr="002F68BA">
        <w:rPr>
          <w:rFonts w:cs="Arial"/>
        </w:rPr>
        <w:t>Al mes actual el análisis de la deuda se integra de la siguiente manera:</w:t>
      </w:r>
    </w:p>
    <w:p w14:paraId="11624FFC" w14:textId="77777777" w:rsidR="00931B5B" w:rsidRPr="002F68BA" w:rsidRDefault="00931B5B" w:rsidP="00931B5B">
      <w:pPr>
        <w:spacing w:after="0" w:line="276" w:lineRule="auto"/>
        <w:ind w:right="-1"/>
        <w:jc w:val="both"/>
        <w:rPr>
          <w:rFonts w:cs="Arial"/>
        </w:rPr>
      </w:pPr>
    </w:p>
    <w:p w14:paraId="03A33C4F" w14:textId="77777777" w:rsidR="00931B5B" w:rsidRPr="002F68BA" w:rsidRDefault="00931B5B" w:rsidP="00931B5B">
      <w:pPr>
        <w:spacing w:after="0" w:line="276" w:lineRule="auto"/>
        <w:ind w:right="-1"/>
        <w:jc w:val="both"/>
        <w:rPr>
          <w:rFonts w:cs="Arial"/>
          <w:b/>
        </w:rPr>
      </w:pPr>
      <w:r w:rsidRPr="002F68BA">
        <w:rPr>
          <w:rFonts w:cs="Arial"/>
          <w:b/>
        </w:rPr>
        <w:t xml:space="preserve">Mensual: </w:t>
      </w:r>
    </w:p>
    <w:p w14:paraId="284D5A4C" w14:textId="77777777" w:rsidR="00931B5B" w:rsidRPr="00FA03F8" w:rsidRDefault="00931B5B" w:rsidP="00931B5B">
      <w:pPr>
        <w:spacing w:after="0" w:line="276" w:lineRule="auto"/>
        <w:ind w:right="-1"/>
        <w:jc w:val="center"/>
        <w:rPr>
          <w:rFonts w:cs="Arial"/>
          <w:highlight w:val="yellow"/>
        </w:rPr>
      </w:pPr>
    </w:p>
    <w:p w14:paraId="3A8DE6E8" w14:textId="77777777" w:rsidR="00931B5B" w:rsidRPr="00FA03F8" w:rsidRDefault="00931B5B" w:rsidP="00931B5B">
      <w:pPr>
        <w:spacing w:after="0" w:line="276" w:lineRule="auto"/>
        <w:ind w:right="-1"/>
        <w:jc w:val="both"/>
        <w:rPr>
          <w:rFonts w:cs="Arial"/>
          <w:highlight w:val="yellow"/>
        </w:rPr>
      </w:pPr>
      <w:r w:rsidRPr="002F68BA">
        <w:rPr>
          <w:noProof/>
          <w:lang w:eastAsia="es-MX"/>
        </w:rPr>
        <w:drawing>
          <wp:inline distT="0" distB="0" distL="0" distR="0" wp14:anchorId="475E9005" wp14:editId="11C7EF34">
            <wp:extent cx="6480810" cy="1927147"/>
            <wp:effectExtent l="0" t="0" r="0" b="0"/>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810" cy="1927147"/>
                    </a:xfrm>
                    <a:prstGeom prst="rect">
                      <a:avLst/>
                    </a:prstGeom>
                    <a:noFill/>
                    <a:ln>
                      <a:noFill/>
                    </a:ln>
                  </pic:spPr>
                </pic:pic>
              </a:graphicData>
            </a:graphic>
          </wp:inline>
        </w:drawing>
      </w:r>
    </w:p>
    <w:p w14:paraId="70E02F31" w14:textId="77777777" w:rsidR="00931B5B" w:rsidRPr="00FA03F8" w:rsidRDefault="00931B5B" w:rsidP="00931B5B">
      <w:pPr>
        <w:spacing w:after="0" w:line="240" w:lineRule="atLeast"/>
        <w:jc w:val="both"/>
        <w:rPr>
          <w:rFonts w:cs="Arial"/>
          <w:highlight w:val="yellow"/>
        </w:rPr>
      </w:pPr>
    </w:p>
    <w:p w14:paraId="3B71DAB5" w14:textId="77777777" w:rsidR="001E3DFE" w:rsidRDefault="001E3DFE" w:rsidP="00931B5B">
      <w:pPr>
        <w:spacing w:after="0" w:line="240" w:lineRule="atLeast"/>
        <w:jc w:val="both"/>
        <w:rPr>
          <w:rFonts w:cs="Arial"/>
          <w:b/>
        </w:rPr>
      </w:pPr>
    </w:p>
    <w:p w14:paraId="637F4DA1" w14:textId="430500CF" w:rsidR="00931B5B" w:rsidRDefault="00931B5B" w:rsidP="00931B5B">
      <w:pPr>
        <w:spacing w:after="0" w:line="240" w:lineRule="atLeast"/>
        <w:jc w:val="both"/>
        <w:rPr>
          <w:rFonts w:cs="Arial"/>
          <w:b/>
        </w:rPr>
      </w:pPr>
      <w:r w:rsidRPr="002F68BA">
        <w:rPr>
          <w:rFonts w:cs="Arial"/>
          <w:b/>
        </w:rPr>
        <w:t>Acumulada:</w:t>
      </w:r>
      <w:r w:rsidRPr="00EC2C88">
        <w:rPr>
          <w:rFonts w:cs="Arial"/>
          <w:b/>
        </w:rPr>
        <w:t xml:space="preserve"> </w:t>
      </w:r>
    </w:p>
    <w:p w14:paraId="31FCEF26" w14:textId="3D00CFFC" w:rsidR="008842F0" w:rsidRDefault="008842F0" w:rsidP="00931B5B">
      <w:pPr>
        <w:spacing w:after="0" w:line="240" w:lineRule="atLeast"/>
        <w:jc w:val="both"/>
        <w:rPr>
          <w:rFonts w:cs="Arial"/>
          <w:b/>
        </w:rPr>
      </w:pPr>
    </w:p>
    <w:p w14:paraId="6337D3E8" w14:textId="77777777" w:rsidR="008842F0" w:rsidRPr="00EC2C88" w:rsidRDefault="008842F0" w:rsidP="00931B5B">
      <w:pPr>
        <w:spacing w:after="0" w:line="240" w:lineRule="atLeast"/>
        <w:jc w:val="both"/>
        <w:rPr>
          <w:rFonts w:cs="Arial"/>
          <w:b/>
        </w:rPr>
      </w:pPr>
    </w:p>
    <w:p w14:paraId="05CF0865" w14:textId="77777777" w:rsidR="00931B5B" w:rsidRDefault="00931B5B" w:rsidP="00931B5B">
      <w:pPr>
        <w:spacing w:line="259" w:lineRule="auto"/>
        <w:rPr>
          <w:rFonts w:cs="Arial"/>
          <w:lang w:eastAsia="es-ES"/>
        </w:rPr>
      </w:pPr>
      <w:r w:rsidRPr="002F68BA">
        <w:rPr>
          <w:noProof/>
          <w:lang w:eastAsia="es-MX"/>
        </w:rPr>
        <w:drawing>
          <wp:inline distT="0" distB="0" distL="0" distR="0" wp14:anchorId="3E305A22" wp14:editId="5FFEA5B0">
            <wp:extent cx="6553200" cy="1825625"/>
            <wp:effectExtent l="0" t="0" r="0" b="3175"/>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55006" cy="1826128"/>
                    </a:xfrm>
                    <a:prstGeom prst="rect">
                      <a:avLst/>
                    </a:prstGeom>
                    <a:noFill/>
                    <a:ln>
                      <a:noFill/>
                    </a:ln>
                  </pic:spPr>
                </pic:pic>
              </a:graphicData>
            </a:graphic>
          </wp:inline>
        </w:drawing>
      </w:r>
    </w:p>
    <w:p w14:paraId="7281B506" w14:textId="51DF01A7" w:rsidR="00AC5888" w:rsidRDefault="00AC5888">
      <w:pPr>
        <w:spacing w:line="259" w:lineRule="auto"/>
        <w:rPr>
          <w:rFonts w:cs="Arial"/>
          <w:lang w:eastAsia="es-ES"/>
        </w:rPr>
      </w:pPr>
      <w:r>
        <w:rPr>
          <w:rFonts w:cs="Arial"/>
          <w:lang w:eastAsia="es-ES"/>
        </w:rPr>
        <w:br w:type="page"/>
      </w:r>
    </w:p>
    <w:p w14:paraId="4ED7488A" w14:textId="4DE32E4F" w:rsidR="001E3DFE" w:rsidRDefault="001E3DFE" w:rsidP="00931B5B">
      <w:pPr>
        <w:spacing w:line="259" w:lineRule="auto"/>
        <w:rPr>
          <w:rFonts w:cs="Arial"/>
          <w:lang w:eastAsia="es-ES"/>
        </w:rPr>
      </w:pPr>
    </w:p>
    <w:p w14:paraId="750A9911" w14:textId="1D2093E0" w:rsidR="00931B5B" w:rsidRPr="006A23E6" w:rsidRDefault="00931B5B" w:rsidP="00931B5B">
      <w:pPr>
        <w:spacing w:line="259" w:lineRule="auto"/>
        <w:rPr>
          <w:rFonts w:cs="Arial"/>
          <w:lang w:eastAsia="es-ES"/>
        </w:rPr>
      </w:pPr>
      <w:r w:rsidRPr="00EC2C88">
        <w:rPr>
          <w:rFonts w:cs="Arial"/>
          <w:lang w:eastAsia="es-ES"/>
        </w:rPr>
        <w:t>La operación del Fideicomiso de Cobranza se ha comportado de la siguiente forma:</w:t>
      </w:r>
      <w:r w:rsidRPr="00EC2C88">
        <w:rPr>
          <w:noProof/>
          <w:lang w:eastAsia="es-MX"/>
        </w:rPr>
        <w:t xml:space="preserve"> </w:t>
      </w:r>
    </w:p>
    <w:p w14:paraId="329F24FA" w14:textId="77777777" w:rsidR="00931B5B" w:rsidRPr="00EC2C88" w:rsidRDefault="00931B5B" w:rsidP="00931B5B">
      <w:pPr>
        <w:spacing w:line="259" w:lineRule="auto"/>
        <w:jc w:val="center"/>
        <w:rPr>
          <w:noProof/>
          <w:lang w:eastAsia="es-MX"/>
        </w:rPr>
      </w:pPr>
      <w:r w:rsidRPr="009E7675">
        <w:rPr>
          <w:noProof/>
          <w:lang w:eastAsia="es-MX"/>
        </w:rPr>
        <w:drawing>
          <wp:inline distT="0" distB="0" distL="0" distR="0" wp14:anchorId="47273AE3" wp14:editId="4A36E04D">
            <wp:extent cx="6084327" cy="2457907"/>
            <wp:effectExtent l="0" t="0" r="0" b="0"/>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2180" cy="2465119"/>
                    </a:xfrm>
                    <a:prstGeom prst="rect">
                      <a:avLst/>
                    </a:prstGeom>
                    <a:noFill/>
                    <a:ln>
                      <a:noFill/>
                    </a:ln>
                  </pic:spPr>
                </pic:pic>
              </a:graphicData>
            </a:graphic>
          </wp:inline>
        </w:drawing>
      </w:r>
    </w:p>
    <w:p w14:paraId="1E5A51C8" w14:textId="77777777" w:rsidR="00931B5B" w:rsidRPr="009E7675" w:rsidRDefault="00931B5B" w:rsidP="00931B5B">
      <w:pPr>
        <w:jc w:val="both"/>
        <w:rPr>
          <w:rFonts w:cs="Arial"/>
        </w:rPr>
      </w:pPr>
      <w:r w:rsidRPr="009E7675">
        <w:rPr>
          <w:rFonts w:cs="Arial"/>
        </w:rPr>
        <w:t>El saldo de la cuenta 2221 “Documentos Comerciales Por Pagar a Largo Plazo”, después de la proyección y con la reclasificación de la porción de largo a corto plazo es de: 5,415,514,079.19, que se componen de; los CBFS de la Serie “A” por 1,699,641,269.55, para los CBFS de la Serie “B”, 799,108,011.00 y para los CBFS Subordinados de la Serie “C</w:t>
      </w:r>
      <w:r w:rsidRPr="009E7675">
        <w:t xml:space="preserve"> </w:t>
      </w:r>
      <w:r w:rsidRPr="009E7675">
        <w:rPr>
          <w:rFonts w:cs="Arial"/>
        </w:rPr>
        <w:t>2,916,764,798.64, cabe mencionar que esta última se contrató en Unidades de Inversión (UDI), por lo tanto, el Saldo Capital es de: 411,621,301.27 UDI; para la Amortización de capital es de 17,755,403.36 UDI y para los intereses es de 12,355,156.38 UDI, de acuerdo con la Tabla de Amortización, Crédito 9439 del Fideicomiso F/1426.</w:t>
      </w:r>
    </w:p>
    <w:p w14:paraId="0A0019A9" w14:textId="77777777" w:rsidR="00931B5B" w:rsidRPr="008A6BF7" w:rsidRDefault="00931B5B" w:rsidP="00931B5B">
      <w:pPr>
        <w:spacing w:line="259" w:lineRule="auto"/>
        <w:jc w:val="both"/>
        <w:rPr>
          <w:rFonts w:cs="Arial"/>
        </w:rPr>
      </w:pPr>
      <w:r w:rsidRPr="008A6BF7">
        <w:rPr>
          <w:rFonts w:eastAsia="Times New Roman" w:cs="Arial"/>
          <w:lang w:eastAsia="es-ES"/>
        </w:rPr>
        <w:t>A</w:t>
      </w:r>
      <w:r w:rsidRPr="008A6BF7">
        <w:rPr>
          <w:shd w:val="clear" w:color="auto" w:fill="FFFFFF"/>
        </w:rPr>
        <w:t xml:space="preserve">l inicio del ejercicio se realiza la reclasificación </w:t>
      </w:r>
      <w:r w:rsidRPr="008A6BF7">
        <w:rPr>
          <w:rFonts w:cs="Arial"/>
        </w:rPr>
        <w:t xml:space="preserve">de la porción a Corto Plazo de la Deuda a Largo Plazo para el pago de la amortización correspondiente al primer periodo del presente ejercicio de las emisiones de los CEBUR’S, revisable mensualmente debido a </w:t>
      </w:r>
      <w:proofErr w:type="gramStart"/>
      <w:r w:rsidRPr="008A6BF7">
        <w:rPr>
          <w:rFonts w:cs="Arial"/>
        </w:rPr>
        <w:t>que</w:t>
      </w:r>
      <w:proofErr w:type="gramEnd"/>
      <w:r w:rsidRPr="008A6BF7">
        <w:rPr>
          <w:rFonts w:cs="Arial"/>
        </w:rPr>
        <w:t xml:space="preserv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w:t>
      </w:r>
    </w:p>
    <w:p w14:paraId="40E51E1E" w14:textId="77777777" w:rsidR="00931B5B" w:rsidRPr="003C154B" w:rsidRDefault="00931B5B" w:rsidP="00931B5B">
      <w:pPr>
        <w:spacing w:line="259" w:lineRule="auto"/>
        <w:jc w:val="both"/>
        <w:rPr>
          <w:rFonts w:cs="Arial"/>
        </w:rPr>
      </w:pPr>
      <w:r w:rsidRPr="00EC2C88">
        <w:rPr>
          <w:rFonts w:cs="Arial"/>
        </w:rPr>
        <w:t xml:space="preserve">Las fechas de </w:t>
      </w:r>
      <w:r w:rsidRPr="003C154B">
        <w:rPr>
          <w:rFonts w:cs="Arial"/>
        </w:rPr>
        <w:t>vencimiento para este ejercicio fueron las siguientes:</w:t>
      </w:r>
    </w:p>
    <w:tbl>
      <w:tblPr>
        <w:tblStyle w:val="Tablaconcuadrcula211111"/>
        <w:tblW w:w="0" w:type="auto"/>
        <w:jc w:val="center"/>
        <w:tblLook w:val="04A0" w:firstRow="1" w:lastRow="0" w:firstColumn="1" w:lastColumn="0" w:noHBand="0" w:noVBand="1"/>
      </w:tblPr>
      <w:tblGrid>
        <w:gridCol w:w="5880"/>
        <w:gridCol w:w="14"/>
        <w:gridCol w:w="2301"/>
      </w:tblGrid>
      <w:tr w:rsidR="00931B5B" w:rsidRPr="003C154B" w14:paraId="682B6509" w14:textId="77777777" w:rsidTr="006E017F">
        <w:trPr>
          <w:trHeight w:val="156"/>
          <w:jc w:val="center"/>
        </w:trPr>
        <w:tc>
          <w:tcPr>
            <w:tcW w:w="5880" w:type="dxa"/>
          </w:tcPr>
          <w:p w14:paraId="30C147CE" w14:textId="77777777" w:rsidR="00931B5B" w:rsidRPr="003C154B" w:rsidRDefault="00931B5B" w:rsidP="006E017F">
            <w:pPr>
              <w:spacing w:line="259" w:lineRule="auto"/>
              <w:jc w:val="both"/>
              <w:rPr>
                <w:rFonts w:ascii="HelveticaNeueLT Std" w:eastAsia="Times New Roman" w:hAnsi="HelveticaNeueLT Std" w:cs="Arial"/>
                <w:lang w:eastAsia="es-ES"/>
              </w:rPr>
            </w:pPr>
            <w:r w:rsidRPr="003C154B">
              <w:rPr>
                <w:rFonts w:ascii="HelveticaNeueLT Std" w:hAnsi="HelveticaNeueLT Std" w:cs="Arial"/>
              </w:rPr>
              <w:br w:type="page"/>
            </w:r>
            <w:proofErr w:type="spellStart"/>
            <w:r w:rsidRPr="003C154B">
              <w:rPr>
                <w:rFonts w:ascii="HelveticaNeueLT Std" w:eastAsia="Arial" w:hAnsi="HelveticaNeueLT Std" w:cs="Arial"/>
                <w:b/>
                <w:lang w:val="en-US" w:eastAsia="en-US"/>
              </w:rPr>
              <w:t>Emisión</w:t>
            </w:r>
            <w:proofErr w:type="spellEnd"/>
          </w:p>
        </w:tc>
        <w:tc>
          <w:tcPr>
            <w:tcW w:w="2315" w:type="dxa"/>
            <w:gridSpan w:val="2"/>
          </w:tcPr>
          <w:p w14:paraId="01EC7AB0" w14:textId="77777777" w:rsidR="00931B5B" w:rsidRPr="003C154B" w:rsidRDefault="00931B5B" w:rsidP="006E017F">
            <w:pPr>
              <w:spacing w:line="259" w:lineRule="auto"/>
              <w:jc w:val="both"/>
              <w:rPr>
                <w:rFonts w:ascii="HelveticaNeueLT Std" w:eastAsia="Times New Roman" w:hAnsi="HelveticaNeueLT Std" w:cs="Arial"/>
                <w:lang w:eastAsia="es-ES"/>
              </w:rPr>
            </w:pPr>
            <w:proofErr w:type="spellStart"/>
            <w:r w:rsidRPr="003C154B">
              <w:rPr>
                <w:rFonts w:ascii="HelveticaNeueLT Std" w:eastAsia="Arial" w:hAnsi="HelveticaNeueLT Std" w:cs="Arial"/>
                <w:b/>
                <w:lang w:val="en-US" w:eastAsia="en-US"/>
              </w:rPr>
              <w:t>Fecha</w:t>
            </w:r>
            <w:proofErr w:type="spellEnd"/>
            <w:r w:rsidRPr="003C154B">
              <w:rPr>
                <w:rFonts w:ascii="HelveticaNeueLT Std" w:eastAsia="Arial" w:hAnsi="HelveticaNeueLT Std" w:cs="Arial"/>
                <w:b/>
                <w:lang w:val="en-US" w:eastAsia="en-US"/>
              </w:rPr>
              <w:t xml:space="preserve"> </w:t>
            </w:r>
            <w:proofErr w:type="spellStart"/>
            <w:r w:rsidRPr="003C154B">
              <w:rPr>
                <w:rFonts w:ascii="HelveticaNeueLT Std" w:eastAsia="Arial" w:hAnsi="HelveticaNeueLT Std" w:cs="Arial"/>
                <w:b/>
                <w:w w:val="95"/>
                <w:lang w:val="en-US" w:eastAsia="en-US"/>
              </w:rPr>
              <w:t>vencimiento</w:t>
            </w:r>
            <w:proofErr w:type="spellEnd"/>
          </w:p>
        </w:tc>
      </w:tr>
      <w:tr w:rsidR="00931B5B" w:rsidRPr="003C154B" w14:paraId="4793EDF4" w14:textId="77777777" w:rsidTr="006E017F">
        <w:trPr>
          <w:trHeight w:val="258"/>
          <w:jc w:val="center"/>
        </w:trPr>
        <w:tc>
          <w:tcPr>
            <w:tcW w:w="5880" w:type="dxa"/>
            <w:vAlign w:val="center"/>
          </w:tcPr>
          <w:p w14:paraId="63D005D4" w14:textId="77777777" w:rsidR="00931B5B" w:rsidRPr="003C154B" w:rsidRDefault="00931B5B" w:rsidP="006E017F">
            <w:pPr>
              <w:spacing w:after="160" w:line="259" w:lineRule="auto"/>
              <w:jc w:val="both"/>
              <w:rPr>
                <w:rFonts w:ascii="HelveticaNeueLT Std" w:eastAsiaTheme="minorHAnsi" w:hAnsi="HelveticaNeueLT Std" w:cs="Arial"/>
                <w:lang w:eastAsia="en-US"/>
              </w:rPr>
            </w:pPr>
            <w:r w:rsidRPr="003C154B">
              <w:rPr>
                <w:rFonts w:ascii="HelveticaNeueLT Std" w:hAnsi="HelveticaNeueLT Std" w:cs="Arial"/>
              </w:rPr>
              <w:t xml:space="preserve">Certificados Bursátiles </w:t>
            </w:r>
            <w:proofErr w:type="spellStart"/>
            <w:r w:rsidRPr="003C154B">
              <w:rPr>
                <w:rFonts w:ascii="HelveticaNeueLT Std" w:hAnsi="HelveticaNeueLT Std" w:cs="Arial"/>
              </w:rPr>
              <w:t>FiduciariosPreferentes</w:t>
            </w:r>
            <w:proofErr w:type="spellEnd"/>
            <w:r w:rsidRPr="003C154B">
              <w:rPr>
                <w:rFonts w:ascii="HelveticaNeueLT Std" w:hAnsi="HelveticaNeueLT Std" w:cs="Arial"/>
              </w:rPr>
              <w:t xml:space="preserve"> Serie A y B</w:t>
            </w:r>
          </w:p>
        </w:tc>
        <w:tc>
          <w:tcPr>
            <w:tcW w:w="2315" w:type="dxa"/>
            <w:gridSpan w:val="2"/>
            <w:vAlign w:val="center"/>
          </w:tcPr>
          <w:p w14:paraId="3E7C74A7" w14:textId="77777777" w:rsidR="00931B5B" w:rsidRPr="003C154B" w:rsidRDefault="00931B5B" w:rsidP="006E017F">
            <w:pPr>
              <w:spacing w:line="259" w:lineRule="auto"/>
              <w:jc w:val="both"/>
              <w:rPr>
                <w:rFonts w:ascii="HelveticaNeueLT Std" w:eastAsia="Times New Roman" w:hAnsi="HelveticaNeueLT Std" w:cs="Arial"/>
                <w:lang w:eastAsia="es-ES"/>
              </w:rPr>
            </w:pPr>
            <w:r w:rsidRPr="003C154B">
              <w:rPr>
                <w:rFonts w:ascii="HelveticaNeueLT Std" w:eastAsia="Arial" w:hAnsi="HelveticaNeueLT Std" w:cs="Arial"/>
                <w:lang w:val="en-US" w:eastAsia="en-US"/>
              </w:rPr>
              <w:t xml:space="preserve">28-feb-22 y </w:t>
            </w:r>
            <w:r w:rsidRPr="003C154B">
              <w:rPr>
                <w:rFonts w:ascii="HelveticaNeueLT Std" w:eastAsia="Arial" w:hAnsi="HelveticaNeueLT Std" w:cs="Arial"/>
                <w:w w:val="105"/>
                <w:lang w:val="en-US" w:eastAsia="en-US"/>
              </w:rPr>
              <w:t>28-ago-22</w:t>
            </w:r>
          </w:p>
        </w:tc>
      </w:tr>
      <w:tr w:rsidR="00931B5B" w:rsidRPr="003C154B" w14:paraId="4E02951B" w14:textId="77777777" w:rsidTr="006E017F">
        <w:trPr>
          <w:trHeight w:val="182"/>
          <w:jc w:val="center"/>
        </w:trPr>
        <w:tc>
          <w:tcPr>
            <w:tcW w:w="5894" w:type="dxa"/>
            <w:gridSpan w:val="2"/>
            <w:vAlign w:val="center"/>
          </w:tcPr>
          <w:p w14:paraId="111C87D4" w14:textId="77777777" w:rsidR="00931B5B" w:rsidRPr="003C154B" w:rsidRDefault="00931B5B" w:rsidP="006E017F">
            <w:pPr>
              <w:spacing w:after="160" w:line="259" w:lineRule="auto"/>
              <w:jc w:val="both"/>
              <w:rPr>
                <w:rFonts w:ascii="HelveticaNeueLT Std" w:eastAsiaTheme="minorHAnsi" w:hAnsi="HelveticaNeueLT Std" w:cs="Arial"/>
                <w:lang w:eastAsia="en-US"/>
              </w:rPr>
            </w:pPr>
            <w:r w:rsidRPr="003C154B">
              <w:rPr>
                <w:rFonts w:ascii="HelveticaNeueLT Std" w:hAnsi="HelveticaNeueLT Std" w:cs="Arial"/>
              </w:rPr>
              <w:t>Certificados Bursátiles Fiduciarios Subordinados denominados en Unidades de Inversión</w:t>
            </w:r>
          </w:p>
        </w:tc>
        <w:tc>
          <w:tcPr>
            <w:tcW w:w="2301" w:type="dxa"/>
            <w:vAlign w:val="center"/>
          </w:tcPr>
          <w:p w14:paraId="0E938FDC" w14:textId="77777777" w:rsidR="00931B5B" w:rsidRPr="003C154B" w:rsidRDefault="00931B5B" w:rsidP="006E017F">
            <w:pPr>
              <w:spacing w:line="259" w:lineRule="auto"/>
              <w:ind w:left="708" w:hanging="708"/>
              <w:jc w:val="both"/>
              <w:rPr>
                <w:rFonts w:ascii="HelveticaNeueLT Std" w:eastAsia="Times New Roman" w:hAnsi="HelveticaNeueLT Std" w:cs="Arial"/>
                <w:lang w:eastAsia="es-ES"/>
              </w:rPr>
            </w:pPr>
            <w:r w:rsidRPr="003C154B">
              <w:rPr>
                <w:rFonts w:ascii="HelveticaNeueLT Std" w:eastAsia="Arial" w:hAnsi="HelveticaNeueLT Std" w:cs="Arial"/>
                <w:lang w:val="en-US" w:eastAsia="en-US"/>
              </w:rPr>
              <w:t>29-mar-22 y 28-sep-22</w:t>
            </w:r>
          </w:p>
        </w:tc>
      </w:tr>
    </w:tbl>
    <w:p w14:paraId="541F10C3" w14:textId="77777777" w:rsidR="00931B5B" w:rsidRPr="003C154B" w:rsidRDefault="00931B5B" w:rsidP="00931B5B">
      <w:pPr>
        <w:spacing w:line="259" w:lineRule="auto"/>
        <w:jc w:val="both"/>
        <w:rPr>
          <w:rFonts w:cs="Arial"/>
        </w:rPr>
      </w:pPr>
    </w:p>
    <w:p w14:paraId="1B7EAFA4" w14:textId="77777777" w:rsidR="001E3DFE" w:rsidRDefault="001E3DFE">
      <w:pPr>
        <w:spacing w:line="259" w:lineRule="auto"/>
        <w:rPr>
          <w:rFonts w:cs="Arial"/>
        </w:rPr>
      </w:pPr>
      <w:r>
        <w:rPr>
          <w:rFonts w:cs="Arial"/>
        </w:rPr>
        <w:br w:type="page"/>
      </w:r>
    </w:p>
    <w:p w14:paraId="46D2EE84" w14:textId="18915BE2" w:rsidR="00931B5B" w:rsidRPr="003C154B" w:rsidRDefault="00931B5B" w:rsidP="00931B5B">
      <w:pPr>
        <w:spacing w:line="259" w:lineRule="auto"/>
        <w:jc w:val="both"/>
        <w:rPr>
          <w:rFonts w:cs="Arial"/>
        </w:rPr>
      </w:pPr>
      <w:r w:rsidRPr="003C154B">
        <w:rPr>
          <w:rFonts w:cs="Arial"/>
        </w:rPr>
        <w:t xml:space="preserve">Los pagos de intereses más la amortización de capital por los cupones programados se observan en el siguiente cuadro:  </w:t>
      </w:r>
    </w:p>
    <w:p w14:paraId="25152A74" w14:textId="77777777" w:rsidR="00931B5B" w:rsidRPr="003C154B" w:rsidRDefault="00931B5B" w:rsidP="00931B5B">
      <w:pPr>
        <w:spacing w:line="259" w:lineRule="auto"/>
        <w:jc w:val="center"/>
        <w:rPr>
          <w:rFonts w:cs="Arial"/>
        </w:rPr>
      </w:pPr>
      <w:r w:rsidRPr="003C154B">
        <w:rPr>
          <w:noProof/>
          <w:lang w:eastAsia="es-MX"/>
        </w:rPr>
        <w:drawing>
          <wp:inline distT="0" distB="0" distL="0" distR="0" wp14:anchorId="08C5FC9E" wp14:editId="5B569AC0">
            <wp:extent cx="5481422" cy="2349463"/>
            <wp:effectExtent l="0" t="0" r="5080" b="0"/>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5444" cy="2364046"/>
                    </a:xfrm>
                    <a:prstGeom prst="rect">
                      <a:avLst/>
                    </a:prstGeom>
                    <a:noFill/>
                    <a:ln>
                      <a:noFill/>
                    </a:ln>
                  </pic:spPr>
                </pic:pic>
              </a:graphicData>
            </a:graphic>
          </wp:inline>
        </w:drawing>
      </w:r>
    </w:p>
    <w:p w14:paraId="380A5837" w14:textId="77777777" w:rsidR="00931B5B" w:rsidRPr="003C154B" w:rsidRDefault="00931B5B" w:rsidP="00931B5B">
      <w:pPr>
        <w:spacing w:line="259" w:lineRule="auto"/>
        <w:jc w:val="both"/>
        <w:rPr>
          <w:rFonts w:cs="Arial"/>
        </w:rPr>
      </w:pPr>
      <w:r w:rsidRPr="003C154B">
        <w:rPr>
          <w:rFonts w:cs="Arial"/>
        </w:rPr>
        <w:t xml:space="preserve">Las transferencias al Gobierno del Estado de México de los </w:t>
      </w:r>
      <w:proofErr w:type="gramStart"/>
      <w:r w:rsidRPr="003C154B">
        <w:rPr>
          <w:rFonts w:cs="Arial"/>
        </w:rPr>
        <w:t>remanentes</w:t>
      </w:r>
      <w:proofErr w:type="gramEnd"/>
      <w:r w:rsidRPr="003C154B">
        <w:rPr>
          <w:rFonts w:cs="Arial"/>
        </w:rPr>
        <w:t xml:space="preserve"> así como al Fideicomiso de Cobranza, más los intereses generados, se destinan a la inversión productiva de acuerdo a lo establecido en el contrato irrevocable No. 80615 y se han llevado a cabo como sigue: </w:t>
      </w:r>
    </w:p>
    <w:p w14:paraId="7FE71908" w14:textId="77777777" w:rsidR="00931B5B" w:rsidRPr="00543109" w:rsidRDefault="00931B5B" w:rsidP="00931B5B">
      <w:pPr>
        <w:spacing w:line="259" w:lineRule="auto"/>
        <w:jc w:val="center"/>
        <w:rPr>
          <w:rFonts w:cs="Arial"/>
          <w:highlight w:val="yellow"/>
        </w:rPr>
      </w:pPr>
      <w:r w:rsidRPr="000C7AD2">
        <w:rPr>
          <w:noProof/>
          <w:lang w:eastAsia="es-MX"/>
        </w:rPr>
        <w:drawing>
          <wp:inline distT="0" distB="0" distL="0" distR="0" wp14:anchorId="6EF92C7F" wp14:editId="7689AE74">
            <wp:extent cx="5466970" cy="2201545"/>
            <wp:effectExtent l="0" t="0" r="635" b="8255"/>
            <wp:docPr id="520" name="Imagen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3317" cy="2220209"/>
                    </a:xfrm>
                    <a:prstGeom prst="rect">
                      <a:avLst/>
                    </a:prstGeom>
                    <a:noFill/>
                    <a:ln>
                      <a:noFill/>
                    </a:ln>
                  </pic:spPr>
                </pic:pic>
              </a:graphicData>
            </a:graphic>
          </wp:inline>
        </w:drawing>
      </w:r>
    </w:p>
    <w:p w14:paraId="5FB84D0D" w14:textId="40C03ADA" w:rsidR="00931B5B" w:rsidRPr="00543109" w:rsidRDefault="00931B5B" w:rsidP="00931B5B">
      <w:pPr>
        <w:spacing w:line="240" w:lineRule="auto"/>
        <w:jc w:val="both"/>
        <w:rPr>
          <w:rFonts w:eastAsia="Times New Roman" w:cs="Times New Roman"/>
          <w:highlight w:val="yellow"/>
          <w:lang w:eastAsia="es-MX"/>
        </w:rPr>
      </w:pPr>
      <w:r w:rsidRPr="000C7AD2">
        <w:t>*Con relación a los remanentes correspondientes a la distribución 116 en el ejercicio 2020, por la cantidad de $289,495,051.69 y con fundamento en el artículo 265 B bis del Código Financiero del Estado de México de acuerdo con el oficio número 2075002A000000000-730/2020, de fecha 11 de noviembre de 2020, mediante el cual el Subsecretario de Tesorería del Gobierno del Estado de México y el Director General de Crédito, autorizan que los recursos transferidos por Nacional Financiera, S.N.C., por este concepto, fueran destinados para cubrir parte del déficit en el pago de las obligaciones financieras asumidas en el Contrato de Fideicomiso Irrevocable número F/1426, se informa que en el ejercicio 2020</w:t>
      </w:r>
      <w:r w:rsidRPr="000C7AD2">
        <w:rPr>
          <w:rFonts w:eastAsia="Times New Roman" w:cs="Times New Roman"/>
          <w:lang w:eastAsia="es-MX"/>
        </w:rPr>
        <w:t xml:space="preserve"> y en el </w:t>
      </w:r>
      <w:r w:rsidRPr="000C7AD2">
        <w:t xml:space="preserve">mes de marzo 2021, se transfirieron al fideicomiso, para complementar el pago de los Certificados Bursátiles </w:t>
      </w:r>
      <w:r w:rsidRPr="008A6BF7">
        <w:t xml:space="preserve">Fiduciarios Serie Subordinada “C”. Cabe señalar que el total de Remanentes con sus productos, a la fecha han representado la cantidad de </w:t>
      </w:r>
      <w:r w:rsidRPr="008A6BF7">
        <w:rPr>
          <w:rFonts w:eastAsia="Times New Roman" w:cs="Times New Roman"/>
          <w:lang w:eastAsia="es-MX"/>
        </w:rPr>
        <w:t>2,456,808,754.29.</w:t>
      </w:r>
    </w:p>
    <w:p w14:paraId="3C70E362" w14:textId="77777777" w:rsidR="00931B5B" w:rsidRPr="00CC5DF3" w:rsidRDefault="00931B5B" w:rsidP="00931B5B">
      <w:pPr>
        <w:numPr>
          <w:ilvl w:val="0"/>
          <w:numId w:val="2"/>
        </w:numPr>
        <w:spacing w:after="0" w:line="276" w:lineRule="auto"/>
        <w:ind w:left="851" w:right="-1"/>
        <w:contextualSpacing/>
        <w:jc w:val="both"/>
        <w:rPr>
          <w:rFonts w:eastAsia="Times New Roman" w:cs="Times New Roman"/>
          <w:lang w:eastAsia="es-MX"/>
        </w:rPr>
      </w:pPr>
      <w:r w:rsidRPr="00CC5DF3">
        <w:rPr>
          <w:b/>
        </w:rPr>
        <w:t>Calificaciones otorgadas</w:t>
      </w:r>
    </w:p>
    <w:p w14:paraId="51D00383" w14:textId="77777777" w:rsidR="00931B5B" w:rsidRPr="00CC5DF3" w:rsidRDefault="00931B5B" w:rsidP="00931B5B">
      <w:pPr>
        <w:spacing w:before="240" w:line="252" w:lineRule="auto"/>
        <w:ind w:right="423"/>
        <w:contextualSpacing/>
        <w:jc w:val="both"/>
        <w:rPr>
          <w:rFonts w:eastAsia="Times New Roman" w:cs="Times New Roman"/>
          <w:i/>
          <w:lang w:eastAsia="es-MX"/>
        </w:rPr>
      </w:pPr>
    </w:p>
    <w:p w14:paraId="34239B6C" w14:textId="77777777" w:rsidR="00931B5B" w:rsidRPr="00CC5DF3" w:rsidRDefault="00931B5B" w:rsidP="00931B5B">
      <w:pPr>
        <w:spacing w:before="240"/>
        <w:jc w:val="both"/>
      </w:pPr>
      <w:r w:rsidRPr="00CC5DF3">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550E481D" w14:textId="77777777" w:rsidR="00931B5B" w:rsidRPr="00CC5DF3" w:rsidRDefault="00931B5B" w:rsidP="00931B5B">
      <w:pPr>
        <w:numPr>
          <w:ilvl w:val="0"/>
          <w:numId w:val="8"/>
        </w:numPr>
        <w:spacing w:before="240" w:line="252" w:lineRule="auto"/>
        <w:ind w:right="423"/>
        <w:contextualSpacing/>
        <w:jc w:val="both"/>
        <w:rPr>
          <w:rFonts w:eastAsia="Times New Roman" w:cs="Times New Roman"/>
          <w:i/>
          <w:lang w:eastAsia="es-MX"/>
        </w:rPr>
      </w:pPr>
      <w:proofErr w:type="gramStart"/>
      <w:r w:rsidRPr="00CC5DF3">
        <w:rPr>
          <w:rFonts w:eastAsia="Times New Roman" w:cs="Times New Roman"/>
          <w:i/>
          <w:lang w:eastAsia="es-MX"/>
        </w:rPr>
        <w:t>“  S</w:t>
      </w:r>
      <w:proofErr w:type="gramEnd"/>
      <w:r w:rsidRPr="00CC5DF3">
        <w:rPr>
          <w:rFonts w:eastAsia="Times New Roman" w:cs="Times New Roman"/>
          <w:i/>
          <w:lang w:eastAsia="es-MX"/>
        </w:rPr>
        <w:t xml:space="preserve">&amp;P Global Ratings, </w:t>
      </w:r>
      <w:r w:rsidRPr="00CC5DF3">
        <w:rPr>
          <w:i/>
        </w:rPr>
        <w:t>la Calificación de IFREM</w:t>
      </w:r>
    </w:p>
    <w:p w14:paraId="1FF15E1F" w14:textId="77777777" w:rsidR="00931B5B" w:rsidRPr="00CC5DF3" w:rsidRDefault="00931B5B" w:rsidP="00931B5B">
      <w:pPr>
        <w:spacing w:before="240" w:line="252" w:lineRule="auto"/>
        <w:ind w:left="360" w:right="423"/>
        <w:contextualSpacing/>
        <w:jc w:val="both"/>
        <w:rPr>
          <w:rFonts w:eastAsia="Times New Roman" w:cs="Times New Roman"/>
          <w:i/>
          <w:lang w:eastAsia="es-MX"/>
        </w:rPr>
      </w:pPr>
    </w:p>
    <w:p w14:paraId="09B4A016" w14:textId="77777777" w:rsidR="00931B5B" w:rsidRPr="00CC5DF3" w:rsidRDefault="00931B5B" w:rsidP="00931B5B">
      <w:pPr>
        <w:spacing w:before="240" w:line="252" w:lineRule="auto"/>
        <w:ind w:left="567" w:right="423"/>
        <w:contextualSpacing/>
        <w:jc w:val="both"/>
        <w:rPr>
          <w:rFonts w:eastAsia="Times New Roman" w:cs="Times New Roman"/>
          <w:i/>
          <w:lang w:eastAsia="es-MX"/>
        </w:rPr>
      </w:pPr>
      <w:r w:rsidRPr="00CC5DF3">
        <w:rPr>
          <w:rFonts w:eastAsia="Times New Roman" w:cs="Times New Roman"/>
          <w:i/>
          <w:lang w:eastAsia="es-MX"/>
        </w:rPr>
        <w:t>“…El 23 de marzo de 2022, S&amp;P Global Ratings subió su calificación crediticia de emisor de largo plazo en escala nacional –</w:t>
      </w:r>
      <w:proofErr w:type="spellStart"/>
      <w:r w:rsidRPr="00CC5DF3">
        <w:rPr>
          <w:rFonts w:eastAsia="Times New Roman" w:cs="Times New Roman"/>
          <w:i/>
          <w:lang w:eastAsia="es-MX"/>
        </w:rPr>
        <w:t>CaVal</w:t>
      </w:r>
      <w:proofErr w:type="spellEnd"/>
      <w:r w:rsidRPr="00CC5DF3">
        <w:rPr>
          <w:rFonts w:eastAsia="Times New Roman" w:cs="Times New Roman"/>
          <w:i/>
          <w:lang w:eastAsia="es-MX"/>
        </w:rPr>
        <w:t>– de '</w:t>
      </w:r>
      <w:proofErr w:type="spellStart"/>
      <w:r w:rsidRPr="00CC5DF3">
        <w:rPr>
          <w:rFonts w:eastAsia="Times New Roman" w:cs="Times New Roman"/>
          <w:i/>
          <w:lang w:eastAsia="es-MX"/>
        </w:rPr>
        <w:t>mxAA</w:t>
      </w:r>
      <w:proofErr w:type="spellEnd"/>
      <w:r w:rsidRPr="00CC5DF3">
        <w:rPr>
          <w:rFonts w:eastAsia="Times New Roman" w:cs="Times New Roman"/>
          <w:i/>
          <w:lang w:eastAsia="es-MX"/>
        </w:rPr>
        <w:t>-' del Instituto de la Función Registral del Estado de México (IFREM). La perspectiva se mantiene estable.</w:t>
      </w:r>
    </w:p>
    <w:p w14:paraId="716E10C7" w14:textId="77777777" w:rsidR="00931B5B" w:rsidRPr="00CC5DF3" w:rsidRDefault="00931B5B" w:rsidP="00931B5B">
      <w:pPr>
        <w:spacing w:before="240" w:line="252" w:lineRule="auto"/>
        <w:ind w:left="720" w:right="423"/>
        <w:contextualSpacing/>
        <w:jc w:val="both"/>
        <w:rPr>
          <w:rFonts w:eastAsia="Times New Roman" w:cs="Times New Roman"/>
          <w:i/>
          <w:lang w:eastAsia="es-MX"/>
        </w:rPr>
      </w:pPr>
    </w:p>
    <w:p w14:paraId="2686A99E" w14:textId="77777777" w:rsidR="00931B5B" w:rsidRPr="00CC5DF3" w:rsidRDefault="00931B5B" w:rsidP="00931B5B">
      <w:pPr>
        <w:spacing w:line="276" w:lineRule="auto"/>
        <w:ind w:left="567" w:right="423"/>
        <w:contextualSpacing/>
        <w:jc w:val="both"/>
        <w:rPr>
          <w:i/>
        </w:rPr>
      </w:pPr>
      <w:r w:rsidRPr="00CC5DF3">
        <w:rPr>
          <w:i/>
        </w:rPr>
        <w:t>La perspectiva estable de la calificación del IFREM refleja la calificación del Estado de México, así como nuestra expectativa de que, en los próximos 12 a 18 meses, se mantenga la probabilidad casi cierta de apoyo extraordinario del Estado de México al Instituto. Esperamos que mantenga su vínculo integral y rol crítico con el estado que no consideramos este sujeto al riesgo de transiciones en el gobierno, dado el nivel de institucionalización y la solides del marco en el que opera el IFREM.</w:t>
      </w:r>
    </w:p>
    <w:p w14:paraId="1725C7AD" w14:textId="77777777" w:rsidR="00931B5B" w:rsidRPr="00CC5DF3" w:rsidRDefault="00931B5B" w:rsidP="00931B5B">
      <w:pPr>
        <w:spacing w:before="240" w:line="252" w:lineRule="auto"/>
        <w:ind w:left="567" w:right="423"/>
        <w:contextualSpacing/>
        <w:jc w:val="both"/>
        <w:rPr>
          <w:rFonts w:eastAsia="Times New Roman" w:cs="Times New Roman"/>
          <w:i/>
          <w:lang w:eastAsia="es-MX"/>
        </w:rPr>
      </w:pPr>
      <w:r w:rsidRPr="00CC5DF3">
        <w:rPr>
          <w:rFonts w:eastAsia="Times New Roman" w:cs="Times New Roman"/>
          <w:i/>
          <w:lang w:eastAsia="es-MX"/>
        </w:rPr>
        <w:t>“…El 23 de marzo de 2022, S&amp;P Global Ratings, confirmo sus calificaciones de deuda de largo plazo en escala nacional –</w:t>
      </w:r>
      <w:proofErr w:type="spellStart"/>
      <w:r w:rsidRPr="00CC5DF3">
        <w:rPr>
          <w:rFonts w:eastAsia="Times New Roman" w:cs="Times New Roman"/>
          <w:i/>
          <w:lang w:eastAsia="es-MX"/>
        </w:rPr>
        <w:t>CaVal</w:t>
      </w:r>
      <w:proofErr w:type="spellEnd"/>
      <w:r w:rsidRPr="00CC5DF3">
        <w:rPr>
          <w:rFonts w:eastAsia="Times New Roman" w:cs="Times New Roman"/>
          <w:i/>
          <w:lang w:eastAsia="es-MX"/>
        </w:rPr>
        <w:t xml:space="preserve">– de 'masa' de los certificados bursátiles serie A, con clave de pizarra PROIN 10, y serie B, con clave de pizarra PROIN 10-2, del Instituto de la Función Registral del Estado de México (IFREM; </w:t>
      </w:r>
      <w:proofErr w:type="spellStart"/>
      <w:r w:rsidRPr="00CC5DF3">
        <w:rPr>
          <w:rFonts w:eastAsia="Times New Roman" w:cs="Times New Roman"/>
          <w:i/>
          <w:lang w:eastAsia="es-MX"/>
        </w:rPr>
        <w:t>mxAA</w:t>
      </w:r>
      <w:proofErr w:type="spellEnd"/>
      <w:r w:rsidRPr="00CC5DF3">
        <w:rPr>
          <w:rFonts w:eastAsia="Times New Roman" w:cs="Times New Roman"/>
          <w:i/>
          <w:lang w:eastAsia="es-MX"/>
        </w:rPr>
        <w:t>-/Estable/--). Asimismo, confirmamos la calificación de deuda de '</w:t>
      </w:r>
      <w:proofErr w:type="spellStart"/>
      <w:r w:rsidRPr="00CC5DF3">
        <w:rPr>
          <w:rFonts w:eastAsia="Times New Roman" w:cs="Times New Roman"/>
          <w:i/>
          <w:lang w:eastAsia="es-MX"/>
        </w:rPr>
        <w:t>mxAA</w:t>
      </w:r>
      <w:proofErr w:type="spellEnd"/>
      <w:r w:rsidRPr="00CC5DF3">
        <w:rPr>
          <w:rFonts w:eastAsia="Times New Roman" w:cs="Times New Roman"/>
          <w:i/>
          <w:lang w:eastAsia="es-MX"/>
        </w:rPr>
        <w:t>+' del crédito bancario que contrato el IFREM con el Banco Nacional de Obras y Servicios Públicos, S.N.C.(</w:t>
      </w:r>
      <w:proofErr w:type="spellStart"/>
      <w:r w:rsidRPr="00CC5DF3">
        <w:rPr>
          <w:rFonts w:eastAsia="Times New Roman" w:cs="Times New Roman"/>
          <w:i/>
          <w:lang w:eastAsia="es-MX"/>
        </w:rPr>
        <w:t>Banobras</w:t>
      </w:r>
      <w:proofErr w:type="spellEnd"/>
      <w:r w:rsidRPr="00CC5DF3">
        <w:rPr>
          <w:rFonts w:eastAsia="Times New Roman" w:cs="Times New Roman"/>
          <w:i/>
          <w:lang w:eastAsia="es-MX"/>
        </w:rPr>
        <w:t>).</w:t>
      </w:r>
    </w:p>
    <w:p w14:paraId="1F69F0F2" w14:textId="77777777" w:rsidR="00931B5B" w:rsidRPr="00CC5DF3" w:rsidRDefault="00931B5B" w:rsidP="00931B5B">
      <w:pPr>
        <w:spacing w:before="240" w:line="252" w:lineRule="auto"/>
        <w:ind w:left="567" w:right="423"/>
        <w:contextualSpacing/>
        <w:jc w:val="both"/>
        <w:rPr>
          <w:rFonts w:eastAsia="Times New Roman" w:cs="Times New Roman"/>
          <w:i/>
          <w:lang w:eastAsia="es-MX"/>
        </w:rPr>
      </w:pPr>
    </w:p>
    <w:p w14:paraId="3E4D3720" w14:textId="77777777" w:rsidR="00931B5B" w:rsidRPr="00CC5DF3" w:rsidRDefault="00931B5B" w:rsidP="00931B5B">
      <w:pPr>
        <w:numPr>
          <w:ilvl w:val="0"/>
          <w:numId w:val="8"/>
        </w:numPr>
        <w:spacing w:before="240" w:line="252" w:lineRule="auto"/>
        <w:ind w:right="423"/>
        <w:contextualSpacing/>
        <w:jc w:val="both"/>
        <w:rPr>
          <w:i/>
        </w:rPr>
      </w:pPr>
      <w:r w:rsidRPr="00CC5DF3">
        <w:rPr>
          <w:rFonts w:eastAsia="Times New Roman" w:cs="Times New Roman"/>
          <w:i/>
          <w:lang w:eastAsia="es-MX"/>
        </w:rPr>
        <w:t>“</w:t>
      </w:r>
      <w:proofErr w:type="spellStart"/>
      <w:r w:rsidRPr="00CC5DF3">
        <w:rPr>
          <w:i/>
        </w:rPr>
        <w:t>Fitch</w:t>
      </w:r>
      <w:proofErr w:type="spellEnd"/>
      <w:r w:rsidRPr="00CC5DF3">
        <w:rPr>
          <w:i/>
        </w:rPr>
        <w:t xml:space="preserve"> Ratifica la Calificación de IFREM</w:t>
      </w:r>
    </w:p>
    <w:p w14:paraId="33489DD8" w14:textId="77777777" w:rsidR="00931B5B" w:rsidRPr="00CC5DF3" w:rsidRDefault="00931B5B" w:rsidP="00931B5B">
      <w:pPr>
        <w:spacing w:before="240" w:line="252" w:lineRule="auto"/>
        <w:ind w:right="423"/>
        <w:contextualSpacing/>
        <w:jc w:val="both"/>
        <w:rPr>
          <w:i/>
        </w:rPr>
      </w:pPr>
    </w:p>
    <w:p w14:paraId="03DC2B6F" w14:textId="77777777" w:rsidR="00931B5B" w:rsidRPr="00CC5DF3" w:rsidRDefault="00931B5B" w:rsidP="00931B5B">
      <w:pPr>
        <w:spacing w:line="276" w:lineRule="auto"/>
        <w:ind w:left="567" w:right="423"/>
        <w:contextualSpacing/>
        <w:jc w:val="both"/>
        <w:rPr>
          <w:i/>
        </w:rPr>
      </w:pPr>
      <w:proofErr w:type="spellStart"/>
      <w:r w:rsidRPr="00CC5DF3">
        <w:rPr>
          <w:i/>
        </w:rPr>
        <w:t>Tue</w:t>
      </w:r>
      <w:proofErr w:type="spellEnd"/>
      <w:r w:rsidRPr="00CC5DF3">
        <w:rPr>
          <w:i/>
        </w:rPr>
        <w:t xml:space="preserve"> 16 de </w:t>
      </w:r>
      <w:proofErr w:type="spellStart"/>
      <w:r w:rsidRPr="00CC5DF3">
        <w:rPr>
          <w:i/>
        </w:rPr>
        <w:t>Aug</w:t>
      </w:r>
      <w:proofErr w:type="spellEnd"/>
      <w:r w:rsidRPr="00CC5DF3">
        <w:rPr>
          <w:i/>
        </w:rPr>
        <w:t xml:space="preserve"> de 2022-14:58 ET</w:t>
      </w:r>
    </w:p>
    <w:p w14:paraId="307AEB23" w14:textId="77777777" w:rsidR="00931B5B" w:rsidRPr="00CC5DF3" w:rsidRDefault="00931B5B" w:rsidP="00931B5B">
      <w:pPr>
        <w:spacing w:line="276" w:lineRule="auto"/>
        <w:ind w:left="567" w:right="423"/>
        <w:contextualSpacing/>
        <w:jc w:val="both"/>
        <w:rPr>
          <w:i/>
        </w:rPr>
      </w:pPr>
      <w:proofErr w:type="spellStart"/>
      <w:r w:rsidRPr="00CC5DF3">
        <w:rPr>
          <w:i/>
        </w:rPr>
        <w:t>Fitch</w:t>
      </w:r>
      <w:proofErr w:type="spellEnd"/>
      <w:r w:rsidRPr="00CC5DF3">
        <w:rPr>
          <w:i/>
        </w:rPr>
        <w:t xml:space="preserve"> Ratings –México City-16 </w:t>
      </w:r>
      <w:proofErr w:type="spellStart"/>
      <w:r w:rsidRPr="00CC5DF3">
        <w:rPr>
          <w:i/>
        </w:rPr>
        <w:t>Aug</w:t>
      </w:r>
      <w:proofErr w:type="spellEnd"/>
      <w:r w:rsidRPr="00CC5DF3">
        <w:rPr>
          <w:i/>
        </w:rPr>
        <w:t xml:space="preserve"> 2022: </w:t>
      </w:r>
      <w:proofErr w:type="spellStart"/>
      <w:r w:rsidRPr="00CC5DF3">
        <w:rPr>
          <w:i/>
        </w:rPr>
        <w:t>Fitch</w:t>
      </w:r>
      <w:proofErr w:type="spellEnd"/>
      <w:r w:rsidRPr="00CC5DF3">
        <w:rPr>
          <w:i/>
        </w:rPr>
        <w:t xml:space="preserve"> Ratings ratificó en 'AAA(</w:t>
      </w:r>
      <w:proofErr w:type="spellStart"/>
      <w:r w:rsidRPr="00CC5DF3">
        <w:rPr>
          <w:i/>
        </w:rPr>
        <w:t>mex</w:t>
      </w:r>
      <w:proofErr w:type="spellEnd"/>
      <w:r w:rsidRPr="00CC5DF3">
        <w:rPr>
          <w:i/>
        </w:rPr>
        <w:t>)</w:t>
      </w:r>
      <w:proofErr w:type="spellStart"/>
      <w:r w:rsidRPr="00CC5DF3">
        <w:rPr>
          <w:i/>
        </w:rPr>
        <w:t>vra</w:t>
      </w:r>
      <w:proofErr w:type="spellEnd"/>
      <w:r w:rsidRPr="00CC5DF3">
        <w:rPr>
          <w:i/>
        </w:rPr>
        <w:t xml:space="preserve">' las </w:t>
      </w:r>
      <w:proofErr w:type="spellStart"/>
      <w:r w:rsidRPr="00CC5DF3">
        <w:rPr>
          <w:i/>
        </w:rPr>
        <w:t>calificaciónes</w:t>
      </w:r>
      <w:proofErr w:type="spellEnd"/>
      <w:r w:rsidRPr="00CC5DF3">
        <w:rPr>
          <w:i/>
        </w:rPr>
        <w:t xml:space="preserve"> específicas de los </w:t>
      </w:r>
      <w:proofErr w:type="spellStart"/>
      <w:r w:rsidRPr="00CC5DF3">
        <w:rPr>
          <w:i/>
        </w:rPr>
        <w:t>financiamentos</w:t>
      </w:r>
      <w:proofErr w:type="spellEnd"/>
      <w:r w:rsidRPr="00CC5DF3">
        <w:rPr>
          <w:i/>
        </w:rPr>
        <w:t xml:space="preserve"> que integran la deuda directa del Instituto de la Función Registral del Estado de México (IFREM).</w:t>
      </w:r>
      <w:r w:rsidRPr="00CC5DF3">
        <w:t xml:space="preserve"> </w:t>
      </w:r>
      <w:r w:rsidRPr="00CC5DF3">
        <w:rPr>
          <w:i/>
        </w:rPr>
        <w:t>[AA+(</w:t>
      </w:r>
      <w:proofErr w:type="spellStart"/>
      <w:r w:rsidRPr="00CC5DF3">
        <w:rPr>
          <w:i/>
        </w:rPr>
        <w:t>mex</w:t>
      </w:r>
      <w:proofErr w:type="spellEnd"/>
      <w:r w:rsidRPr="00CC5DF3">
        <w:rPr>
          <w:i/>
        </w:rPr>
        <w:t>)].</w:t>
      </w:r>
      <w:r w:rsidRPr="00CC5DF3">
        <w:t xml:space="preserve"> </w:t>
      </w:r>
      <w:r w:rsidRPr="00CC5DF3">
        <w:rPr>
          <w:i/>
        </w:rPr>
        <w:t>como se detalla a continuación (saldos al cierre de 2021):</w:t>
      </w:r>
    </w:p>
    <w:p w14:paraId="769B5ED3" w14:textId="77777777" w:rsidR="00931B5B" w:rsidRPr="00CC5DF3" w:rsidRDefault="00931B5B" w:rsidP="00931B5B">
      <w:pPr>
        <w:spacing w:line="276" w:lineRule="auto"/>
        <w:ind w:left="567" w:right="423"/>
        <w:contextualSpacing/>
        <w:jc w:val="both"/>
        <w:rPr>
          <w:i/>
        </w:rPr>
      </w:pPr>
    </w:p>
    <w:p w14:paraId="4191BEEF" w14:textId="77777777" w:rsidR="00931B5B" w:rsidRPr="00CC5DF3" w:rsidRDefault="00931B5B" w:rsidP="00931B5B">
      <w:pPr>
        <w:spacing w:line="276" w:lineRule="auto"/>
        <w:ind w:left="567" w:right="423"/>
        <w:contextualSpacing/>
        <w:jc w:val="both"/>
        <w:rPr>
          <w:i/>
        </w:rPr>
      </w:pPr>
      <w:r w:rsidRPr="00CC5DF3">
        <w:rPr>
          <w:i/>
        </w:rPr>
        <w:t>--Emisión PROIN 10, monto inicial: MXN2,765 millones y saldo de MXN1,842.2 millones;</w:t>
      </w:r>
    </w:p>
    <w:p w14:paraId="0F56C173" w14:textId="77777777" w:rsidR="00931B5B" w:rsidRPr="00CC5DF3" w:rsidRDefault="00931B5B" w:rsidP="00931B5B">
      <w:pPr>
        <w:spacing w:line="276" w:lineRule="auto"/>
        <w:ind w:left="567" w:right="423"/>
        <w:contextualSpacing/>
        <w:jc w:val="both"/>
        <w:rPr>
          <w:i/>
        </w:rPr>
      </w:pPr>
      <w:r w:rsidRPr="00CC5DF3">
        <w:rPr>
          <w:i/>
        </w:rPr>
        <w:t>--Emisión PROIN 10-2, monto inicial de MXN1,300 millones y saldo MXN866.1 millones;</w:t>
      </w:r>
    </w:p>
    <w:p w14:paraId="0E481E77" w14:textId="77777777" w:rsidR="00931B5B" w:rsidRPr="00CC5DF3" w:rsidRDefault="00931B5B" w:rsidP="00931B5B">
      <w:pPr>
        <w:spacing w:line="276" w:lineRule="auto"/>
        <w:ind w:left="567" w:right="423"/>
        <w:contextualSpacing/>
        <w:jc w:val="both"/>
        <w:rPr>
          <w:i/>
        </w:rPr>
      </w:pPr>
      <w:r w:rsidRPr="00CC5DF3">
        <w:rPr>
          <w:i/>
        </w:rPr>
        <w:t xml:space="preserve">--Crédito </w:t>
      </w:r>
      <w:proofErr w:type="spellStart"/>
      <w:r w:rsidRPr="00CC5DF3">
        <w:rPr>
          <w:i/>
        </w:rPr>
        <w:t>Banobras</w:t>
      </w:r>
      <w:proofErr w:type="spellEnd"/>
      <w:r w:rsidRPr="00CC5DF3">
        <w:rPr>
          <w:i/>
        </w:rPr>
        <w:t xml:space="preserve"> 11 monto inicial de 654.2 millones de unidades de inversión (</w:t>
      </w:r>
      <w:proofErr w:type="spellStart"/>
      <w:r w:rsidRPr="00CC5DF3">
        <w:rPr>
          <w:i/>
        </w:rPr>
        <w:t>Udis</w:t>
      </w:r>
      <w:proofErr w:type="spellEnd"/>
      <w:r w:rsidRPr="00CC5DF3">
        <w:rPr>
          <w:i/>
        </w:rPr>
        <w:t xml:space="preserve">) y saldo: 460.2 millones de </w:t>
      </w:r>
      <w:proofErr w:type="spellStart"/>
      <w:r w:rsidRPr="00CC5DF3">
        <w:rPr>
          <w:i/>
        </w:rPr>
        <w:t>Udis</w:t>
      </w:r>
      <w:proofErr w:type="spellEnd"/>
      <w:r w:rsidRPr="00CC5DF3">
        <w:rPr>
          <w:i/>
        </w:rPr>
        <w:t>.</w:t>
      </w:r>
    </w:p>
    <w:p w14:paraId="7FC56BDB" w14:textId="77777777" w:rsidR="00931B5B" w:rsidRPr="00CC5DF3" w:rsidRDefault="00931B5B" w:rsidP="00931B5B">
      <w:pPr>
        <w:spacing w:line="276" w:lineRule="auto"/>
        <w:ind w:right="423"/>
        <w:contextualSpacing/>
        <w:jc w:val="both"/>
        <w:rPr>
          <w:i/>
        </w:rPr>
      </w:pPr>
      <w:r w:rsidRPr="00CC5DF3">
        <w:rPr>
          <w:i/>
        </w:rPr>
        <w:t xml:space="preserve">  </w:t>
      </w:r>
    </w:p>
    <w:p w14:paraId="53C7AC57" w14:textId="77777777" w:rsidR="00931B5B" w:rsidRPr="00CC5DF3" w:rsidRDefault="00931B5B" w:rsidP="00931B5B">
      <w:pPr>
        <w:spacing w:line="276" w:lineRule="auto"/>
        <w:ind w:left="567" w:right="423"/>
        <w:contextualSpacing/>
        <w:jc w:val="both"/>
        <w:rPr>
          <w:i/>
        </w:rPr>
      </w:pPr>
      <w:proofErr w:type="spellStart"/>
      <w:r w:rsidRPr="00CC5DF3">
        <w:rPr>
          <w:i/>
        </w:rPr>
        <w:t>Fitch</w:t>
      </w:r>
      <w:proofErr w:type="spellEnd"/>
      <w:r w:rsidRPr="00CC5DF3">
        <w:rPr>
          <w:i/>
        </w:rPr>
        <w:t xml:space="preserve"> Ratings-México City- 16 </w:t>
      </w:r>
      <w:proofErr w:type="spellStart"/>
      <w:r w:rsidRPr="00CC5DF3">
        <w:rPr>
          <w:i/>
        </w:rPr>
        <w:t>Aug</w:t>
      </w:r>
      <w:proofErr w:type="spellEnd"/>
      <w:r w:rsidRPr="00CC5DF3">
        <w:rPr>
          <w:i/>
        </w:rPr>
        <w:t xml:space="preserve"> 2022: </w:t>
      </w:r>
      <w:proofErr w:type="spellStart"/>
      <w:r w:rsidRPr="00CC5DF3">
        <w:rPr>
          <w:i/>
        </w:rPr>
        <w:t>Fitch</w:t>
      </w:r>
      <w:proofErr w:type="spellEnd"/>
      <w:r w:rsidRPr="00CC5DF3">
        <w:rPr>
          <w:i/>
        </w:rPr>
        <w:t xml:space="preserve"> Ratings afirmó en ´AA+(</w:t>
      </w:r>
      <w:proofErr w:type="spellStart"/>
      <w:r w:rsidRPr="00CC5DF3">
        <w:rPr>
          <w:i/>
        </w:rPr>
        <w:t>mex</w:t>
      </w:r>
      <w:proofErr w:type="spellEnd"/>
      <w:r w:rsidRPr="00CC5DF3">
        <w:rPr>
          <w:i/>
        </w:rPr>
        <w:t>)´ la calificación de la calidad crediticia del Instituto de la Función Registral del Estado de México (IFREM). La perspectiva es Estable.</w:t>
      </w:r>
    </w:p>
    <w:p w14:paraId="2E2B6225" w14:textId="77777777" w:rsidR="00931B5B" w:rsidRPr="00CC5DF3" w:rsidRDefault="00931B5B" w:rsidP="00931B5B">
      <w:pPr>
        <w:spacing w:line="259" w:lineRule="auto"/>
        <w:rPr>
          <w:i/>
        </w:rPr>
      </w:pPr>
    </w:p>
    <w:p w14:paraId="5160E56E" w14:textId="77777777" w:rsidR="00931B5B" w:rsidRPr="00CC5DF3" w:rsidRDefault="00C21DB7" w:rsidP="00931B5B">
      <w:pPr>
        <w:spacing w:line="259" w:lineRule="auto"/>
        <w:rPr>
          <w:i/>
        </w:rPr>
      </w:pPr>
      <w:hyperlink r:id="rId31" w:history="1">
        <w:r w:rsidR="00931B5B" w:rsidRPr="00CC5DF3">
          <w:rPr>
            <w:rStyle w:val="Hipervnculo"/>
            <w:i/>
          </w:rPr>
          <w:t>https://bmv.com.mx/docs-pub/eventoca/eventoca_1174324_2.pdf</w:t>
        </w:r>
      </w:hyperlink>
    </w:p>
    <w:p w14:paraId="0D4E8B73" w14:textId="77777777" w:rsidR="00931B5B" w:rsidRPr="00CC5DF3" w:rsidRDefault="00C21DB7" w:rsidP="00931B5B">
      <w:pPr>
        <w:spacing w:line="259" w:lineRule="auto"/>
        <w:rPr>
          <w:i/>
        </w:rPr>
      </w:pPr>
      <w:hyperlink r:id="rId32" w:history="1">
        <w:r w:rsidR="00931B5B" w:rsidRPr="00CC5DF3">
          <w:rPr>
            <w:rStyle w:val="Hipervnculo"/>
            <w:i/>
          </w:rPr>
          <w:t>https://www.fitchratings.com/research/es/international-public-finance/fitch-affirms-ifrems-loans-at-aaa-mex-vra-16-08-2022</w:t>
        </w:r>
      </w:hyperlink>
    </w:p>
    <w:p w14:paraId="19487021" w14:textId="77777777" w:rsidR="00931B5B" w:rsidRPr="00CC5DF3" w:rsidRDefault="00931B5B" w:rsidP="00931B5B">
      <w:pPr>
        <w:numPr>
          <w:ilvl w:val="0"/>
          <w:numId w:val="2"/>
        </w:numPr>
        <w:spacing w:after="0" w:line="276" w:lineRule="auto"/>
        <w:ind w:left="851" w:right="-1"/>
        <w:contextualSpacing/>
        <w:jc w:val="both"/>
        <w:rPr>
          <w:b/>
        </w:rPr>
      </w:pPr>
      <w:r w:rsidRPr="00CC5DF3">
        <w:rPr>
          <w:b/>
        </w:rPr>
        <w:t>Proceso de Mejora</w:t>
      </w:r>
    </w:p>
    <w:p w14:paraId="0B02620E" w14:textId="77777777" w:rsidR="00931B5B" w:rsidRPr="00CC5DF3" w:rsidRDefault="00931B5B" w:rsidP="00931B5B">
      <w:pPr>
        <w:spacing w:before="240" w:line="276" w:lineRule="auto"/>
        <w:ind w:right="-1"/>
        <w:jc w:val="both"/>
      </w:pPr>
      <w:r w:rsidRPr="00CC5DF3">
        <w:t xml:space="preserve">En enero de 2020 la Unidad de Informática del IFREM, obtuvo la certificación en </w:t>
      </w:r>
      <w:r w:rsidRPr="00CC5DF3">
        <w:rPr>
          <w:b/>
        </w:rPr>
        <w:t>ISO/IEC 27001:2013</w:t>
      </w:r>
      <w:r w:rsidRPr="00CC5DF3">
        <w:t>, Sistema de Gestión de Seguridad de la Información (SGSI).</w:t>
      </w:r>
    </w:p>
    <w:p w14:paraId="7578722C" w14:textId="77777777" w:rsidR="00931B5B" w:rsidRPr="00CC5DF3" w:rsidRDefault="00931B5B" w:rsidP="00931B5B">
      <w:pPr>
        <w:spacing w:before="240" w:line="276" w:lineRule="auto"/>
        <w:ind w:left="708" w:right="-1"/>
        <w:jc w:val="both"/>
      </w:pPr>
      <w:r w:rsidRPr="00CC5DF3">
        <w:t xml:space="preserve">En abril de 2022, fue aceptada la propuesta denominada </w:t>
      </w:r>
      <w:r w:rsidRPr="00CC5DF3">
        <w:rPr>
          <w:b/>
        </w:rPr>
        <w:t xml:space="preserve">“Sistema de Gestión de Seguridad de la Información Basada en la Norma Internacional ISO IEC 27001”, </w:t>
      </w:r>
      <w:r w:rsidRPr="00CC5DF3">
        <w:t xml:space="preserve">remitida al </w:t>
      </w:r>
      <w:proofErr w:type="gramStart"/>
      <w:r w:rsidRPr="00CC5DF3">
        <w:t>“ Catálogo</w:t>
      </w:r>
      <w:proofErr w:type="gramEnd"/>
      <w:r w:rsidRPr="00CC5DF3">
        <w:t xml:space="preserve"> de Mejores Prácticas de la Administración Pública Estatal 2021”, por el IFREM </w:t>
      </w:r>
      <w:r w:rsidRPr="00CC5DF3">
        <w:rPr>
          <w:b/>
        </w:rPr>
        <w:t xml:space="preserve"> </w:t>
      </w:r>
    </w:p>
    <w:p w14:paraId="28C0FFF1" w14:textId="77777777" w:rsidR="00931B5B" w:rsidRPr="00CC5DF3" w:rsidRDefault="00931B5B" w:rsidP="00931B5B">
      <w:pPr>
        <w:spacing w:before="240" w:line="276" w:lineRule="auto"/>
        <w:ind w:right="-1"/>
        <w:jc w:val="both"/>
      </w:pPr>
      <w:r w:rsidRPr="00CC5DF3">
        <w:t xml:space="preserve">A la fecha el Instituto ha mantenido la certificación bajo la norma </w:t>
      </w:r>
      <w:r w:rsidRPr="00CC5DF3">
        <w:rPr>
          <w:b/>
        </w:rPr>
        <w:t>ISO 9001:2015</w:t>
      </w:r>
      <w:r w:rsidRPr="00CC5DF3">
        <w:t>, se encuentra inmerso en el proceso de mejora continua y sigue modernizando sus procesos.</w:t>
      </w:r>
    </w:p>
    <w:p w14:paraId="0F278111" w14:textId="77777777" w:rsidR="00931B5B" w:rsidRPr="00CC5DF3" w:rsidRDefault="00931B5B" w:rsidP="00931B5B">
      <w:pPr>
        <w:spacing w:line="276" w:lineRule="auto"/>
        <w:ind w:right="-1"/>
        <w:jc w:val="both"/>
      </w:pPr>
      <w:r w:rsidRPr="00CC5DF3">
        <w:t xml:space="preserve">El Estado de México ha pasado a mostrar un avance sobresaliente en la clasificación </w:t>
      </w:r>
      <w:proofErr w:type="spellStart"/>
      <w:r w:rsidRPr="00CC5DF3">
        <w:rPr>
          <w:b/>
        </w:rPr>
        <w:t>Doing</w:t>
      </w:r>
      <w:proofErr w:type="spellEnd"/>
      <w:r w:rsidRPr="00CC5DF3">
        <w:rPr>
          <w:b/>
        </w:rPr>
        <w:t xml:space="preserve"> Business en México</w:t>
      </w:r>
      <w:r w:rsidRPr="00CC5DF3">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798F2BB5" w14:textId="77777777" w:rsidR="00931B5B" w:rsidRPr="00CC5DF3" w:rsidRDefault="00931B5B" w:rsidP="00931B5B">
      <w:pPr>
        <w:numPr>
          <w:ilvl w:val="0"/>
          <w:numId w:val="2"/>
        </w:numPr>
        <w:spacing w:after="0" w:line="276" w:lineRule="auto"/>
        <w:ind w:left="851" w:right="-1"/>
        <w:contextualSpacing/>
        <w:jc w:val="both"/>
        <w:rPr>
          <w:b/>
        </w:rPr>
      </w:pPr>
      <w:r w:rsidRPr="00CC5DF3">
        <w:rPr>
          <w:rFonts w:eastAsia="Times New Roman"/>
          <w:b/>
          <w:lang w:eastAsia="es-MX"/>
        </w:rPr>
        <w:t>Información por Segmentos</w:t>
      </w:r>
    </w:p>
    <w:p w14:paraId="048CCA59" w14:textId="77777777" w:rsidR="00931B5B" w:rsidRPr="00CC5DF3" w:rsidRDefault="00931B5B" w:rsidP="00931B5B">
      <w:pPr>
        <w:spacing w:after="0" w:line="276" w:lineRule="auto"/>
        <w:ind w:left="567" w:right="-1"/>
        <w:contextualSpacing/>
        <w:jc w:val="both"/>
        <w:rPr>
          <w:rFonts w:eastAsia="Times New Roman"/>
          <w:b/>
          <w:lang w:eastAsia="es-MX"/>
        </w:rPr>
      </w:pPr>
    </w:p>
    <w:p w14:paraId="283B7B18" w14:textId="77777777" w:rsidR="00931B5B" w:rsidRPr="00CC5DF3" w:rsidRDefault="00931B5B" w:rsidP="00931B5B">
      <w:pPr>
        <w:spacing w:line="276" w:lineRule="auto"/>
        <w:ind w:right="-1"/>
        <w:jc w:val="both"/>
        <w:rPr>
          <w:bCs/>
        </w:rPr>
      </w:pPr>
      <w:r w:rsidRPr="00CC5DF3">
        <w:rPr>
          <w:bCs/>
        </w:rPr>
        <w:t>El Instituto no cuenta con información por segmentos.</w:t>
      </w:r>
    </w:p>
    <w:p w14:paraId="0CEE1B7E" w14:textId="77777777" w:rsidR="00931B5B" w:rsidRPr="00CC5DF3" w:rsidRDefault="00931B5B" w:rsidP="00931B5B">
      <w:pPr>
        <w:numPr>
          <w:ilvl w:val="0"/>
          <w:numId w:val="2"/>
        </w:numPr>
        <w:spacing w:after="0" w:line="276" w:lineRule="auto"/>
        <w:ind w:left="851" w:right="-1"/>
        <w:contextualSpacing/>
        <w:jc w:val="both"/>
        <w:rPr>
          <w:b/>
        </w:rPr>
      </w:pPr>
      <w:r w:rsidRPr="00CC5DF3">
        <w:rPr>
          <w:b/>
        </w:rPr>
        <w:t>Eventos Posteriores al Cierre</w:t>
      </w:r>
    </w:p>
    <w:p w14:paraId="25A16719" w14:textId="77777777" w:rsidR="00931B5B" w:rsidRPr="00CC5DF3" w:rsidRDefault="00931B5B" w:rsidP="00931B5B">
      <w:pPr>
        <w:spacing w:after="0" w:line="276" w:lineRule="auto"/>
        <w:ind w:right="-1"/>
        <w:jc w:val="both"/>
        <w:rPr>
          <w:bCs/>
        </w:rPr>
      </w:pPr>
    </w:p>
    <w:p w14:paraId="3BFCF802" w14:textId="77777777" w:rsidR="00931B5B" w:rsidRPr="00CC5DF3" w:rsidRDefault="00931B5B" w:rsidP="00931B5B">
      <w:pPr>
        <w:spacing w:line="276" w:lineRule="auto"/>
        <w:ind w:right="-1"/>
        <w:jc w:val="both"/>
      </w:pPr>
      <w:r w:rsidRPr="00CC5DF3">
        <w:t>El Instituto no presenta eventos posteriores al cierre que pudieran tener un efecto importante en su situación financiera y resultados de operación futuros.</w:t>
      </w:r>
    </w:p>
    <w:p w14:paraId="72C33AF7" w14:textId="77777777" w:rsidR="00931B5B" w:rsidRPr="00CC5DF3" w:rsidRDefault="00931B5B" w:rsidP="00931B5B">
      <w:pPr>
        <w:numPr>
          <w:ilvl w:val="0"/>
          <w:numId w:val="2"/>
        </w:numPr>
        <w:spacing w:after="0" w:line="276" w:lineRule="auto"/>
        <w:ind w:left="851" w:right="-1"/>
        <w:contextualSpacing/>
        <w:jc w:val="both"/>
        <w:rPr>
          <w:b/>
        </w:rPr>
      </w:pPr>
      <w:r w:rsidRPr="00CC5DF3">
        <w:rPr>
          <w:b/>
        </w:rPr>
        <w:t>Partes Relacionadas</w:t>
      </w:r>
    </w:p>
    <w:p w14:paraId="46BA188E" w14:textId="77777777" w:rsidR="00931B5B" w:rsidRPr="00CC5DF3" w:rsidRDefault="00931B5B" w:rsidP="00931B5B">
      <w:pPr>
        <w:spacing w:after="0" w:line="276" w:lineRule="auto"/>
        <w:ind w:right="-1"/>
        <w:jc w:val="both"/>
        <w:rPr>
          <w:bCs/>
        </w:rPr>
      </w:pPr>
    </w:p>
    <w:p w14:paraId="6C4CDF1E" w14:textId="77777777" w:rsidR="00931B5B" w:rsidRPr="00CC5DF3" w:rsidRDefault="00931B5B" w:rsidP="00931B5B">
      <w:pPr>
        <w:spacing w:line="276" w:lineRule="auto"/>
        <w:ind w:right="-1"/>
        <w:jc w:val="both"/>
        <w:rPr>
          <w:rFonts w:cs="Arial"/>
        </w:rPr>
      </w:pPr>
      <w:r w:rsidRPr="00CC5DF3">
        <w:rPr>
          <w:rFonts w:cs="Arial"/>
        </w:rPr>
        <w:t>No existen partes relacionadas que pudieran ejercer influencia significativa sobre la toma de decisiones financieras y operativas en este Instituto.</w:t>
      </w:r>
    </w:p>
    <w:p w14:paraId="5C187270" w14:textId="77777777" w:rsidR="00931B5B" w:rsidRPr="00CC5DF3" w:rsidRDefault="00931B5B" w:rsidP="00931B5B">
      <w:pPr>
        <w:numPr>
          <w:ilvl w:val="0"/>
          <w:numId w:val="2"/>
        </w:numPr>
        <w:spacing w:after="0" w:line="276" w:lineRule="auto"/>
        <w:ind w:left="851" w:right="-1"/>
        <w:contextualSpacing/>
        <w:jc w:val="both"/>
        <w:rPr>
          <w:b/>
        </w:rPr>
      </w:pPr>
      <w:r w:rsidRPr="00CC5DF3">
        <w:rPr>
          <w:b/>
        </w:rPr>
        <w:t>Responsabilidad Sobre la Presentación Razonable de los Estados Financieros</w:t>
      </w:r>
    </w:p>
    <w:p w14:paraId="30EB2C4C" w14:textId="77777777" w:rsidR="00931B5B" w:rsidRPr="00CC5DF3" w:rsidRDefault="00931B5B" w:rsidP="00931B5B">
      <w:pPr>
        <w:spacing w:after="0" w:line="276" w:lineRule="auto"/>
        <w:ind w:left="851" w:right="-1"/>
        <w:contextualSpacing/>
        <w:jc w:val="both"/>
        <w:rPr>
          <w:b/>
        </w:rPr>
      </w:pPr>
    </w:p>
    <w:p w14:paraId="490F31E1" w14:textId="77777777" w:rsidR="00931B5B" w:rsidRPr="00CC5DF3" w:rsidRDefault="00931B5B" w:rsidP="00931B5B">
      <w:pPr>
        <w:spacing w:line="276" w:lineRule="auto"/>
        <w:ind w:right="-1"/>
        <w:jc w:val="both"/>
        <w:rPr>
          <w:rFonts w:cs="Arial"/>
        </w:rPr>
      </w:pPr>
      <w:r w:rsidRPr="00CC5DF3">
        <w:rPr>
          <w:rFonts w:cs="Arial"/>
        </w:rPr>
        <w:t>“Bajo protesta de decir verdad declaramos que los Estados Financieros y sus Notas, son razonablemente correctos y son responsabilidad del emisor”.</w:t>
      </w:r>
    </w:p>
    <w:p w14:paraId="66F96F82" w14:textId="77777777" w:rsidR="00931B5B" w:rsidRPr="00CC5DF3" w:rsidRDefault="00931B5B" w:rsidP="00931B5B">
      <w:pPr>
        <w:spacing w:line="276" w:lineRule="auto"/>
        <w:ind w:right="-1"/>
        <w:jc w:val="center"/>
        <w:rPr>
          <w:rFonts w:eastAsia="Times New Roman" w:cs="Arial"/>
          <w:b/>
          <w:lang w:eastAsia="es-MX"/>
        </w:rPr>
      </w:pPr>
      <w:r w:rsidRPr="00CC5DF3">
        <w:rPr>
          <w:rFonts w:eastAsia="Times New Roman" w:cs="Arial"/>
          <w:b/>
          <w:lang w:eastAsia="es-MX"/>
        </w:rPr>
        <w:t>Firmas</w:t>
      </w:r>
    </w:p>
    <w:tbl>
      <w:tblPr>
        <w:tblStyle w:val="Tablaconcuadrcula31111"/>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9"/>
        <w:gridCol w:w="3548"/>
      </w:tblGrid>
      <w:tr w:rsidR="00931B5B" w:rsidRPr="00004A4C" w14:paraId="01B2420C" w14:textId="77777777" w:rsidTr="006E017F">
        <w:trPr>
          <w:trHeight w:val="617"/>
        </w:trPr>
        <w:tc>
          <w:tcPr>
            <w:tcW w:w="3119" w:type="dxa"/>
          </w:tcPr>
          <w:p w14:paraId="0A37C837" w14:textId="77777777" w:rsidR="00931B5B" w:rsidRPr="00CC5DF3" w:rsidRDefault="00931B5B" w:rsidP="006E017F">
            <w:pPr>
              <w:spacing w:line="276" w:lineRule="auto"/>
              <w:ind w:right="-1"/>
              <w:jc w:val="both"/>
              <w:rPr>
                <w:rFonts w:cs="Arial"/>
                <w:sz w:val="16"/>
                <w:szCs w:val="16"/>
              </w:rPr>
            </w:pPr>
          </w:p>
          <w:p w14:paraId="19088E5F" w14:textId="77777777" w:rsidR="00931B5B" w:rsidRPr="00CC5DF3" w:rsidRDefault="00931B5B" w:rsidP="006E017F">
            <w:pPr>
              <w:spacing w:line="276" w:lineRule="auto"/>
              <w:ind w:right="-1"/>
              <w:jc w:val="both"/>
              <w:rPr>
                <w:rFonts w:cs="Arial"/>
                <w:sz w:val="16"/>
                <w:szCs w:val="16"/>
              </w:rPr>
            </w:pPr>
            <w:r w:rsidRPr="00CC5DF3">
              <w:rPr>
                <w:rFonts w:cs="Arial"/>
                <w:sz w:val="16"/>
                <w:szCs w:val="16"/>
              </w:rPr>
              <w:t>__________________________________________</w:t>
            </w:r>
          </w:p>
          <w:p w14:paraId="784A8250" w14:textId="77777777" w:rsidR="00931B5B" w:rsidRPr="00CC5DF3" w:rsidRDefault="00931B5B" w:rsidP="006E017F">
            <w:pPr>
              <w:spacing w:line="276" w:lineRule="auto"/>
              <w:ind w:right="-1"/>
              <w:jc w:val="center"/>
              <w:rPr>
                <w:rFonts w:ascii="HelveticaNeueLT Std" w:hAnsi="HelveticaNeueLT Std" w:cs="Arial"/>
                <w:sz w:val="16"/>
                <w:szCs w:val="16"/>
              </w:rPr>
            </w:pPr>
            <w:r w:rsidRPr="00CC5DF3">
              <w:rPr>
                <w:rFonts w:ascii="HelveticaNeueLT Std" w:hAnsi="HelveticaNeueLT Std" w:cs="Arial"/>
                <w:sz w:val="16"/>
                <w:szCs w:val="16"/>
              </w:rPr>
              <w:t>M.A.P. Antonio Hernández Tenorio</w:t>
            </w:r>
          </w:p>
          <w:p w14:paraId="5D7632EB" w14:textId="77777777" w:rsidR="00931B5B" w:rsidRPr="00CC5DF3" w:rsidRDefault="00931B5B" w:rsidP="006E017F">
            <w:pPr>
              <w:tabs>
                <w:tab w:val="left" w:pos="3994"/>
              </w:tabs>
              <w:spacing w:line="276" w:lineRule="auto"/>
              <w:ind w:right="-1"/>
              <w:contextualSpacing/>
              <w:jc w:val="center"/>
              <w:rPr>
                <w:rFonts w:eastAsia="Times New Roman" w:cs="Arial"/>
                <w:sz w:val="16"/>
                <w:szCs w:val="16"/>
              </w:rPr>
            </w:pPr>
            <w:r w:rsidRPr="00CC5DF3">
              <w:rPr>
                <w:rFonts w:ascii="HelveticaNeueLT Std" w:hAnsi="HelveticaNeueLT Std" w:cs="Arial"/>
                <w:b/>
                <w:sz w:val="16"/>
                <w:szCs w:val="16"/>
              </w:rPr>
              <w:t>Subdirector de Finanzas</w:t>
            </w:r>
          </w:p>
        </w:tc>
        <w:tc>
          <w:tcPr>
            <w:tcW w:w="3549" w:type="dxa"/>
          </w:tcPr>
          <w:p w14:paraId="1A8C44F4" w14:textId="77777777" w:rsidR="00931B5B" w:rsidRPr="00CC5DF3" w:rsidRDefault="00931B5B" w:rsidP="006E017F">
            <w:pPr>
              <w:spacing w:line="276" w:lineRule="auto"/>
              <w:ind w:right="-1"/>
              <w:jc w:val="center"/>
              <w:rPr>
                <w:rFonts w:cs="Arial"/>
                <w:sz w:val="16"/>
                <w:szCs w:val="16"/>
              </w:rPr>
            </w:pPr>
          </w:p>
          <w:p w14:paraId="123E077B" w14:textId="77777777" w:rsidR="00931B5B" w:rsidRPr="00CC5DF3" w:rsidRDefault="00931B5B" w:rsidP="006E017F">
            <w:pPr>
              <w:spacing w:line="276" w:lineRule="auto"/>
              <w:ind w:right="-1"/>
              <w:jc w:val="center"/>
              <w:rPr>
                <w:rFonts w:cs="Arial"/>
                <w:sz w:val="16"/>
                <w:szCs w:val="16"/>
              </w:rPr>
            </w:pPr>
            <w:r w:rsidRPr="00CC5DF3">
              <w:rPr>
                <w:rFonts w:cs="Arial"/>
                <w:sz w:val="16"/>
                <w:szCs w:val="16"/>
              </w:rPr>
              <w:t>_________________________________________________</w:t>
            </w:r>
          </w:p>
          <w:p w14:paraId="70B1AE0E" w14:textId="77777777" w:rsidR="00931B5B" w:rsidRPr="00CC5DF3" w:rsidRDefault="00931B5B" w:rsidP="006E017F">
            <w:pPr>
              <w:spacing w:line="276" w:lineRule="auto"/>
              <w:ind w:right="-1"/>
              <w:jc w:val="center"/>
              <w:rPr>
                <w:rFonts w:cs="Arial"/>
                <w:sz w:val="16"/>
                <w:szCs w:val="16"/>
              </w:rPr>
            </w:pPr>
            <w:r w:rsidRPr="00CC5DF3">
              <w:rPr>
                <w:rFonts w:ascii="HelveticaNeueLT Std" w:hAnsi="HelveticaNeueLT Std" w:cs="Arial"/>
                <w:sz w:val="16"/>
                <w:szCs w:val="16"/>
              </w:rPr>
              <w:t>L.A.E. Raúl Napoleón Lazcano Martínez</w:t>
            </w:r>
          </w:p>
          <w:p w14:paraId="6B6F4E03" w14:textId="77777777" w:rsidR="00931B5B" w:rsidRPr="00CC5DF3" w:rsidRDefault="00931B5B" w:rsidP="006E017F">
            <w:pPr>
              <w:tabs>
                <w:tab w:val="left" w:pos="3994"/>
              </w:tabs>
              <w:spacing w:line="276" w:lineRule="auto"/>
              <w:ind w:right="-1"/>
              <w:contextualSpacing/>
              <w:jc w:val="center"/>
              <w:rPr>
                <w:rFonts w:eastAsia="Times New Roman" w:cs="Arial"/>
                <w:sz w:val="16"/>
                <w:szCs w:val="16"/>
              </w:rPr>
            </w:pPr>
            <w:r w:rsidRPr="00CC5DF3">
              <w:rPr>
                <w:rFonts w:ascii="HelveticaNeueLT Std" w:hAnsi="HelveticaNeueLT Std" w:cs="Arial"/>
                <w:b/>
                <w:sz w:val="16"/>
                <w:szCs w:val="16"/>
              </w:rPr>
              <w:t>Director de Administración y Finanzas</w:t>
            </w:r>
          </w:p>
        </w:tc>
        <w:tc>
          <w:tcPr>
            <w:tcW w:w="3548" w:type="dxa"/>
          </w:tcPr>
          <w:p w14:paraId="2810BDE8" w14:textId="77777777" w:rsidR="00931B5B" w:rsidRPr="00CC5DF3" w:rsidRDefault="00931B5B" w:rsidP="006E017F">
            <w:pPr>
              <w:spacing w:line="276" w:lineRule="auto"/>
              <w:ind w:right="-1"/>
              <w:jc w:val="both"/>
              <w:rPr>
                <w:rFonts w:cs="Arial"/>
                <w:sz w:val="16"/>
                <w:szCs w:val="16"/>
              </w:rPr>
            </w:pPr>
          </w:p>
          <w:p w14:paraId="255227A7" w14:textId="77777777" w:rsidR="00931B5B" w:rsidRPr="00CC5DF3" w:rsidRDefault="00931B5B" w:rsidP="006E017F">
            <w:pPr>
              <w:spacing w:line="276" w:lineRule="auto"/>
              <w:ind w:right="-1"/>
              <w:jc w:val="both"/>
              <w:rPr>
                <w:rFonts w:cs="Arial"/>
                <w:sz w:val="16"/>
                <w:szCs w:val="16"/>
              </w:rPr>
            </w:pPr>
            <w:r w:rsidRPr="00CC5DF3">
              <w:rPr>
                <w:rFonts w:cs="Arial"/>
                <w:sz w:val="16"/>
                <w:szCs w:val="16"/>
              </w:rPr>
              <w:t>__________________________________________________</w:t>
            </w:r>
          </w:p>
          <w:p w14:paraId="5BC7F840" w14:textId="77777777" w:rsidR="00931B5B" w:rsidRPr="00CC5DF3" w:rsidRDefault="00931B5B" w:rsidP="006E017F">
            <w:pPr>
              <w:spacing w:line="276" w:lineRule="auto"/>
              <w:ind w:right="-1"/>
              <w:jc w:val="center"/>
              <w:rPr>
                <w:rFonts w:ascii="HelveticaNeueLT Std" w:hAnsi="HelveticaNeueLT Std" w:cs="Arial"/>
                <w:sz w:val="16"/>
                <w:szCs w:val="16"/>
              </w:rPr>
            </w:pPr>
            <w:r w:rsidRPr="00CC5DF3">
              <w:rPr>
                <w:rFonts w:ascii="HelveticaNeueLT Std" w:hAnsi="HelveticaNeueLT Std" w:cs="Arial"/>
                <w:sz w:val="16"/>
                <w:szCs w:val="16"/>
              </w:rPr>
              <w:t xml:space="preserve">L. en D. Christian Gerardo Gasca </w:t>
            </w:r>
            <w:proofErr w:type="spellStart"/>
            <w:r w:rsidRPr="00CC5DF3">
              <w:rPr>
                <w:rFonts w:ascii="HelveticaNeueLT Std" w:hAnsi="HelveticaNeueLT Std" w:cs="Arial"/>
                <w:sz w:val="16"/>
                <w:szCs w:val="16"/>
              </w:rPr>
              <w:t>Droppert</w:t>
            </w:r>
            <w:proofErr w:type="spellEnd"/>
          </w:p>
          <w:p w14:paraId="218B8D23" w14:textId="77777777" w:rsidR="00931B5B" w:rsidRPr="00004A4C" w:rsidRDefault="00931B5B" w:rsidP="006E017F">
            <w:pPr>
              <w:tabs>
                <w:tab w:val="left" w:pos="3994"/>
              </w:tabs>
              <w:spacing w:line="276" w:lineRule="auto"/>
              <w:ind w:right="-1"/>
              <w:contextualSpacing/>
              <w:jc w:val="both"/>
              <w:rPr>
                <w:rFonts w:ascii="HelveticaNeueLT Std" w:eastAsia="Times New Roman" w:hAnsi="HelveticaNeueLT Std" w:cs="Arial"/>
                <w:sz w:val="16"/>
                <w:szCs w:val="16"/>
              </w:rPr>
            </w:pPr>
            <w:r w:rsidRPr="00CC5DF3">
              <w:rPr>
                <w:rFonts w:ascii="HelveticaNeueLT Std" w:hAnsi="HelveticaNeueLT Std" w:cs="Arial"/>
                <w:b/>
                <w:sz w:val="16"/>
                <w:szCs w:val="16"/>
              </w:rPr>
              <w:t>Director General del IFREM</w:t>
            </w:r>
          </w:p>
        </w:tc>
      </w:tr>
    </w:tbl>
    <w:p w14:paraId="0C166A47" w14:textId="31F4E9A5" w:rsidR="00046032" w:rsidRPr="00AA28CC" w:rsidRDefault="00046032" w:rsidP="001E3DFE">
      <w:pPr>
        <w:tabs>
          <w:tab w:val="left" w:pos="3836"/>
          <w:tab w:val="left" w:pos="4395"/>
        </w:tabs>
        <w:spacing w:after="0" w:line="276" w:lineRule="auto"/>
        <w:ind w:right="-1"/>
        <w:contextualSpacing/>
        <w:jc w:val="both"/>
        <w:outlineLvl w:val="0"/>
        <w:rPr>
          <w:rFonts w:eastAsiaTheme="minorEastAsia" w:cs="Arial"/>
          <w:sz w:val="14"/>
        </w:rPr>
      </w:pPr>
    </w:p>
    <w:sectPr w:rsidR="00046032" w:rsidRPr="00AA28CC" w:rsidSect="00FF37DF">
      <w:headerReference w:type="default" r:id="rId33"/>
      <w:footerReference w:type="default" r:id="rId34"/>
      <w:pgSz w:w="12240" w:h="15840" w:code="1"/>
      <w:pgMar w:top="1418" w:right="758" w:bottom="184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7D75" w14:textId="77777777" w:rsidR="00B27CA5" w:rsidRDefault="00B27CA5" w:rsidP="0033212B">
      <w:pPr>
        <w:spacing w:after="0" w:line="240" w:lineRule="auto"/>
      </w:pPr>
      <w:r>
        <w:separator/>
      </w:r>
    </w:p>
  </w:endnote>
  <w:endnote w:type="continuationSeparator" w:id="0">
    <w:p w14:paraId="33C67B27" w14:textId="77777777" w:rsidR="00B27CA5" w:rsidRDefault="00B27CA5"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871480"/>
      <w:docPartObj>
        <w:docPartGallery w:val="Page Numbers (Bottom of Page)"/>
        <w:docPartUnique/>
      </w:docPartObj>
    </w:sdtPr>
    <w:sdtEndPr/>
    <w:sdtContent>
      <w:p w14:paraId="669210FB" w14:textId="77777777" w:rsidR="00B27CA5" w:rsidRDefault="00B27CA5" w:rsidP="006351E0">
        <w:pPr>
          <w:tabs>
            <w:tab w:val="left" w:pos="5685"/>
            <w:tab w:val="left" w:pos="8745"/>
            <w:tab w:val="right" w:pos="10062"/>
          </w:tabs>
        </w:pPr>
      </w:p>
      <w:p w14:paraId="0CA25423" w14:textId="77777777" w:rsidR="00B27CA5" w:rsidRDefault="00B27CA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591A0F9B" w:rsidR="00B27CA5" w:rsidRDefault="00B27CA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C21DB7">
          <w:rPr>
            <w:b/>
            <w:bCs/>
            <w:noProof/>
          </w:rPr>
          <w:t>20</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C21DB7">
          <w:rPr>
            <w:b/>
            <w:bCs/>
            <w:noProof/>
          </w:rPr>
          <w:t>28</w:t>
        </w:r>
        <w:r>
          <w:rPr>
            <w:b/>
            <w:bCs/>
          </w:rPr>
          <w:fldChar w:fldCharType="end"/>
        </w:r>
      </w:p>
      <w:p w14:paraId="0D4A2174" w14:textId="77777777" w:rsidR="00B27CA5" w:rsidRDefault="00B27CA5" w:rsidP="00FD4233">
        <w:pPr>
          <w:tabs>
            <w:tab w:val="left" w:pos="1635"/>
            <w:tab w:val="center" w:pos="5031"/>
            <w:tab w:val="left" w:pos="6360"/>
            <w:tab w:val="left" w:pos="8445"/>
            <w:tab w:val="right" w:pos="10062"/>
          </w:tabs>
        </w:pPr>
        <w:r>
          <w:tab/>
        </w:r>
        <w:r>
          <w:tab/>
        </w:r>
        <w:r>
          <w:tab/>
        </w:r>
      </w:p>
      <w:p w14:paraId="6FF22233" w14:textId="77777777" w:rsidR="00B27CA5" w:rsidRDefault="00B27CA5" w:rsidP="001A70A8">
        <w:pPr>
          <w:pStyle w:val="Piedepgina"/>
          <w:jc w:val="center"/>
        </w:pPr>
      </w:p>
      <w:p w14:paraId="3716EE2C" w14:textId="77777777" w:rsidR="00B27CA5" w:rsidRDefault="00B27CA5" w:rsidP="00FD4233">
        <w:pPr>
          <w:pStyle w:val="Piedepgina"/>
          <w:jc w:val="right"/>
        </w:pPr>
      </w:p>
      <w:p w14:paraId="05BBDA57" w14:textId="77777777" w:rsidR="00B27CA5" w:rsidRDefault="00B27CA5" w:rsidP="001A70A8">
        <w:pPr>
          <w:pStyle w:val="Piedepgina"/>
          <w:jc w:val="center"/>
        </w:pPr>
      </w:p>
      <w:p w14:paraId="12B3F29B" w14:textId="77777777" w:rsidR="00B27CA5" w:rsidRDefault="00B27CA5" w:rsidP="00AB0FF1">
        <w:pPr>
          <w:pStyle w:val="Piedepgina"/>
          <w:tabs>
            <w:tab w:val="center" w:pos="5031"/>
            <w:tab w:val="left" w:pos="8520"/>
          </w:tabs>
        </w:pPr>
        <w:r>
          <w:tab/>
        </w:r>
        <w:r>
          <w:tab/>
        </w:r>
        <w:r>
          <w:tab/>
        </w:r>
      </w:p>
    </w:sdtContent>
  </w:sdt>
  <w:p w14:paraId="1C6EE43A" w14:textId="77777777" w:rsidR="00B27CA5" w:rsidRDefault="00B27CA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33F6" w14:textId="77777777" w:rsidR="00B27CA5" w:rsidRDefault="00B27CA5" w:rsidP="0033212B">
      <w:pPr>
        <w:spacing w:after="0" w:line="240" w:lineRule="auto"/>
      </w:pPr>
      <w:r>
        <w:separator/>
      </w:r>
    </w:p>
  </w:footnote>
  <w:footnote w:type="continuationSeparator" w:id="0">
    <w:p w14:paraId="59A77155" w14:textId="77777777" w:rsidR="00B27CA5" w:rsidRDefault="00B27CA5" w:rsidP="0033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B6E5" w14:textId="77777777" w:rsidR="00B27CA5" w:rsidRDefault="00B27CA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B27CA5" w:rsidRDefault="00B27CA5" w:rsidP="000316D9">
    <w:pPr>
      <w:pStyle w:val="Encabezado"/>
      <w:tabs>
        <w:tab w:val="clear" w:pos="4419"/>
        <w:tab w:val="clear" w:pos="8838"/>
      </w:tabs>
      <w:ind w:left="-1560" w:right="-1652"/>
      <w:jc w:val="center"/>
      <w:rPr>
        <w:noProof/>
        <w:lang w:eastAsia="es-MX"/>
      </w:rPr>
    </w:pPr>
  </w:p>
  <w:p w14:paraId="22701878" w14:textId="77777777" w:rsidR="00B27CA5" w:rsidRDefault="00B27CA5" w:rsidP="000316D9">
    <w:pPr>
      <w:pStyle w:val="Encabezado"/>
      <w:tabs>
        <w:tab w:val="clear" w:pos="4419"/>
        <w:tab w:val="clear" w:pos="8838"/>
      </w:tabs>
      <w:ind w:left="-1560" w:right="-1652"/>
      <w:jc w:val="center"/>
      <w:rPr>
        <w:noProof/>
        <w:lang w:eastAsia="es-MX"/>
      </w:rPr>
    </w:pPr>
  </w:p>
  <w:p w14:paraId="41677ADA" w14:textId="77777777" w:rsidR="00B27CA5" w:rsidRDefault="00B27CA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B27CA5" w:rsidRDefault="00B27CA5" w:rsidP="00AB0FF1">
    <w:pPr>
      <w:pStyle w:val="Encabezado"/>
      <w:tabs>
        <w:tab w:val="clear" w:pos="4419"/>
        <w:tab w:val="clear" w:pos="8838"/>
        <w:tab w:val="left" w:pos="6345"/>
      </w:tabs>
      <w:ind w:left="-1560" w:right="-1652"/>
      <w:rPr>
        <w:noProof/>
        <w:lang w:eastAsia="es-MX"/>
      </w:rPr>
    </w:pPr>
    <w:r>
      <w:rPr>
        <w:noProof/>
        <w:lang w:eastAsia="es-MX"/>
      </w:rPr>
      <w:tab/>
    </w:r>
  </w:p>
  <w:p w14:paraId="223AE698" w14:textId="654B4A06" w:rsidR="00B27CA5" w:rsidRPr="001B0745" w:rsidRDefault="00B27CA5" w:rsidP="006D27C6">
    <w:pPr>
      <w:pStyle w:val="Encabezado"/>
      <w:jc w:val="center"/>
      <w:rPr>
        <w:b/>
        <w:color w:val="A6A6A6" w:themeColor="background1" w:themeShade="A6"/>
      </w:rPr>
    </w:pPr>
    <w:r w:rsidRPr="001B0745">
      <w:rPr>
        <w:rFonts w:cs="Arial"/>
        <w:b/>
      </w:rPr>
      <w:t>“202</w:t>
    </w:r>
    <w:r>
      <w:rPr>
        <w:rFonts w:cs="Arial"/>
        <w:b/>
      </w:rPr>
      <w:t xml:space="preserve">2. Año del Quincentenario de </w:t>
    </w:r>
    <w:r w:rsidRPr="001B0745">
      <w:rPr>
        <w:rFonts w:cs="Arial"/>
        <w:b/>
      </w:rPr>
      <w:t>Toluca, Capital del Estado de México”.</w:t>
    </w:r>
  </w:p>
  <w:p w14:paraId="1155CBD0" w14:textId="77777777" w:rsidR="00B27CA5" w:rsidRPr="00DF66A9" w:rsidRDefault="00B27CA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9A"/>
    <w:multiLevelType w:val="hybridMultilevel"/>
    <w:tmpl w:val="292854E6"/>
    <w:lvl w:ilvl="0" w:tplc="871A611E">
      <w:start w:val="4"/>
      <w:numFmt w:val="upperRoman"/>
      <w:lvlText w:val="%1."/>
      <w:lvlJc w:val="left"/>
      <w:pPr>
        <w:ind w:left="1428" w:hanging="72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332DEA"/>
    <w:multiLevelType w:val="hybridMultilevel"/>
    <w:tmpl w:val="1696ECCC"/>
    <w:lvl w:ilvl="0" w:tplc="E24AC6A0">
      <w:start w:val="15"/>
      <w:numFmt w:val="decimal"/>
      <w:lvlText w:val="%1."/>
      <w:lvlJc w:val="left"/>
      <w:pPr>
        <w:ind w:left="644" w:hanging="360"/>
      </w:pPr>
      <w:rPr>
        <w:rFonts w:hint="default"/>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3AF4977"/>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B636026"/>
    <w:multiLevelType w:val="hybridMultilevel"/>
    <w:tmpl w:val="A118C624"/>
    <w:lvl w:ilvl="0" w:tplc="999C80E4">
      <w:start w:val="2"/>
      <w:numFmt w:val="lowerLetter"/>
      <w:lvlText w:val="%1)"/>
      <w:lvlJc w:val="left"/>
      <w:pPr>
        <w:ind w:left="14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E7C0B"/>
    <w:multiLevelType w:val="multilevel"/>
    <w:tmpl w:val="C2884EC0"/>
    <w:lvl w:ilvl="0">
      <w:start w:val="1"/>
      <w:numFmt w:val="upperRoman"/>
      <w:lvlText w:val="%1."/>
      <w:lvlJc w:val="right"/>
      <w:pPr>
        <w:ind w:left="-696" w:hanging="360"/>
      </w:pPr>
    </w:lvl>
    <w:lvl w:ilvl="1">
      <w:start w:val="1"/>
      <w:numFmt w:val="lowerLetter"/>
      <w:lvlText w:val="%2)"/>
      <w:lvlJc w:val="left"/>
      <w:pPr>
        <w:ind w:left="-336" w:hanging="360"/>
      </w:pPr>
    </w:lvl>
    <w:lvl w:ilvl="2">
      <w:start w:val="1"/>
      <w:numFmt w:val="lowerRoman"/>
      <w:lvlText w:val="%3)"/>
      <w:lvlJc w:val="left"/>
      <w:pPr>
        <w:ind w:left="24" w:hanging="360"/>
      </w:pPr>
    </w:lvl>
    <w:lvl w:ilvl="3">
      <w:start w:val="1"/>
      <w:numFmt w:val="decimal"/>
      <w:lvlText w:val="(%4)"/>
      <w:lvlJc w:val="left"/>
      <w:pPr>
        <w:ind w:left="384" w:hanging="360"/>
      </w:pPr>
    </w:lvl>
    <w:lvl w:ilvl="4">
      <w:start w:val="1"/>
      <w:numFmt w:val="lowerLetter"/>
      <w:lvlText w:val="(%5)"/>
      <w:lvlJc w:val="left"/>
      <w:pPr>
        <w:ind w:left="744" w:hanging="360"/>
      </w:pPr>
    </w:lvl>
    <w:lvl w:ilvl="5">
      <w:start w:val="1"/>
      <w:numFmt w:val="lowerRoman"/>
      <w:lvlText w:val="(%6)"/>
      <w:lvlJc w:val="left"/>
      <w:pPr>
        <w:ind w:left="1104" w:hanging="360"/>
      </w:pPr>
    </w:lvl>
    <w:lvl w:ilvl="6">
      <w:start w:val="1"/>
      <w:numFmt w:val="decimal"/>
      <w:lvlText w:val="%7."/>
      <w:lvlJc w:val="left"/>
      <w:pPr>
        <w:ind w:left="1464" w:hanging="360"/>
      </w:pPr>
    </w:lvl>
    <w:lvl w:ilvl="7">
      <w:start w:val="1"/>
      <w:numFmt w:val="lowerLetter"/>
      <w:lvlText w:val="%8."/>
      <w:lvlJc w:val="left"/>
      <w:pPr>
        <w:ind w:left="1824" w:hanging="360"/>
      </w:pPr>
    </w:lvl>
    <w:lvl w:ilvl="8">
      <w:start w:val="1"/>
      <w:numFmt w:val="lowerRoman"/>
      <w:lvlText w:val="%9."/>
      <w:lvlJc w:val="left"/>
      <w:pPr>
        <w:ind w:left="2184" w:hanging="360"/>
      </w:pPr>
    </w:lvl>
  </w:abstractNum>
  <w:abstractNum w:abstractNumId="5" w15:restartNumberingAfterBreak="0">
    <w:nsid w:val="20A5109C"/>
    <w:multiLevelType w:val="hybridMultilevel"/>
    <w:tmpl w:val="025E48B2"/>
    <w:lvl w:ilvl="0" w:tplc="9F5C0B3A">
      <w:start w:val="3"/>
      <w:numFmt w:val="lowerLetter"/>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B6C21"/>
    <w:multiLevelType w:val="multilevel"/>
    <w:tmpl w:val="BBFE9AFC"/>
    <w:lvl w:ilvl="0">
      <w:start w:val="1"/>
      <w:numFmt w:val="decimal"/>
      <w:lvlText w:val="%1."/>
      <w:lvlJc w:val="left"/>
      <w:pPr>
        <w:ind w:left="502" w:hanging="360"/>
      </w:pPr>
      <w:rPr>
        <w:rFonts w:ascii="HelveticaNeueLT Std" w:hAnsi="HelveticaNeueLT Std" w:hint="default"/>
        <w:b/>
        <w:bCs w:val="0"/>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6684474"/>
    <w:multiLevelType w:val="hybridMultilevel"/>
    <w:tmpl w:val="A4FA882E"/>
    <w:lvl w:ilvl="0" w:tplc="57D86B80">
      <w:start w:val="3"/>
      <w:numFmt w:val="lowerLetter"/>
      <w:lvlText w:val="%1)"/>
      <w:lvlJc w:val="left"/>
      <w:pPr>
        <w:ind w:left="1068"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B64DB1"/>
    <w:multiLevelType w:val="hybridMultilevel"/>
    <w:tmpl w:val="87ECD71E"/>
    <w:lvl w:ilvl="0" w:tplc="0B4CC540">
      <w:start w:val="14"/>
      <w:numFmt w:val="decimal"/>
      <w:lvlText w:val="%1."/>
      <w:lvlJc w:val="left"/>
      <w:pPr>
        <w:ind w:left="360" w:hanging="360"/>
      </w:pPr>
      <w:rPr>
        <w:rFonts w:ascii="HelveticaNeueLT Std" w:hAnsi="HelveticaNeueLT Std"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D44AFE"/>
    <w:multiLevelType w:val="hybridMultilevel"/>
    <w:tmpl w:val="85FA2DC0"/>
    <w:lvl w:ilvl="0" w:tplc="10806E80">
      <w:start w:val="2"/>
      <w:numFmt w:val="lowerLetter"/>
      <w:lvlText w:val="%1)"/>
      <w:lvlJc w:val="left"/>
      <w:pPr>
        <w:ind w:left="14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493F9D"/>
    <w:multiLevelType w:val="hybridMultilevel"/>
    <w:tmpl w:val="8B444166"/>
    <w:lvl w:ilvl="0" w:tplc="518861F2">
      <w:start w:val="13"/>
      <w:numFmt w:val="decimal"/>
      <w:lvlText w:val="%1."/>
      <w:lvlJc w:val="left"/>
      <w:pPr>
        <w:ind w:left="360" w:hanging="360"/>
      </w:pPr>
      <w:rPr>
        <w:rFonts w:ascii="HelveticaNeueLT Std" w:hAnsi="HelveticaNeueLT Std" w:hint="default"/>
        <w:b/>
        <w:i w:val="0"/>
        <w:sz w:val="20"/>
        <w:szCs w:val="20"/>
      </w:rPr>
    </w:lvl>
    <w:lvl w:ilvl="1" w:tplc="080A0019" w:tentative="1">
      <w:start w:val="1"/>
      <w:numFmt w:val="lowerLetter"/>
      <w:lvlText w:val="%2."/>
      <w:lvlJc w:val="left"/>
      <w:pPr>
        <w:ind w:left="305" w:hanging="360"/>
      </w:pPr>
    </w:lvl>
    <w:lvl w:ilvl="2" w:tplc="080A001B" w:tentative="1">
      <w:start w:val="1"/>
      <w:numFmt w:val="lowerRoman"/>
      <w:lvlText w:val="%3."/>
      <w:lvlJc w:val="right"/>
      <w:pPr>
        <w:ind w:left="1025" w:hanging="180"/>
      </w:pPr>
    </w:lvl>
    <w:lvl w:ilvl="3" w:tplc="080A000F" w:tentative="1">
      <w:start w:val="1"/>
      <w:numFmt w:val="decimal"/>
      <w:lvlText w:val="%4."/>
      <w:lvlJc w:val="left"/>
      <w:pPr>
        <w:ind w:left="1745" w:hanging="360"/>
      </w:pPr>
    </w:lvl>
    <w:lvl w:ilvl="4" w:tplc="080A0019" w:tentative="1">
      <w:start w:val="1"/>
      <w:numFmt w:val="lowerLetter"/>
      <w:lvlText w:val="%5."/>
      <w:lvlJc w:val="left"/>
      <w:pPr>
        <w:ind w:left="2465" w:hanging="360"/>
      </w:pPr>
    </w:lvl>
    <w:lvl w:ilvl="5" w:tplc="080A001B" w:tentative="1">
      <w:start w:val="1"/>
      <w:numFmt w:val="lowerRoman"/>
      <w:lvlText w:val="%6."/>
      <w:lvlJc w:val="right"/>
      <w:pPr>
        <w:ind w:left="3185" w:hanging="180"/>
      </w:pPr>
    </w:lvl>
    <w:lvl w:ilvl="6" w:tplc="080A000F" w:tentative="1">
      <w:start w:val="1"/>
      <w:numFmt w:val="decimal"/>
      <w:lvlText w:val="%7."/>
      <w:lvlJc w:val="left"/>
      <w:pPr>
        <w:ind w:left="3905" w:hanging="360"/>
      </w:pPr>
    </w:lvl>
    <w:lvl w:ilvl="7" w:tplc="080A0019" w:tentative="1">
      <w:start w:val="1"/>
      <w:numFmt w:val="lowerLetter"/>
      <w:lvlText w:val="%8."/>
      <w:lvlJc w:val="left"/>
      <w:pPr>
        <w:ind w:left="4625" w:hanging="360"/>
      </w:pPr>
    </w:lvl>
    <w:lvl w:ilvl="8" w:tplc="080A001B" w:tentative="1">
      <w:start w:val="1"/>
      <w:numFmt w:val="lowerRoman"/>
      <w:lvlText w:val="%9."/>
      <w:lvlJc w:val="right"/>
      <w:pPr>
        <w:ind w:left="5345" w:hanging="180"/>
      </w:pPr>
    </w:lvl>
  </w:abstractNum>
  <w:abstractNum w:abstractNumId="12" w15:restartNumberingAfterBreak="0">
    <w:nsid w:val="571A5A19"/>
    <w:multiLevelType w:val="hybridMultilevel"/>
    <w:tmpl w:val="03C62172"/>
    <w:lvl w:ilvl="0" w:tplc="A50EA160">
      <w:start w:val="2"/>
      <w:numFmt w:val="upperRoman"/>
      <w:lvlText w:val="%1."/>
      <w:lvlJc w:val="left"/>
      <w:pPr>
        <w:ind w:left="1855" w:hanging="720"/>
      </w:pPr>
      <w:rPr>
        <w:rFonts w:ascii="HelveticaNeueLT Std" w:hAnsi="HelveticaNeueLT Std"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8D3564"/>
    <w:multiLevelType w:val="multilevel"/>
    <w:tmpl w:val="CA78F306"/>
    <w:styleLink w:val="Estilo1"/>
    <w:lvl w:ilvl="0">
      <w:start w:val="15"/>
      <w:numFmt w:val="decimal"/>
      <w:lvlText w:val="%1."/>
      <w:lvlJc w:val="left"/>
      <w:pPr>
        <w:ind w:left="644" w:hanging="360"/>
      </w:pPr>
      <w:rPr>
        <w:rFonts w:ascii="HelveticaNeueLT Std" w:hAnsi="HelveticaNeueLT Std" w:hint="default"/>
        <w:b/>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7B757B43"/>
    <w:multiLevelType w:val="hybridMultilevel"/>
    <w:tmpl w:val="84CE3E4C"/>
    <w:lvl w:ilvl="0" w:tplc="50E022D4">
      <w:start w:val="1"/>
      <w:numFmt w:val="decimal"/>
      <w:lvlText w:val="%1."/>
      <w:lvlJc w:val="left"/>
      <w:pPr>
        <w:ind w:left="2487"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15"/>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
  </w:num>
  <w:num w:numId="9">
    <w:abstractNumId w:val="12"/>
  </w:num>
  <w:num w:numId="10">
    <w:abstractNumId w:val="9"/>
  </w:num>
  <w:num w:numId="11">
    <w:abstractNumId w:val="10"/>
  </w:num>
  <w:num w:numId="12">
    <w:abstractNumId w:val="0"/>
  </w:num>
  <w:num w:numId="13">
    <w:abstractNumId w:val="1"/>
  </w:num>
  <w:num w:numId="14">
    <w:abstractNumId w:val="5"/>
  </w:num>
  <w:num w:numId="15">
    <w:abstractNumId w:val="11"/>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4A4C"/>
    <w:rsid w:val="00006E60"/>
    <w:rsid w:val="00006ED2"/>
    <w:rsid w:val="00010FD9"/>
    <w:rsid w:val="00011432"/>
    <w:rsid w:val="00012845"/>
    <w:rsid w:val="0001352F"/>
    <w:rsid w:val="00013CA0"/>
    <w:rsid w:val="00014705"/>
    <w:rsid w:val="00015E63"/>
    <w:rsid w:val="00015FA6"/>
    <w:rsid w:val="00016F2A"/>
    <w:rsid w:val="0001768C"/>
    <w:rsid w:val="000200B3"/>
    <w:rsid w:val="00020432"/>
    <w:rsid w:val="00021777"/>
    <w:rsid w:val="00021DE1"/>
    <w:rsid w:val="00022C7E"/>
    <w:rsid w:val="00023709"/>
    <w:rsid w:val="000251C1"/>
    <w:rsid w:val="0002608C"/>
    <w:rsid w:val="000265E6"/>
    <w:rsid w:val="00026EBB"/>
    <w:rsid w:val="00030511"/>
    <w:rsid w:val="00030B0F"/>
    <w:rsid w:val="00030B5E"/>
    <w:rsid w:val="000316D9"/>
    <w:rsid w:val="000317E9"/>
    <w:rsid w:val="000326A2"/>
    <w:rsid w:val="00033E8D"/>
    <w:rsid w:val="0003577A"/>
    <w:rsid w:val="00036200"/>
    <w:rsid w:val="0003620D"/>
    <w:rsid w:val="000372E0"/>
    <w:rsid w:val="0003731C"/>
    <w:rsid w:val="00037C59"/>
    <w:rsid w:val="000405AF"/>
    <w:rsid w:val="000413C6"/>
    <w:rsid w:val="00043D55"/>
    <w:rsid w:val="00045553"/>
    <w:rsid w:val="00045845"/>
    <w:rsid w:val="00046032"/>
    <w:rsid w:val="000476DA"/>
    <w:rsid w:val="000477EA"/>
    <w:rsid w:val="00050B6C"/>
    <w:rsid w:val="000526C7"/>
    <w:rsid w:val="000564CF"/>
    <w:rsid w:val="00057473"/>
    <w:rsid w:val="00057789"/>
    <w:rsid w:val="00061AB7"/>
    <w:rsid w:val="00062DFB"/>
    <w:rsid w:val="000638B3"/>
    <w:rsid w:val="00064186"/>
    <w:rsid w:val="000641A2"/>
    <w:rsid w:val="00065EED"/>
    <w:rsid w:val="00065FD4"/>
    <w:rsid w:val="000665C2"/>
    <w:rsid w:val="0007108F"/>
    <w:rsid w:val="00072B06"/>
    <w:rsid w:val="00072DE9"/>
    <w:rsid w:val="00073B8C"/>
    <w:rsid w:val="0007437C"/>
    <w:rsid w:val="00075698"/>
    <w:rsid w:val="00076C3C"/>
    <w:rsid w:val="00077842"/>
    <w:rsid w:val="00077BCD"/>
    <w:rsid w:val="00077E11"/>
    <w:rsid w:val="00080B11"/>
    <w:rsid w:val="00081271"/>
    <w:rsid w:val="0008290A"/>
    <w:rsid w:val="00082CB1"/>
    <w:rsid w:val="00083D56"/>
    <w:rsid w:val="00084D06"/>
    <w:rsid w:val="00084D64"/>
    <w:rsid w:val="0008563B"/>
    <w:rsid w:val="00087BD1"/>
    <w:rsid w:val="00091600"/>
    <w:rsid w:val="00094250"/>
    <w:rsid w:val="0009493B"/>
    <w:rsid w:val="00094DD0"/>
    <w:rsid w:val="0009517D"/>
    <w:rsid w:val="00096447"/>
    <w:rsid w:val="000968F8"/>
    <w:rsid w:val="0009757F"/>
    <w:rsid w:val="000A081E"/>
    <w:rsid w:val="000A1039"/>
    <w:rsid w:val="000A228A"/>
    <w:rsid w:val="000A27A8"/>
    <w:rsid w:val="000A2ADF"/>
    <w:rsid w:val="000A2B0A"/>
    <w:rsid w:val="000A30E0"/>
    <w:rsid w:val="000A3489"/>
    <w:rsid w:val="000A3DA3"/>
    <w:rsid w:val="000A43FC"/>
    <w:rsid w:val="000A4773"/>
    <w:rsid w:val="000A4B51"/>
    <w:rsid w:val="000A4CD9"/>
    <w:rsid w:val="000A4FB8"/>
    <w:rsid w:val="000A52F1"/>
    <w:rsid w:val="000A6DB5"/>
    <w:rsid w:val="000A7CAE"/>
    <w:rsid w:val="000B027A"/>
    <w:rsid w:val="000B03BB"/>
    <w:rsid w:val="000B07D7"/>
    <w:rsid w:val="000B0F33"/>
    <w:rsid w:val="000B124F"/>
    <w:rsid w:val="000B14E6"/>
    <w:rsid w:val="000B2010"/>
    <w:rsid w:val="000B6CB2"/>
    <w:rsid w:val="000C0132"/>
    <w:rsid w:val="000C071B"/>
    <w:rsid w:val="000C08D7"/>
    <w:rsid w:val="000C2189"/>
    <w:rsid w:val="000C5056"/>
    <w:rsid w:val="000C5544"/>
    <w:rsid w:val="000C7778"/>
    <w:rsid w:val="000C7DD0"/>
    <w:rsid w:val="000D01F5"/>
    <w:rsid w:val="000D09FF"/>
    <w:rsid w:val="000D1290"/>
    <w:rsid w:val="000D1B63"/>
    <w:rsid w:val="000D2F28"/>
    <w:rsid w:val="000D40F1"/>
    <w:rsid w:val="000D5865"/>
    <w:rsid w:val="000D5A73"/>
    <w:rsid w:val="000D7280"/>
    <w:rsid w:val="000E0256"/>
    <w:rsid w:val="000E0552"/>
    <w:rsid w:val="000E06B6"/>
    <w:rsid w:val="000E31FD"/>
    <w:rsid w:val="000E38D9"/>
    <w:rsid w:val="000E5435"/>
    <w:rsid w:val="000E57F1"/>
    <w:rsid w:val="000E62EC"/>
    <w:rsid w:val="000E650B"/>
    <w:rsid w:val="000E7537"/>
    <w:rsid w:val="000F0D32"/>
    <w:rsid w:val="000F401A"/>
    <w:rsid w:val="000F432A"/>
    <w:rsid w:val="000F4A95"/>
    <w:rsid w:val="000F4FF2"/>
    <w:rsid w:val="000F6B12"/>
    <w:rsid w:val="000F737A"/>
    <w:rsid w:val="00100535"/>
    <w:rsid w:val="00105047"/>
    <w:rsid w:val="0010568D"/>
    <w:rsid w:val="00105746"/>
    <w:rsid w:val="001068A9"/>
    <w:rsid w:val="001071D9"/>
    <w:rsid w:val="001104E6"/>
    <w:rsid w:val="001104EE"/>
    <w:rsid w:val="00110CC9"/>
    <w:rsid w:val="001120FF"/>
    <w:rsid w:val="00113064"/>
    <w:rsid w:val="001135F5"/>
    <w:rsid w:val="00114174"/>
    <w:rsid w:val="0011496B"/>
    <w:rsid w:val="00116705"/>
    <w:rsid w:val="001167C1"/>
    <w:rsid w:val="00121D31"/>
    <w:rsid w:val="0012306F"/>
    <w:rsid w:val="00123396"/>
    <w:rsid w:val="00124778"/>
    <w:rsid w:val="00124F83"/>
    <w:rsid w:val="00125235"/>
    <w:rsid w:val="001255FF"/>
    <w:rsid w:val="001264EF"/>
    <w:rsid w:val="00130387"/>
    <w:rsid w:val="00130799"/>
    <w:rsid w:val="00130EA5"/>
    <w:rsid w:val="00132E32"/>
    <w:rsid w:val="00132ED2"/>
    <w:rsid w:val="00134B5E"/>
    <w:rsid w:val="00136ED5"/>
    <w:rsid w:val="00136FAC"/>
    <w:rsid w:val="00140429"/>
    <w:rsid w:val="00141D6F"/>
    <w:rsid w:val="001428F0"/>
    <w:rsid w:val="00142D95"/>
    <w:rsid w:val="001433AD"/>
    <w:rsid w:val="001436FB"/>
    <w:rsid w:val="00143879"/>
    <w:rsid w:val="0014449F"/>
    <w:rsid w:val="001447AD"/>
    <w:rsid w:val="001449EF"/>
    <w:rsid w:val="00145D52"/>
    <w:rsid w:val="00152B8F"/>
    <w:rsid w:val="00152CE4"/>
    <w:rsid w:val="00153C26"/>
    <w:rsid w:val="00154103"/>
    <w:rsid w:val="00154D1C"/>
    <w:rsid w:val="00155156"/>
    <w:rsid w:val="001554DD"/>
    <w:rsid w:val="00155A9D"/>
    <w:rsid w:val="001570DC"/>
    <w:rsid w:val="001600FB"/>
    <w:rsid w:val="0016041F"/>
    <w:rsid w:val="00160821"/>
    <w:rsid w:val="00160DC6"/>
    <w:rsid w:val="00162DBD"/>
    <w:rsid w:val="00163812"/>
    <w:rsid w:val="00164183"/>
    <w:rsid w:val="0016506D"/>
    <w:rsid w:val="001655A5"/>
    <w:rsid w:val="001678EA"/>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1BA8"/>
    <w:rsid w:val="00183E10"/>
    <w:rsid w:val="00183F2F"/>
    <w:rsid w:val="00184BE1"/>
    <w:rsid w:val="00184E76"/>
    <w:rsid w:val="001855D6"/>
    <w:rsid w:val="00185A49"/>
    <w:rsid w:val="00190087"/>
    <w:rsid w:val="00190613"/>
    <w:rsid w:val="00191331"/>
    <w:rsid w:val="00191E56"/>
    <w:rsid w:val="001933C2"/>
    <w:rsid w:val="001945FE"/>
    <w:rsid w:val="00194F29"/>
    <w:rsid w:val="00195ADE"/>
    <w:rsid w:val="001A07CC"/>
    <w:rsid w:val="001A0DBE"/>
    <w:rsid w:val="001A309B"/>
    <w:rsid w:val="001A3EA4"/>
    <w:rsid w:val="001A42C4"/>
    <w:rsid w:val="001A4C66"/>
    <w:rsid w:val="001A4DCE"/>
    <w:rsid w:val="001A641B"/>
    <w:rsid w:val="001A6685"/>
    <w:rsid w:val="001A6D07"/>
    <w:rsid w:val="001A70A8"/>
    <w:rsid w:val="001B02B7"/>
    <w:rsid w:val="001B054A"/>
    <w:rsid w:val="001B0613"/>
    <w:rsid w:val="001B1326"/>
    <w:rsid w:val="001B1E2C"/>
    <w:rsid w:val="001B23A4"/>
    <w:rsid w:val="001B3BFD"/>
    <w:rsid w:val="001B4811"/>
    <w:rsid w:val="001B5051"/>
    <w:rsid w:val="001B5859"/>
    <w:rsid w:val="001B5DCF"/>
    <w:rsid w:val="001B6A78"/>
    <w:rsid w:val="001B79F0"/>
    <w:rsid w:val="001B7A3D"/>
    <w:rsid w:val="001C1913"/>
    <w:rsid w:val="001C21AA"/>
    <w:rsid w:val="001C2D9F"/>
    <w:rsid w:val="001C32DD"/>
    <w:rsid w:val="001C33D8"/>
    <w:rsid w:val="001C36BA"/>
    <w:rsid w:val="001C54BE"/>
    <w:rsid w:val="001C6622"/>
    <w:rsid w:val="001C72C4"/>
    <w:rsid w:val="001D1BE7"/>
    <w:rsid w:val="001D237E"/>
    <w:rsid w:val="001D3007"/>
    <w:rsid w:val="001D5057"/>
    <w:rsid w:val="001D5210"/>
    <w:rsid w:val="001D5339"/>
    <w:rsid w:val="001D5A6E"/>
    <w:rsid w:val="001D74CB"/>
    <w:rsid w:val="001D793E"/>
    <w:rsid w:val="001E06EF"/>
    <w:rsid w:val="001E1AC9"/>
    <w:rsid w:val="001E1B89"/>
    <w:rsid w:val="001E24BD"/>
    <w:rsid w:val="001E25C6"/>
    <w:rsid w:val="001E396C"/>
    <w:rsid w:val="001E3DFE"/>
    <w:rsid w:val="001E4762"/>
    <w:rsid w:val="001E4D68"/>
    <w:rsid w:val="001E5489"/>
    <w:rsid w:val="001F057C"/>
    <w:rsid w:val="001F05AD"/>
    <w:rsid w:val="001F0CE1"/>
    <w:rsid w:val="001F1301"/>
    <w:rsid w:val="001F1B28"/>
    <w:rsid w:val="001F1EE1"/>
    <w:rsid w:val="001F1FF9"/>
    <w:rsid w:val="001F3538"/>
    <w:rsid w:val="001F3B81"/>
    <w:rsid w:val="001F5305"/>
    <w:rsid w:val="001F5514"/>
    <w:rsid w:val="001F58A5"/>
    <w:rsid w:val="001F69B3"/>
    <w:rsid w:val="001F6EAF"/>
    <w:rsid w:val="00200343"/>
    <w:rsid w:val="00200637"/>
    <w:rsid w:val="00201252"/>
    <w:rsid w:val="00201773"/>
    <w:rsid w:val="0020245B"/>
    <w:rsid w:val="00202C09"/>
    <w:rsid w:val="00203D51"/>
    <w:rsid w:val="0020644C"/>
    <w:rsid w:val="00207337"/>
    <w:rsid w:val="002109AC"/>
    <w:rsid w:val="002134C1"/>
    <w:rsid w:val="00213972"/>
    <w:rsid w:val="002149F5"/>
    <w:rsid w:val="002158CB"/>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4C75"/>
    <w:rsid w:val="0023555F"/>
    <w:rsid w:val="0023559E"/>
    <w:rsid w:val="0023626F"/>
    <w:rsid w:val="00236CC6"/>
    <w:rsid w:val="002404C8"/>
    <w:rsid w:val="002406D4"/>
    <w:rsid w:val="00240CFC"/>
    <w:rsid w:val="00240E9D"/>
    <w:rsid w:val="00241CF2"/>
    <w:rsid w:val="0024210F"/>
    <w:rsid w:val="00242134"/>
    <w:rsid w:val="00243011"/>
    <w:rsid w:val="00243580"/>
    <w:rsid w:val="00244598"/>
    <w:rsid w:val="00245317"/>
    <w:rsid w:val="0024535F"/>
    <w:rsid w:val="00245FE2"/>
    <w:rsid w:val="00246044"/>
    <w:rsid w:val="002465BB"/>
    <w:rsid w:val="0025080E"/>
    <w:rsid w:val="00251395"/>
    <w:rsid w:val="00251DC8"/>
    <w:rsid w:val="002552C7"/>
    <w:rsid w:val="0025628A"/>
    <w:rsid w:val="00256473"/>
    <w:rsid w:val="00256F96"/>
    <w:rsid w:val="002577A6"/>
    <w:rsid w:val="0026253B"/>
    <w:rsid w:val="00262E22"/>
    <w:rsid w:val="0026485F"/>
    <w:rsid w:val="00264D0E"/>
    <w:rsid w:val="00267222"/>
    <w:rsid w:val="0026744F"/>
    <w:rsid w:val="00267E18"/>
    <w:rsid w:val="00272116"/>
    <w:rsid w:val="00272BA0"/>
    <w:rsid w:val="002734FE"/>
    <w:rsid w:val="00273EB5"/>
    <w:rsid w:val="00274345"/>
    <w:rsid w:val="00275B2C"/>
    <w:rsid w:val="00276066"/>
    <w:rsid w:val="00276777"/>
    <w:rsid w:val="002804D1"/>
    <w:rsid w:val="00280535"/>
    <w:rsid w:val="00280B40"/>
    <w:rsid w:val="0028147E"/>
    <w:rsid w:val="002835AB"/>
    <w:rsid w:val="00283C9F"/>
    <w:rsid w:val="002859B7"/>
    <w:rsid w:val="00287E5C"/>
    <w:rsid w:val="002909EB"/>
    <w:rsid w:val="002911AD"/>
    <w:rsid w:val="00291922"/>
    <w:rsid w:val="00292418"/>
    <w:rsid w:val="00293CB6"/>
    <w:rsid w:val="00293DA7"/>
    <w:rsid w:val="00296101"/>
    <w:rsid w:val="002964C3"/>
    <w:rsid w:val="002969C0"/>
    <w:rsid w:val="002A1636"/>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49F3"/>
    <w:rsid w:val="002D5D22"/>
    <w:rsid w:val="002D667F"/>
    <w:rsid w:val="002D67D3"/>
    <w:rsid w:val="002E0E52"/>
    <w:rsid w:val="002E2BBF"/>
    <w:rsid w:val="002E3316"/>
    <w:rsid w:val="002E378E"/>
    <w:rsid w:val="002E3C79"/>
    <w:rsid w:val="002E3F40"/>
    <w:rsid w:val="002E3F91"/>
    <w:rsid w:val="002E4880"/>
    <w:rsid w:val="002E4CDB"/>
    <w:rsid w:val="002E55E9"/>
    <w:rsid w:val="002E63CE"/>
    <w:rsid w:val="002E7BFD"/>
    <w:rsid w:val="002F0675"/>
    <w:rsid w:val="002F1339"/>
    <w:rsid w:val="002F29EA"/>
    <w:rsid w:val="002F561B"/>
    <w:rsid w:val="002F7710"/>
    <w:rsid w:val="002F7CAF"/>
    <w:rsid w:val="003002EF"/>
    <w:rsid w:val="00300C9C"/>
    <w:rsid w:val="00301158"/>
    <w:rsid w:val="0030137E"/>
    <w:rsid w:val="003042BB"/>
    <w:rsid w:val="003047F9"/>
    <w:rsid w:val="00305455"/>
    <w:rsid w:val="00306181"/>
    <w:rsid w:val="003062C3"/>
    <w:rsid w:val="00307B73"/>
    <w:rsid w:val="00312163"/>
    <w:rsid w:val="003122EC"/>
    <w:rsid w:val="003135E5"/>
    <w:rsid w:val="003148A8"/>
    <w:rsid w:val="00316036"/>
    <w:rsid w:val="0031644B"/>
    <w:rsid w:val="00316D48"/>
    <w:rsid w:val="00316D5D"/>
    <w:rsid w:val="00316DEB"/>
    <w:rsid w:val="00320151"/>
    <w:rsid w:val="00320AF3"/>
    <w:rsid w:val="00320B6F"/>
    <w:rsid w:val="00320C0E"/>
    <w:rsid w:val="00321046"/>
    <w:rsid w:val="003217AE"/>
    <w:rsid w:val="00322CA9"/>
    <w:rsid w:val="0032595A"/>
    <w:rsid w:val="00325BCF"/>
    <w:rsid w:val="00330034"/>
    <w:rsid w:val="00331541"/>
    <w:rsid w:val="0033212B"/>
    <w:rsid w:val="00333772"/>
    <w:rsid w:val="0033471E"/>
    <w:rsid w:val="00335251"/>
    <w:rsid w:val="00336040"/>
    <w:rsid w:val="0033665F"/>
    <w:rsid w:val="00340A9D"/>
    <w:rsid w:val="003432D8"/>
    <w:rsid w:val="00343555"/>
    <w:rsid w:val="00343EFA"/>
    <w:rsid w:val="0034582A"/>
    <w:rsid w:val="0034689D"/>
    <w:rsid w:val="00346E2E"/>
    <w:rsid w:val="003476D9"/>
    <w:rsid w:val="00347A93"/>
    <w:rsid w:val="0035174E"/>
    <w:rsid w:val="0035214D"/>
    <w:rsid w:val="00352817"/>
    <w:rsid w:val="00352B13"/>
    <w:rsid w:val="003537A0"/>
    <w:rsid w:val="0035391C"/>
    <w:rsid w:val="00353F8B"/>
    <w:rsid w:val="003542D6"/>
    <w:rsid w:val="00354592"/>
    <w:rsid w:val="003547B9"/>
    <w:rsid w:val="00356AAE"/>
    <w:rsid w:val="00356C4C"/>
    <w:rsid w:val="00356CF2"/>
    <w:rsid w:val="00356F73"/>
    <w:rsid w:val="00361EF9"/>
    <w:rsid w:val="00362C2A"/>
    <w:rsid w:val="00363D07"/>
    <w:rsid w:val="003644D5"/>
    <w:rsid w:val="003648E4"/>
    <w:rsid w:val="003651B1"/>
    <w:rsid w:val="00366083"/>
    <w:rsid w:val="003661BD"/>
    <w:rsid w:val="0036630F"/>
    <w:rsid w:val="00367E78"/>
    <w:rsid w:val="00370BA2"/>
    <w:rsid w:val="00370DAC"/>
    <w:rsid w:val="00372A64"/>
    <w:rsid w:val="003734DF"/>
    <w:rsid w:val="00373AD7"/>
    <w:rsid w:val="00373C05"/>
    <w:rsid w:val="00374D28"/>
    <w:rsid w:val="0037547A"/>
    <w:rsid w:val="00375A6D"/>
    <w:rsid w:val="003763C7"/>
    <w:rsid w:val="00376CAF"/>
    <w:rsid w:val="0038035B"/>
    <w:rsid w:val="003807BD"/>
    <w:rsid w:val="00380CB3"/>
    <w:rsid w:val="0038121B"/>
    <w:rsid w:val="003826EC"/>
    <w:rsid w:val="0038291E"/>
    <w:rsid w:val="00383861"/>
    <w:rsid w:val="0038425C"/>
    <w:rsid w:val="003846FC"/>
    <w:rsid w:val="003869AF"/>
    <w:rsid w:val="003907EC"/>
    <w:rsid w:val="00390BB9"/>
    <w:rsid w:val="00392564"/>
    <w:rsid w:val="003936EC"/>
    <w:rsid w:val="0039385E"/>
    <w:rsid w:val="00394024"/>
    <w:rsid w:val="00396D4F"/>
    <w:rsid w:val="00396F02"/>
    <w:rsid w:val="003A05A0"/>
    <w:rsid w:val="003A2CD8"/>
    <w:rsid w:val="003A2CDD"/>
    <w:rsid w:val="003A39D3"/>
    <w:rsid w:val="003A3A0B"/>
    <w:rsid w:val="003A411E"/>
    <w:rsid w:val="003A4CCC"/>
    <w:rsid w:val="003A50C1"/>
    <w:rsid w:val="003A53F6"/>
    <w:rsid w:val="003A5A3E"/>
    <w:rsid w:val="003A7B09"/>
    <w:rsid w:val="003B10B7"/>
    <w:rsid w:val="003B1296"/>
    <w:rsid w:val="003B146B"/>
    <w:rsid w:val="003B2588"/>
    <w:rsid w:val="003B3E10"/>
    <w:rsid w:val="003B6142"/>
    <w:rsid w:val="003B663E"/>
    <w:rsid w:val="003C037F"/>
    <w:rsid w:val="003C03E7"/>
    <w:rsid w:val="003C09F5"/>
    <w:rsid w:val="003C0FA2"/>
    <w:rsid w:val="003C1F1B"/>
    <w:rsid w:val="003C5964"/>
    <w:rsid w:val="003C5EF2"/>
    <w:rsid w:val="003C6810"/>
    <w:rsid w:val="003C6C0E"/>
    <w:rsid w:val="003C7D90"/>
    <w:rsid w:val="003D03BC"/>
    <w:rsid w:val="003D1F6A"/>
    <w:rsid w:val="003D3B9A"/>
    <w:rsid w:val="003D4F2B"/>
    <w:rsid w:val="003D677E"/>
    <w:rsid w:val="003D73E4"/>
    <w:rsid w:val="003D79D8"/>
    <w:rsid w:val="003D7CBE"/>
    <w:rsid w:val="003E3149"/>
    <w:rsid w:val="003E5B9A"/>
    <w:rsid w:val="003E650B"/>
    <w:rsid w:val="003E779C"/>
    <w:rsid w:val="003F0258"/>
    <w:rsid w:val="003F07F3"/>
    <w:rsid w:val="003F18B1"/>
    <w:rsid w:val="003F517E"/>
    <w:rsid w:val="003F6EAF"/>
    <w:rsid w:val="003F76F5"/>
    <w:rsid w:val="003F77FC"/>
    <w:rsid w:val="003F7F29"/>
    <w:rsid w:val="00400E38"/>
    <w:rsid w:val="0040169C"/>
    <w:rsid w:val="00402DCF"/>
    <w:rsid w:val="004039C8"/>
    <w:rsid w:val="00403D57"/>
    <w:rsid w:val="004047EA"/>
    <w:rsid w:val="004059A4"/>
    <w:rsid w:val="004063E7"/>
    <w:rsid w:val="00407871"/>
    <w:rsid w:val="00407A26"/>
    <w:rsid w:val="00407C3C"/>
    <w:rsid w:val="00410DEE"/>
    <w:rsid w:val="004128EE"/>
    <w:rsid w:val="00412FBB"/>
    <w:rsid w:val="004161C8"/>
    <w:rsid w:val="00416639"/>
    <w:rsid w:val="00416696"/>
    <w:rsid w:val="00416792"/>
    <w:rsid w:val="00416D8B"/>
    <w:rsid w:val="004172FF"/>
    <w:rsid w:val="0041778B"/>
    <w:rsid w:val="00421426"/>
    <w:rsid w:val="00422466"/>
    <w:rsid w:val="00422EE1"/>
    <w:rsid w:val="00424CE4"/>
    <w:rsid w:val="00425087"/>
    <w:rsid w:val="00425ED0"/>
    <w:rsid w:val="004264A2"/>
    <w:rsid w:val="00430CC0"/>
    <w:rsid w:val="00430DBD"/>
    <w:rsid w:val="00431246"/>
    <w:rsid w:val="0043257C"/>
    <w:rsid w:val="00432E72"/>
    <w:rsid w:val="00435EDC"/>
    <w:rsid w:val="00435F7E"/>
    <w:rsid w:val="00436399"/>
    <w:rsid w:val="004378BA"/>
    <w:rsid w:val="00440F0A"/>
    <w:rsid w:val="00441158"/>
    <w:rsid w:val="00441CFD"/>
    <w:rsid w:val="00443064"/>
    <w:rsid w:val="004443F1"/>
    <w:rsid w:val="004448D3"/>
    <w:rsid w:val="0044500C"/>
    <w:rsid w:val="00445159"/>
    <w:rsid w:val="00446454"/>
    <w:rsid w:val="004469C7"/>
    <w:rsid w:val="004472ED"/>
    <w:rsid w:val="004500FD"/>
    <w:rsid w:val="004509A1"/>
    <w:rsid w:val="004520EC"/>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1776"/>
    <w:rsid w:val="0049233C"/>
    <w:rsid w:val="00493A69"/>
    <w:rsid w:val="00494444"/>
    <w:rsid w:val="0049527E"/>
    <w:rsid w:val="004A0297"/>
    <w:rsid w:val="004A0A66"/>
    <w:rsid w:val="004A1DEA"/>
    <w:rsid w:val="004A217B"/>
    <w:rsid w:val="004A2C5A"/>
    <w:rsid w:val="004A3EEB"/>
    <w:rsid w:val="004A3EF8"/>
    <w:rsid w:val="004A4070"/>
    <w:rsid w:val="004A4621"/>
    <w:rsid w:val="004A4EDF"/>
    <w:rsid w:val="004A5E62"/>
    <w:rsid w:val="004A6771"/>
    <w:rsid w:val="004A7DE6"/>
    <w:rsid w:val="004A7E69"/>
    <w:rsid w:val="004B0291"/>
    <w:rsid w:val="004B02A5"/>
    <w:rsid w:val="004B276F"/>
    <w:rsid w:val="004B437E"/>
    <w:rsid w:val="004B580C"/>
    <w:rsid w:val="004B60E1"/>
    <w:rsid w:val="004B6E4E"/>
    <w:rsid w:val="004B7331"/>
    <w:rsid w:val="004B75FD"/>
    <w:rsid w:val="004B7798"/>
    <w:rsid w:val="004C0175"/>
    <w:rsid w:val="004C0A73"/>
    <w:rsid w:val="004C21AF"/>
    <w:rsid w:val="004C2625"/>
    <w:rsid w:val="004C2985"/>
    <w:rsid w:val="004C3428"/>
    <w:rsid w:val="004C34C6"/>
    <w:rsid w:val="004C4D2F"/>
    <w:rsid w:val="004C615E"/>
    <w:rsid w:val="004C657B"/>
    <w:rsid w:val="004C6C82"/>
    <w:rsid w:val="004C7131"/>
    <w:rsid w:val="004C7D35"/>
    <w:rsid w:val="004D25FE"/>
    <w:rsid w:val="004D2D73"/>
    <w:rsid w:val="004D31AC"/>
    <w:rsid w:val="004D3578"/>
    <w:rsid w:val="004D3F7B"/>
    <w:rsid w:val="004D4C6E"/>
    <w:rsid w:val="004D51CE"/>
    <w:rsid w:val="004D5518"/>
    <w:rsid w:val="004D552B"/>
    <w:rsid w:val="004E0828"/>
    <w:rsid w:val="004E0E2F"/>
    <w:rsid w:val="004E18BD"/>
    <w:rsid w:val="004E1EE8"/>
    <w:rsid w:val="004E2EA9"/>
    <w:rsid w:val="004E32A4"/>
    <w:rsid w:val="004E38AF"/>
    <w:rsid w:val="004E50D3"/>
    <w:rsid w:val="004E5AD9"/>
    <w:rsid w:val="004E5C54"/>
    <w:rsid w:val="004E600D"/>
    <w:rsid w:val="004E62E7"/>
    <w:rsid w:val="004E6889"/>
    <w:rsid w:val="004E7071"/>
    <w:rsid w:val="004F0F88"/>
    <w:rsid w:val="004F206A"/>
    <w:rsid w:val="004F2671"/>
    <w:rsid w:val="004F62FB"/>
    <w:rsid w:val="004F7873"/>
    <w:rsid w:val="005007BC"/>
    <w:rsid w:val="00500D5E"/>
    <w:rsid w:val="005021B6"/>
    <w:rsid w:val="00502422"/>
    <w:rsid w:val="00502D98"/>
    <w:rsid w:val="00502F90"/>
    <w:rsid w:val="0050315F"/>
    <w:rsid w:val="00503F8F"/>
    <w:rsid w:val="0050418D"/>
    <w:rsid w:val="0050496B"/>
    <w:rsid w:val="005056FB"/>
    <w:rsid w:val="00505DD1"/>
    <w:rsid w:val="005061FC"/>
    <w:rsid w:val="00506F2B"/>
    <w:rsid w:val="00510350"/>
    <w:rsid w:val="005105F1"/>
    <w:rsid w:val="005119A1"/>
    <w:rsid w:val="00511D50"/>
    <w:rsid w:val="0051257F"/>
    <w:rsid w:val="00512E7C"/>
    <w:rsid w:val="00513938"/>
    <w:rsid w:val="00516075"/>
    <w:rsid w:val="00516411"/>
    <w:rsid w:val="00516FE9"/>
    <w:rsid w:val="00521768"/>
    <w:rsid w:val="00522B84"/>
    <w:rsid w:val="005232EF"/>
    <w:rsid w:val="005236DD"/>
    <w:rsid w:val="00524935"/>
    <w:rsid w:val="0052527A"/>
    <w:rsid w:val="00525B78"/>
    <w:rsid w:val="00525E21"/>
    <w:rsid w:val="0052620D"/>
    <w:rsid w:val="00530C8F"/>
    <w:rsid w:val="005315CD"/>
    <w:rsid w:val="005315E2"/>
    <w:rsid w:val="00531E46"/>
    <w:rsid w:val="00531E6D"/>
    <w:rsid w:val="0053225F"/>
    <w:rsid w:val="0053227E"/>
    <w:rsid w:val="00533D60"/>
    <w:rsid w:val="00535EEE"/>
    <w:rsid w:val="00537EA9"/>
    <w:rsid w:val="00540099"/>
    <w:rsid w:val="005401DA"/>
    <w:rsid w:val="00540D74"/>
    <w:rsid w:val="005413EE"/>
    <w:rsid w:val="00542084"/>
    <w:rsid w:val="005422C9"/>
    <w:rsid w:val="005424DC"/>
    <w:rsid w:val="0054261B"/>
    <w:rsid w:val="0054345B"/>
    <w:rsid w:val="00543F0C"/>
    <w:rsid w:val="0054413A"/>
    <w:rsid w:val="0054468D"/>
    <w:rsid w:val="0054544A"/>
    <w:rsid w:val="0054583C"/>
    <w:rsid w:val="00545FCF"/>
    <w:rsid w:val="0054602F"/>
    <w:rsid w:val="00546879"/>
    <w:rsid w:val="00547075"/>
    <w:rsid w:val="00551B6C"/>
    <w:rsid w:val="00553633"/>
    <w:rsid w:val="00553AFE"/>
    <w:rsid w:val="00553E8A"/>
    <w:rsid w:val="005564DB"/>
    <w:rsid w:val="00560D30"/>
    <w:rsid w:val="00561128"/>
    <w:rsid w:val="00561944"/>
    <w:rsid w:val="005629F5"/>
    <w:rsid w:val="00563832"/>
    <w:rsid w:val="005664C2"/>
    <w:rsid w:val="00566ACC"/>
    <w:rsid w:val="005675CB"/>
    <w:rsid w:val="00567F22"/>
    <w:rsid w:val="005712CC"/>
    <w:rsid w:val="00571B2E"/>
    <w:rsid w:val="005742F2"/>
    <w:rsid w:val="005749BF"/>
    <w:rsid w:val="00575F71"/>
    <w:rsid w:val="00576382"/>
    <w:rsid w:val="005775FD"/>
    <w:rsid w:val="0057794F"/>
    <w:rsid w:val="00577D1D"/>
    <w:rsid w:val="00580993"/>
    <w:rsid w:val="00581A38"/>
    <w:rsid w:val="0058357A"/>
    <w:rsid w:val="005838D0"/>
    <w:rsid w:val="00583F1C"/>
    <w:rsid w:val="00584088"/>
    <w:rsid w:val="00585C33"/>
    <w:rsid w:val="0058618A"/>
    <w:rsid w:val="00586522"/>
    <w:rsid w:val="00586CC3"/>
    <w:rsid w:val="00587023"/>
    <w:rsid w:val="005918DD"/>
    <w:rsid w:val="005920E2"/>
    <w:rsid w:val="00592EEE"/>
    <w:rsid w:val="00595A03"/>
    <w:rsid w:val="0059721A"/>
    <w:rsid w:val="00597F23"/>
    <w:rsid w:val="005A04FC"/>
    <w:rsid w:val="005A152D"/>
    <w:rsid w:val="005A19BD"/>
    <w:rsid w:val="005A2590"/>
    <w:rsid w:val="005A2D24"/>
    <w:rsid w:val="005A2DAB"/>
    <w:rsid w:val="005A30FD"/>
    <w:rsid w:val="005A3ADB"/>
    <w:rsid w:val="005A46E2"/>
    <w:rsid w:val="005A65ED"/>
    <w:rsid w:val="005A71C4"/>
    <w:rsid w:val="005B0384"/>
    <w:rsid w:val="005B04ED"/>
    <w:rsid w:val="005B07E5"/>
    <w:rsid w:val="005B0C56"/>
    <w:rsid w:val="005B0D19"/>
    <w:rsid w:val="005B1A6C"/>
    <w:rsid w:val="005B1BC5"/>
    <w:rsid w:val="005B249B"/>
    <w:rsid w:val="005B2D41"/>
    <w:rsid w:val="005B3276"/>
    <w:rsid w:val="005B3297"/>
    <w:rsid w:val="005B362E"/>
    <w:rsid w:val="005B5595"/>
    <w:rsid w:val="005B7E9C"/>
    <w:rsid w:val="005C0109"/>
    <w:rsid w:val="005C31E4"/>
    <w:rsid w:val="005C38DA"/>
    <w:rsid w:val="005C418B"/>
    <w:rsid w:val="005C4A8F"/>
    <w:rsid w:val="005C5216"/>
    <w:rsid w:val="005C5D67"/>
    <w:rsid w:val="005C6021"/>
    <w:rsid w:val="005C7E42"/>
    <w:rsid w:val="005D0ABE"/>
    <w:rsid w:val="005D19DA"/>
    <w:rsid w:val="005D1EF0"/>
    <w:rsid w:val="005D3019"/>
    <w:rsid w:val="005D6F75"/>
    <w:rsid w:val="005E03F3"/>
    <w:rsid w:val="005E0EFA"/>
    <w:rsid w:val="005E1C2B"/>
    <w:rsid w:val="005E1F09"/>
    <w:rsid w:val="005E256A"/>
    <w:rsid w:val="005E42EA"/>
    <w:rsid w:val="005E6375"/>
    <w:rsid w:val="005E71C8"/>
    <w:rsid w:val="005E7B6C"/>
    <w:rsid w:val="005F08E3"/>
    <w:rsid w:val="005F1A20"/>
    <w:rsid w:val="005F1FF8"/>
    <w:rsid w:val="005F2A70"/>
    <w:rsid w:val="005F3679"/>
    <w:rsid w:val="005F49EE"/>
    <w:rsid w:val="005F4D2A"/>
    <w:rsid w:val="005F5123"/>
    <w:rsid w:val="005F5370"/>
    <w:rsid w:val="005F5BC3"/>
    <w:rsid w:val="005F6990"/>
    <w:rsid w:val="005F784C"/>
    <w:rsid w:val="005F78B1"/>
    <w:rsid w:val="006009FE"/>
    <w:rsid w:val="00601E78"/>
    <w:rsid w:val="00601EF7"/>
    <w:rsid w:val="006036C9"/>
    <w:rsid w:val="00605468"/>
    <w:rsid w:val="00605E19"/>
    <w:rsid w:val="00606708"/>
    <w:rsid w:val="006125B6"/>
    <w:rsid w:val="006144D0"/>
    <w:rsid w:val="00615FD2"/>
    <w:rsid w:val="00616F54"/>
    <w:rsid w:val="00617E3F"/>
    <w:rsid w:val="00621960"/>
    <w:rsid w:val="006220BE"/>
    <w:rsid w:val="006245C7"/>
    <w:rsid w:val="00624FBF"/>
    <w:rsid w:val="00625B63"/>
    <w:rsid w:val="00626153"/>
    <w:rsid w:val="006263F4"/>
    <w:rsid w:val="006264C5"/>
    <w:rsid w:val="00626624"/>
    <w:rsid w:val="00626837"/>
    <w:rsid w:val="00627139"/>
    <w:rsid w:val="00627646"/>
    <w:rsid w:val="00627834"/>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0BE"/>
    <w:rsid w:val="00650A58"/>
    <w:rsid w:val="00650E02"/>
    <w:rsid w:val="0065176D"/>
    <w:rsid w:val="00651D16"/>
    <w:rsid w:val="006520D8"/>
    <w:rsid w:val="00654501"/>
    <w:rsid w:val="006550DA"/>
    <w:rsid w:val="00656782"/>
    <w:rsid w:val="00656E08"/>
    <w:rsid w:val="006606B4"/>
    <w:rsid w:val="00663398"/>
    <w:rsid w:val="00663FB6"/>
    <w:rsid w:val="00664E0B"/>
    <w:rsid w:val="0066623A"/>
    <w:rsid w:val="00666393"/>
    <w:rsid w:val="00666E99"/>
    <w:rsid w:val="006672D5"/>
    <w:rsid w:val="00670AFA"/>
    <w:rsid w:val="00671531"/>
    <w:rsid w:val="00672170"/>
    <w:rsid w:val="006728A2"/>
    <w:rsid w:val="00674801"/>
    <w:rsid w:val="00674E6E"/>
    <w:rsid w:val="006778F5"/>
    <w:rsid w:val="00677C31"/>
    <w:rsid w:val="00680A49"/>
    <w:rsid w:val="00680B0D"/>
    <w:rsid w:val="00681897"/>
    <w:rsid w:val="00682688"/>
    <w:rsid w:val="00682EDD"/>
    <w:rsid w:val="00684B58"/>
    <w:rsid w:val="00686223"/>
    <w:rsid w:val="006879C5"/>
    <w:rsid w:val="00687CE9"/>
    <w:rsid w:val="00687E64"/>
    <w:rsid w:val="0069055E"/>
    <w:rsid w:val="0069079F"/>
    <w:rsid w:val="00690B43"/>
    <w:rsid w:val="00691A84"/>
    <w:rsid w:val="00691C01"/>
    <w:rsid w:val="006927F6"/>
    <w:rsid w:val="00692FA9"/>
    <w:rsid w:val="0069441D"/>
    <w:rsid w:val="006947B9"/>
    <w:rsid w:val="00694F5A"/>
    <w:rsid w:val="006953D8"/>
    <w:rsid w:val="00697072"/>
    <w:rsid w:val="006A0458"/>
    <w:rsid w:val="006A21E3"/>
    <w:rsid w:val="006A26F4"/>
    <w:rsid w:val="006A4D9A"/>
    <w:rsid w:val="006B0191"/>
    <w:rsid w:val="006B3280"/>
    <w:rsid w:val="006B39D4"/>
    <w:rsid w:val="006B44F2"/>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27C6"/>
    <w:rsid w:val="006D2A57"/>
    <w:rsid w:val="006D31B7"/>
    <w:rsid w:val="006D4910"/>
    <w:rsid w:val="006D4B70"/>
    <w:rsid w:val="006D4E0F"/>
    <w:rsid w:val="006D59EE"/>
    <w:rsid w:val="006D64B9"/>
    <w:rsid w:val="006D67E8"/>
    <w:rsid w:val="006D7A83"/>
    <w:rsid w:val="006D7C01"/>
    <w:rsid w:val="006E3956"/>
    <w:rsid w:val="006E3D0A"/>
    <w:rsid w:val="006E4343"/>
    <w:rsid w:val="006E5A2F"/>
    <w:rsid w:val="006E6801"/>
    <w:rsid w:val="006E7E9B"/>
    <w:rsid w:val="006F0622"/>
    <w:rsid w:val="006F13E1"/>
    <w:rsid w:val="006F3551"/>
    <w:rsid w:val="006F3847"/>
    <w:rsid w:val="006F452D"/>
    <w:rsid w:val="006F4BB9"/>
    <w:rsid w:val="00700381"/>
    <w:rsid w:val="007006B5"/>
    <w:rsid w:val="007063EF"/>
    <w:rsid w:val="007068B0"/>
    <w:rsid w:val="00707787"/>
    <w:rsid w:val="007079A7"/>
    <w:rsid w:val="007117A5"/>
    <w:rsid w:val="00711A9F"/>
    <w:rsid w:val="0071422A"/>
    <w:rsid w:val="00714562"/>
    <w:rsid w:val="00714D62"/>
    <w:rsid w:val="00714FBB"/>
    <w:rsid w:val="00715D80"/>
    <w:rsid w:val="00717715"/>
    <w:rsid w:val="00717D74"/>
    <w:rsid w:val="0072028F"/>
    <w:rsid w:val="00721F8D"/>
    <w:rsid w:val="007230C9"/>
    <w:rsid w:val="007239A4"/>
    <w:rsid w:val="007240D6"/>
    <w:rsid w:val="0072571C"/>
    <w:rsid w:val="00725891"/>
    <w:rsid w:val="00725996"/>
    <w:rsid w:val="00725C9B"/>
    <w:rsid w:val="00725E02"/>
    <w:rsid w:val="0072654B"/>
    <w:rsid w:val="00726573"/>
    <w:rsid w:val="00726A0A"/>
    <w:rsid w:val="00726F61"/>
    <w:rsid w:val="00727B8C"/>
    <w:rsid w:val="007300C8"/>
    <w:rsid w:val="007301D1"/>
    <w:rsid w:val="00731A5E"/>
    <w:rsid w:val="007325F2"/>
    <w:rsid w:val="00732F90"/>
    <w:rsid w:val="007338F6"/>
    <w:rsid w:val="007345BE"/>
    <w:rsid w:val="00735DD5"/>
    <w:rsid w:val="00736C5F"/>
    <w:rsid w:val="00737469"/>
    <w:rsid w:val="007408E5"/>
    <w:rsid w:val="00741A01"/>
    <w:rsid w:val="007428B8"/>
    <w:rsid w:val="00743A82"/>
    <w:rsid w:val="007441F0"/>
    <w:rsid w:val="007443F9"/>
    <w:rsid w:val="00744872"/>
    <w:rsid w:val="0074511B"/>
    <w:rsid w:val="007459BA"/>
    <w:rsid w:val="00747411"/>
    <w:rsid w:val="00747448"/>
    <w:rsid w:val="007504F6"/>
    <w:rsid w:val="0075184C"/>
    <w:rsid w:val="007524D1"/>
    <w:rsid w:val="00752500"/>
    <w:rsid w:val="00752B61"/>
    <w:rsid w:val="00752C13"/>
    <w:rsid w:val="007530BE"/>
    <w:rsid w:val="00753983"/>
    <w:rsid w:val="00753E4E"/>
    <w:rsid w:val="0075427E"/>
    <w:rsid w:val="007546B4"/>
    <w:rsid w:val="0075502E"/>
    <w:rsid w:val="007554CA"/>
    <w:rsid w:val="00755793"/>
    <w:rsid w:val="00755BE2"/>
    <w:rsid w:val="0075655B"/>
    <w:rsid w:val="00756B31"/>
    <w:rsid w:val="0075793C"/>
    <w:rsid w:val="00757FE6"/>
    <w:rsid w:val="00760B58"/>
    <w:rsid w:val="00760E82"/>
    <w:rsid w:val="00761032"/>
    <w:rsid w:val="00761311"/>
    <w:rsid w:val="0076196C"/>
    <w:rsid w:val="007623BC"/>
    <w:rsid w:val="007628FC"/>
    <w:rsid w:val="00763B0C"/>
    <w:rsid w:val="00764597"/>
    <w:rsid w:val="007646CA"/>
    <w:rsid w:val="00765137"/>
    <w:rsid w:val="00765B40"/>
    <w:rsid w:val="00766978"/>
    <w:rsid w:val="00774172"/>
    <w:rsid w:val="00775047"/>
    <w:rsid w:val="00780769"/>
    <w:rsid w:val="00781304"/>
    <w:rsid w:val="00783D18"/>
    <w:rsid w:val="00783DEF"/>
    <w:rsid w:val="00783F66"/>
    <w:rsid w:val="0078429D"/>
    <w:rsid w:val="00784929"/>
    <w:rsid w:val="00784AB3"/>
    <w:rsid w:val="00784C3E"/>
    <w:rsid w:val="00785190"/>
    <w:rsid w:val="00786BC9"/>
    <w:rsid w:val="00786F7D"/>
    <w:rsid w:val="00787AA1"/>
    <w:rsid w:val="0079040C"/>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5204"/>
    <w:rsid w:val="007A52B6"/>
    <w:rsid w:val="007A586B"/>
    <w:rsid w:val="007A5DB9"/>
    <w:rsid w:val="007A6544"/>
    <w:rsid w:val="007A67F3"/>
    <w:rsid w:val="007A7E25"/>
    <w:rsid w:val="007B0AE7"/>
    <w:rsid w:val="007B2360"/>
    <w:rsid w:val="007B3BFE"/>
    <w:rsid w:val="007B4307"/>
    <w:rsid w:val="007B5B7F"/>
    <w:rsid w:val="007C042A"/>
    <w:rsid w:val="007C091C"/>
    <w:rsid w:val="007C2D07"/>
    <w:rsid w:val="007C32B6"/>
    <w:rsid w:val="007C593C"/>
    <w:rsid w:val="007C5FDC"/>
    <w:rsid w:val="007C6090"/>
    <w:rsid w:val="007C64A9"/>
    <w:rsid w:val="007C701B"/>
    <w:rsid w:val="007C7046"/>
    <w:rsid w:val="007D01C2"/>
    <w:rsid w:val="007D1B44"/>
    <w:rsid w:val="007D292F"/>
    <w:rsid w:val="007D2F15"/>
    <w:rsid w:val="007D3EBF"/>
    <w:rsid w:val="007D400C"/>
    <w:rsid w:val="007D4FFD"/>
    <w:rsid w:val="007D5713"/>
    <w:rsid w:val="007E1BD5"/>
    <w:rsid w:val="007E2496"/>
    <w:rsid w:val="007E26E8"/>
    <w:rsid w:val="007E2E82"/>
    <w:rsid w:val="007E4E7D"/>
    <w:rsid w:val="007E4F0C"/>
    <w:rsid w:val="007E59A7"/>
    <w:rsid w:val="007E5D5E"/>
    <w:rsid w:val="007E6EC6"/>
    <w:rsid w:val="007F0F78"/>
    <w:rsid w:val="007F1BA7"/>
    <w:rsid w:val="007F1C30"/>
    <w:rsid w:val="007F251E"/>
    <w:rsid w:val="007F2B29"/>
    <w:rsid w:val="007F4EC2"/>
    <w:rsid w:val="007F5068"/>
    <w:rsid w:val="007F5589"/>
    <w:rsid w:val="007F5F1A"/>
    <w:rsid w:val="007F5F3F"/>
    <w:rsid w:val="007F69A9"/>
    <w:rsid w:val="007F7333"/>
    <w:rsid w:val="007F76B0"/>
    <w:rsid w:val="007F7B65"/>
    <w:rsid w:val="007F7F08"/>
    <w:rsid w:val="008000D4"/>
    <w:rsid w:val="00800255"/>
    <w:rsid w:val="0080173F"/>
    <w:rsid w:val="008021B2"/>
    <w:rsid w:val="00802B5E"/>
    <w:rsid w:val="00803803"/>
    <w:rsid w:val="00803C02"/>
    <w:rsid w:val="00804268"/>
    <w:rsid w:val="0080451F"/>
    <w:rsid w:val="008049BC"/>
    <w:rsid w:val="008057BE"/>
    <w:rsid w:val="0080755B"/>
    <w:rsid w:val="00807DF0"/>
    <w:rsid w:val="00810C25"/>
    <w:rsid w:val="00811740"/>
    <w:rsid w:val="008119D8"/>
    <w:rsid w:val="008131C5"/>
    <w:rsid w:val="00820188"/>
    <w:rsid w:val="00820A1A"/>
    <w:rsid w:val="00820C0C"/>
    <w:rsid w:val="00821F53"/>
    <w:rsid w:val="00822865"/>
    <w:rsid w:val="00823DC6"/>
    <w:rsid w:val="00825B11"/>
    <w:rsid w:val="00825DCC"/>
    <w:rsid w:val="00826352"/>
    <w:rsid w:val="00827824"/>
    <w:rsid w:val="00827A2B"/>
    <w:rsid w:val="00827B1A"/>
    <w:rsid w:val="00830650"/>
    <w:rsid w:val="00830C3E"/>
    <w:rsid w:val="00831437"/>
    <w:rsid w:val="0083237F"/>
    <w:rsid w:val="008324B2"/>
    <w:rsid w:val="008328D1"/>
    <w:rsid w:val="00834FA0"/>
    <w:rsid w:val="00834FF2"/>
    <w:rsid w:val="008351D9"/>
    <w:rsid w:val="00841706"/>
    <w:rsid w:val="0084311D"/>
    <w:rsid w:val="008434F1"/>
    <w:rsid w:val="0084390C"/>
    <w:rsid w:val="00843E6B"/>
    <w:rsid w:val="008508F8"/>
    <w:rsid w:val="00851382"/>
    <w:rsid w:val="0085211C"/>
    <w:rsid w:val="008523D4"/>
    <w:rsid w:val="008539AE"/>
    <w:rsid w:val="00853B8C"/>
    <w:rsid w:val="00854334"/>
    <w:rsid w:val="0086039A"/>
    <w:rsid w:val="0086125E"/>
    <w:rsid w:val="00862B11"/>
    <w:rsid w:val="008641A6"/>
    <w:rsid w:val="00864416"/>
    <w:rsid w:val="00865044"/>
    <w:rsid w:val="008653DE"/>
    <w:rsid w:val="00865867"/>
    <w:rsid w:val="0086611F"/>
    <w:rsid w:val="008662B0"/>
    <w:rsid w:val="00867002"/>
    <w:rsid w:val="00867F9A"/>
    <w:rsid w:val="0087085A"/>
    <w:rsid w:val="00871C81"/>
    <w:rsid w:val="008732A1"/>
    <w:rsid w:val="008741C6"/>
    <w:rsid w:val="00874363"/>
    <w:rsid w:val="00874598"/>
    <w:rsid w:val="00875C64"/>
    <w:rsid w:val="00875E19"/>
    <w:rsid w:val="00876140"/>
    <w:rsid w:val="00880627"/>
    <w:rsid w:val="0088225A"/>
    <w:rsid w:val="00883193"/>
    <w:rsid w:val="008842F0"/>
    <w:rsid w:val="00885FAD"/>
    <w:rsid w:val="008903B9"/>
    <w:rsid w:val="00890F21"/>
    <w:rsid w:val="008921C4"/>
    <w:rsid w:val="00892230"/>
    <w:rsid w:val="00895237"/>
    <w:rsid w:val="00895572"/>
    <w:rsid w:val="00896138"/>
    <w:rsid w:val="0089650D"/>
    <w:rsid w:val="00896EB2"/>
    <w:rsid w:val="00897024"/>
    <w:rsid w:val="00897355"/>
    <w:rsid w:val="00897969"/>
    <w:rsid w:val="00897BE1"/>
    <w:rsid w:val="008A012E"/>
    <w:rsid w:val="008A022B"/>
    <w:rsid w:val="008A03A9"/>
    <w:rsid w:val="008A1BE4"/>
    <w:rsid w:val="008A3440"/>
    <w:rsid w:val="008A4C94"/>
    <w:rsid w:val="008A52B6"/>
    <w:rsid w:val="008A556F"/>
    <w:rsid w:val="008A6305"/>
    <w:rsid w:val="008A692F"/>
    <w:rsid w:val="008A7301"/>
    <w:rsid w:val="008B00B4"/>
    <w:rsid w:val="008B0CEC"/>
    <w:rsid w:val="008B30E7"/>
    <w:rsid w:val="008B49E3"/>
    <w:rsid w:val="008B6E8F"/>
    <w:rsid w:val="008B7156"/>
    <w:rsid w:val="008B73F4"/>
    <w:rsid w:val="008C034D"/>
    <w:rsid w:val="008C037F"/>
    <w:rsid w:val="008C055D"/>
    <w:rsid w:val="008C1095"/>
    <w:rsid w:val="008C2D66"/>
    <w:rsid w:val="008C3385"/>
    <w:rsid w:val="008C7200"/>
    <w:rsid w:val="008C79A7"/>
    <w:rsid w:val="008D0126"/>
    <w:rsid w:val="008D0BF7"/>
    <w:rsid w:val="008D12EB"/>
    <w:rsid w:val="008D1C5A"/>
    <w:rsid w:val="008D330F"/>
    <w:rsid w:val="008D33A4"/>
    <w:rsid w:val="008D3C8C"/>
    <w:rsid w:val="008D3E04"/>
    <w:rsid w:val="008D494B"/>
    <w:rsid w:val="008D565C"/>
    <w:rsid w:val="008D600B"/>
    <w:rsid w:val="008D6F7B"/>
    <w:rsid w:val="008D7768"/>
    <w:rsid w:val="008D7F07"/>
    <w:rsid w:val="008E3F43"/>
    <w:rsid w:val="008E59AA"/>
    <w:rsid w:val="008E5FC2"/>
    <w:rsid w:val="008E718E"/>
    <w:rsid w:val="008E7569"/>
    <w:rsid w:val="008F0D9F"/>
    <w:rsid w:val="008F126C"/>
    <w:rsid w:val="008F14E4"/>
    <w:rsid w:val="008F1E48"/>
    <w:rsid w:val="008F218A"/>
    <w:rsid w:val="008F283C"/>
    <w:rsid w:val="008F3247"/>
    <w:rsid w:val="008F398D"/>
    <w:rsid w:val="008F4043"/>
    <w:rsid w:val="008F4238"/>
    <w:rsid w:val="008F4CB0"/>
    <w:rsid w:val="008F5594"/>
    <w:rsid w:val="008F5E8B"/>
    <w:rsid w:val="008F63BA"/>
    <w:rsid w:val="00900115"/>
    <w:rsid w:val="00902CE8"/>
    <w:rsid w:val="00903FB9"/>
    <w:rsid w:val="00904FB4"/>
    <w:rsid w:val="009057C4"/>
    <w:rsid w:val="0090627A"/>
    <w:rsid w:val="00906680"/>
    <w:rsid w:val="00906792"/>
    <w:rsid w:val="009074DF"/>
    <w:rsid w:val="00907D12"/>
    <w:rsid w:val="00910D00"/>
    <w:rsid w:val="00912857"/>
    <w:rsid w:val="0091309B"/>
    <w:rsid w:val="009142E1"/>
    <w:rsid w:val="00915A6F"/>
    <w:rsid w:val="00916515"/>
    <w:rsid w:val="00917AAF"/>
    <w:rsid w:val="00920394"/>
    <w:rsid w:val="00921052"/>
    <w:rsid w:val="0092183E"/>
    <w:rsid w:val="00923B64"/>
    <w:rsid w:val="00923D3E"/>
    <w:rsid w:val="0092443E"/>
    <w:rsid w:val="009258E5"/>
    <w:rsid w:val="00925D36"/>
    <w:rsid w:val="00926548"/>
    <w:rsid w:val="0092741A"/>
    <w:rsid w:val="00930E4B"/>
    <w:rsid w:val="00931B5B"/>
    <w:rsid w:val="00931B6C"/>
    <w:rsid w:val="0093233F"/>
    <w:rsid w:val="00933A7E"/>
    <w:rsid w:val="009359E2"/>
    <w:rsid w:val="0094010C"/>
    <w:rsid w:val="009402E4"/>
    <w:rsid w:val="00940400"/>
    <w:rsid w:val="0094250B"/>
    <w:rsid w:val="0094283C"/>
    <w:rsid w:val="00942948"/>
    <w:rsid w:val="00944383"/>
    <w:rsid w:val="00946589"/>
    <w:rsid w:val="00947284"/>
    <w:rsid w:val="009473A6"/>
    <w:rsid w:val="00947C18"/>
    <w:rsid w:val="0095033D"/>
    <w:rsid w:val="00950E16"/>
    <w:rsid w:val="00951F57"/>
    <w:rsid w:val="00952388"/>
    <w:rsid w:val="00952A7F"/>
    <w:rsid w:val="00954369"/>
    <w:rsid w:val="00954992"/>
    <w:rsid w:val="0095616A"/>
    <w:rsid w:val="009564FE"/>
    <w:rsid w:val="00956F45"/>
    <w:rsid w:val="00957C71"/>
    <w:rsid w:val="00962936"/>
    <w:rsid w:val="00962D25"/>
    <w:rsid w:val="00962EB1"/>
    <w:rsid w:val="0096332C"/>
    <w:rsid w:val="00963DB6"/>
    <w:rsid w:val="0096540A"/>
    <w:rsid w:val="00967631"/>
    <w:rsid w:val="00970C90"/>
    <w:rsid w:val="009712EB"/>
    <w:rsid w:val="00973469"/>
    <w:rsid w:val="00974FF2"/>
    <w:rsid w:val="00977941"/>
    <w:rsid w:val="00981A6F"/>
    <w:rsid w:val="00982F2A"/>
    <w:rsid w:val="00982F34"/>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2F63"/>
    <w:rsid w:val="009A3642"/>
    <w:rsid w:val="009A3A01"/>
    <w:rsid w:val="009A4B11"/>
    <w:rsid w:val="009A4B54"/>
    <w:rsid w:val="009A4F82"/>
    <w:rsid w:val="009A6A4A"/>
    <w:rsid w:val="009A7302"/>
    <w:rsid w:val="009B23DC"/>
    <w:rsid w:val="009B3800"/>
    <w:rsid w:val="009B4ECA"/>
    <w:rsid w:val="009B5124"/>
    <w:rsid w:val="009B5816"/>
    <w:rsid w:val="009B582A"/>
    <w:rsid w:val="009B6214"/>
    <w:rsid w:val="009B64BB"/>
    <w:rsid w:val="009B6EC5"/>
    <w:rsid w:val="009C11CF"/>
    <w:rsid w:val="009C1DA2"/>
    <w:rsid w:val="009C398F"/>
    <w:rsid w:val="009C3A16"/>
    <w:rsid w:val="009C44FD"/>
    <w:rsid w:val="009C64D2"/>
    <w:rsid w:val="009C672B"/>
    <w:rsid w:val="009D003C"/>
    <w:rsid w:val="009D2FCA"/>
    <w:rsid w:val="009D3036"/>
    <w:rsid w:val="009D4636"/>
    <w:rsid w:val="009D4658"/>
    <w:rsid w:val="009D4A3C"/>
    <w:rsid w:val="009D761F"/>
    <w:rsid w:val="009D7C62"/>
    <w:rsid w:val="009E0BA9"/>
    <w:rsid w:val="009E0BAB"/>
    <w:rsid w:val="009E1FE3"/>
    <w:rsid w:val="009E2435"/>
    <w:rsid w:val="009E4120"/>
    <w:rsid w:val="009E444C"/>
    <w:rsid w:val="009E557D"/>
    <w:rsid w:val="009E5A17"/>
    <w:rsid w:val="009E5F12"/>
    <w:rsid w:val="009F239C"/>
    <w:rsid w:val="009F5476"/>
    <w:rsid w:val="009F683B"/>
    <w:rsid w:val="009F6B76"/>
    <w:rsid w:val="00A00968"/>
    <w:rsid w:val="00A015A9"/>
    <w:rsid w:val="00A02EAF"/>
    <w:rsid w:val="00A05AA7"/>
    <w:rsid w:val="00A06D5A"/>
    <w:rsid w:val="00A119BF"/>
    <w:rsid w:val="00A1227D"/>
    <w:rsid w:val="00A12BC1"/>
    <w:rsid w:val="00A13DB9"/>
    <w:rsid w:val="00A1410C"/>
    <w:rsid w:val="00A14BD9"/>
    <w:rsid w:val="00A16786"/>
    <w:rsid w:val="00A1787F"/>
    <w:rsid w:val="00A20615"/>
    <w:rsid w:val="00A23E00"/>
    <w:rsid w:val="00A2403D"/>
    <w:rsid w:val="00A24B08"/>
    <w:rsid w:val="00A24B10"/>
    <w:rsid w:val="00A25682"/>
    <w:rsid w:val="00A2638B"/>
    <w:rsid w:val="00A2671E"/>
    <w:rsid w:val="00A26CA6"/>
    <w:rsid w:val="00A26D6F"/>
    <w:rsid w:val="00A3062E"/>
    <w:rsid w:val="00A31A8B"/>
    <w:rsid w:val="00A328A0"/>
    <w:rsid w:val="00A32EDA"/>
    <w:rsid w:val="00A33131"/>
    <w:rsid w:val="00A33882"/>
    <w:rsid w:val="00A3578F"/>
    <w:rsid w:val="00A360CF"/>
    <w:rsid w:val="00A36D4E"/>
    <w:rsid w:val="00A40C5C"/>
    <w:rsid w:val="00A416C2"/>
    <w:rsid w:val="00A41AEE"/>
    <w:rsid w:val="00A42651"/>
    <w:rsid w:val="00A44016"/>
    <w:rsid w:val="00A44EE3"/>
    <w:rsid w:val="00A459AE"/>
    <w:rsid w:val="00A4661C"/>
    <w:rsid w:val="00A47CED"/>
    <w:rsid w:val="00A51DEC"/>
    <w:rsid w:val="00A525C3"/>
    <w:rsid w:val="00A534F0"/>
    <w:rsid w:val="00A54428"/>
    <w:rsid w:val="00A569E7"/>
    <w:rsid w:val="00A56A6C"/>
    <w:rsid w:val="00A6055F"/>
    <w:rsid w:val="00A62738"/>
    <w:rsid w:val="00A62BC0"/>
    <w:rsid w:val="00A63604"/>
    <w:rsid w:val="00A64515"/>
    <w:rsid w:val="00A65071"/>
    <w:rsid w:val="00A6593D"/>
    <w:rsid w:val="00A66718"/>
    <w:rsid w:val="00A6722A"/>
    <w:rsid w:val="00A672D7"/>
    <w:rsid w:val="00A707BA"/>
    <w:rsid w:val="00A70EB4"/>
    <w:rsid w:val="00A71584"/>
    <w:rsid w:val="00A71F25"/>
    <w:rsid w:val="00A73A68"/>
    <w:rsid w:val="00A74195"/>
    <w:rsid w:val="00A74B2E"/>
    <w:rsid w:val="00A75A88"/>
    <w:rsid w:val="00A75D5B"/>
    <w:rsid w:val="00A76BB0"/>
    <w:rsid w:val="00A76DDF"/>
    <w:rsid w:val="00A7703F"/>
    <w:rsid w:val="00A7721D"/>
    <w:rsid w:val="00A77264"/>
    <w:rsid w:val="00A77C4E"/>
    <w:rsid w:val="00A77E1E"/>
    <w:rsid w:val="00A804C5"/>
    <w:rsid w:val="00A80AFC"/>
    <w:rsid w:val="00A81148"/>
    <w:rsid w:val="00A825B7"/>
    <w:rsid w:val="00A82606"/>
    <w:rsid w:val="00A82FDF"/>
    <w:rsid w:val="00A833B7"/>
    <w:rsid w:val="00A83D46"/>
    <w:rsid w:val="00A83E2A"/>
    <w:rsid w:val="00A84344"/>
    <w:rsid w:val="00A8489D"/>
    <w:rsid w:val="00A84C32"/>
    <w:rsid w:val="00A877B0"/>
    <w:rsid w:val="00A879BD"/>
    <w:rsid w:val="00A90A2B"/>
    <w:rsid w:val="00A90B63"/>
    <w:rsid w:val="00A924A8"/>
    <w:rsid w:val="00A93F54"/>
    <w:rsid w:val="00A9428F"/>
    <w:rsid w:val="00A95E31"/>
    <w:rsid w:val="00A962BA"/>
    <w:rsid w:val="00A96815"/>
    <w:rsid w:val="00A9735F"/>
    <w:rsid w:val="00A976C0"/>
    <w:rsid w:val="00AA05BC"/>
    <w:rsid w:val="00AA208A"/>
    <w:rsid w:val="00AA27C6"/>
    <w:rsid w:val="00AA28CC"/>
    <w:rsid w:val="00AA2B56"/>
    <w:rsid w:val="00AA4279"/>
    <w:rsid w:val="00AA43B8"/>
    <w:rsid w:val="00AA52EB"/>
    <w:rsid w:val="00AA536E"/>
    <w:rsid w:val="00AA736A"/>
    <w:rsid w:val="00AA7849"/>
    <w:rsid w:val="00AB09FB"/>
    <w:rsid w:val="00AB0FF1"/>
    <w:rsid w:val="00AB1E5E"/>
    <w:rsid w:val="00AB31C8"/>
    <w:rsid w:val="00AB4738"/>
    <w:rsid w:val="00AB4D91"/>
    <w:rsid w:val="00AB5BD0"/>
    <w:rsid w:val="00AB5E4D"/>
    <w:rsid w:val="00AB6B52"/>
    <w:rsid w:val="00AB7086"/>
    <w:rsid w:val="00AB7DEA"/>
    <w:rsid w:val="00AC0431"/>
    <w:rsid w:val="00AC1CB7"/>
    <w:rsid w:val="00AC233D"/>
    <w:rsid w:val="00AC2BEF"/>
    <w:rsid w:val="00AC3664"/>
    <w:rsid w:val="00AC429E"/>
    <w:rsid w:val="00AC4712"/>
    <w:rsid w:val="00AC55F6"/>
    <w:rsid w:val="00AC5888"/>
    <w:rsid w:val="00AC6BFF"/>
    <w:rsid w:val="00AD0989"/>
    <w:rsid w:val="00AD2C10"/>
    <w:rsid w:val="00AD2CD9"/>
    <w:rsid w:val="00AD46AF"/>
    <w:rsid w:val="00AD49DA"/>
    <w:rsid w:val="00AD53F5"/>
    <w:rsid w:val="00AD6BC1"/>
    <w:rsid w:val="00AD6D0B"/>
    <w:rsid w:val="00AD708B"/>
    <w:rsid w:val="00AD769D"/>
    <w:rsid w:val="00AE0997"/>
    <w:rsid w:val="00AE24FF"/>
    <w:rsid w:val="00AE251A"/>
    <w:rsid w:val="00AE25F2"/>
    <w:rsid w:val="00AE5877"/>
    <w:rsid w:val="00AE62F2"/>
    <w:rsid w:val="00AF00BD"/>
    <w:rsid w:val="00AF0C95"/>
    <w:rsid w:val="00AF1B57"/>
    <w:rsid w:val="00AF1DA3"/>
    <w:rsid w:val="00AF281C"/>
    <w:rsid w:val="00AF34C2"/>
    <w:rsid w:val="00AF45E5"/>
    <w:rsid w:val="00AF51FE"/>
    <w:rsid w:val="00AF7917"/>
    <w:rsid w:val="00B0168C"/>
    <w:rsid w:val="00B01FE3"/>
    <w:rsid w:val="00B03967"/>
    <w:rsid w:val="00B043A9"/>
    <w:rsid w:val="00B044E8"/>
    <w:rsid w:val="00B05C27"/>
    <w:rsid w:val="00B05C98"/>
    <w:rsid w:val="00B06110"/>
    <w:rsid w:val="00B07E1E"/>
    <w:rsid w:val="00B07EEA"/>
    <w:rsid w:val="00B10791"/>
    <w:rsid w:val="00B10C96"/>
    <w:rsid w:val="00B1158B"/>
    <w:rsid w:val="00B12150"/>
    <w:rsid w:val="00B1318C"/>
    <w:rsid w:val="00B134C8"/>
    <w:rsid w:val="00B13F7E"/>
    <w:rsid w:val="00B1540F"/>
    <w:rsid w:val="00B15556"/>
    <w:rsid w:val="00B210BD"/>
    <w:rsid w:val="00B21998"/>
    <w:rsid w:val="00B23300"/>
    <w:rsid w:val="00B24AFE"/>
    <w:rsid w:val="00B25057"/>
    <w:rsid w:val="00B265C4"/>
    <w:rsid w:val="00B274E8"/>
    <w:rsid w:val="00B27CA5"/>
    <w:rsid w:val="00B31D72"/>
    <w:rsid w:val="00B32860"/>
    <w:rsid w:val="00B32C5A"/>
    <w:rsid w:val="00B32F5F"/>
    <w:rsid w:val="00B33C8E"/>
    <w:rsid w:val="00B365F4"/>
    <w:rsid w:val="00B36CC4"/>
    <w:rsid w:val="00B373F9"/>
    <w:rsid w:val="00B37DEF"/>
    <w:rsid w:val="00B4002C"/>
    <w:rsid w:val="00B4105D"/>
    <w:rsid w:val="00B41652"/>
    <w:rsid w:val="00B42C27"/>
    <w:rsid w:val="00B42CAE"/>
    <w:rsid w:val="00B44A58"/>
    <w:rsid w:val="00B44E44"/>
    <w:rsid w:val="00B45292"/>
    <w:rsid w:val="00B455C0"/>
    <w:rsid w:val="00B47628"/>
    <w:rsid w:val="00B51700"/>
    <w:rsid w:val="00B52D61"/>
    <w:rsid w:val="00B52D98"/>
    <w:rsid w:val="00B53B61"/>
    <w:rsid w:val="00B55DB1"/>
    <w:rsid w:val="00B55FC5"/>
    <w:rsid w:val="00B6021C"/>
    <w:rsid w:val="00B6178D"/>
    <w:rsid w:val="00B62626"/>
    <w:rsid w:val="00B62631"/>
    <w:rsid w:val="00B62826"/>
    <w:rsid w:val="00B62870"/>
    <w:rsid w:val="00B63A9E"/>
    <w:rsid w:val="00B64830"/>
    <w:rsid w:val="00B6753D"/>
    <w:rsid w:val="00B70F1A"/>
    <w:rsid w:val="00B7172F"/>
    <w:rsid w:val="00B726A0"/>
    <w:rsid w:val="00B73277"/>
    <w:rsid w:val="00B73BEA"/>
    <w:rsid w:val="00B74270"/>
    <w:rsid w:val="00B74C3E"/>
    <w:rsid w:val="00B76395"/>
    <w:rsid w:val="00B8182E"/>
    <w:rsid w:val="00B82165"/>
    <w:rsid w:val="00B824B4"/>
    <w:rsid w:val="00B826B8"/>
    <w:rsid w:val="00B83713"/>
    <w:rsid w:val="00B84DA9"/>
    <w:rsid w:val="00B856C4"/>
    <w:rsid w:val="00B85E19"/>
    <w:rsid w:val="00B87561"/>
    <w:rsid w:val="00B87CDD"/>
    <w:rsid w:val="00B90B37"/>
    <w:rsid w:val="00B90C03"/>
    <w:rsid w:val="00B92351"/>
    <w:rsid w:val="00B92B9D"/>
    <w:rsid w:val="00B93938"/>
    <w:rsid w:val="00B943ED"/>
    <w:rsid w:val="00B96795"/>
    <w:rsid w:val="00B969EF"/>
    <w:rsid w:val="00B96C15"/>
    <w:rsid w:val="00B971FE"/>
    <w:rsid w:val="00BA36FA"/>
    <w:rsid w:val="00BA38A0"/>
    <w:rsid w:val="00BA3B68"/>
    <w:rsid w:val="00BA4362"/>
    <w:rsid w:val="00BA5044"/>
    <w:rsid w:val="00BA55A8"/>
    <w:rsid w:val="00BA5651"/>
    <w:rsid w:val="00BA5D07"/>
    <w:rsid w:val="00BA606D"/>
    <w:rsid w:val="00BB0DD6"/>
    <w:rsid w:val="00BB127A"/>
    <w:rsid w:val="00BB1290"/>
    <w:rsid w:val="00BB12A2"/>
    <w:rsid w:val="00BB2031"/>
    <w:rsid w:val="00BB22B4"/>
    <w:rsid w:val="00BB297A"/>
    <w:rsid w:val="00BB3ABB"/>
    <w:rsid w:val="00BB4053"/>
    <w:rsid w:val="00BB4121"/>
    <w:rsid w:val="00BB4D84"/>
    <w:rsid w:val="00BB4FA3"/>
    <w:rsid w:val="00BB6199"/>
    <w:rsid w:val="00BB7D4A"/>
    <w:rsid w:val="00BC0CC1"/>
    <w:rsid w:val="00BC139B"/>
    <w:rsid w:val="00BC286A"/>
    <w:rsid w:val="00BC3342"/>
    <w:rsid w:val="00BC337F"/>
    <w:rsid w:val="00BC5EAD"/>
    <w:rsid w:val="00BC5F41"/>
    <w:rsid w:val="00BC6B9E"/>
    <w:rsid w:val="00BC714E"/>
    <w:rsid w:val="00BC74B6"/>
    <w:rsid w:val="00BD0D53"/>
    <w:rsid w:val="00BD28D1"/>
    <w:rsid w:val="00BD56D0"/>
    <w:rsid w:val="00BD5AEB"/>
    <w:rsid w:val="00BD6960"/>
    <w:rsid w:val="00BD786F"/>
    <w:rsid w:val="00BE0CA7"/>
    <w:rsid w:val="00BE10ED"/>
    <w:rsid w:val="00BE207C"/>
    <w:rsid w:val="00BE3326"/>
    <w:rsid w:val="00BE3351"/>
    <w:rsid w:val="00BE3870"/>
    <w:rsid w:val="00BE7628"/>
    <w:rsid w:val="00BE79FD"/>
    <w:rsid w:val="00BF02B4"/>
    <w:rsid w:val="00BF0D69"/>
    <w:rsid w:val="00BF2252"/>
    <w:rsid w:val="00BF255F"/>
    <w:rsid w:val="00BF3079"/>
    <w:rsid w:val="00BF43E6"/>
    <w:rsid w:val="00BF4B0E"/>
    <w:rsid w:val="00BF6491"/>
    <w:rsid w:val="00BF6C99"/>
    <w:rsid w:val="00BF7FC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46E3"/>
    <w:rsid w:val="00C15CFE"/>
    <w:rsid w:val="00C15F10"/>
    <w:rsid w:val="00C2028F"/>
    <w:rsid w:val="00C21DB7"/>
    <w:rsid w:val="00C22D22"/>
    <w:rsid w:val="00C261D6"/>
    <w:rsid w:val="00C26D11"/>
    <w:rsid w:val="00C26D65"/>
    <w:rsid w:val="00C30B07"/>
    <w:rsid w:val="00C31734"/>
    <w:rsid w:val="00C33325"/>
    <w:rsid w:val="00C348F6"/>
    <w:rsid w:val="00C359E5"/>
    <w:rsid w:val="00C359E9"/>
    <w:rsid w:val="00C3788D"/>
    <w:rsid w:val="00C378B8"/>
    <w:rsid w:val="00C41565"/>
    <w:rsid w:val="00C4246C"/>
    <w:rsid w:val="00C432D6"/>
    <w:rsid w:val="00C46AC5"/>
    <w:rsid w:val="00C4765B"/>
    <w:rsid w:val="00C5035E"/>
    <w:rsid w:val="00C50881"/>
    <w:rsid w:val="00C51450"/>
    <w:rsid w:val="00C53756"/>
    <w:rsid w:val="00C55043"/>
    <w:rsid w:val="00C56618"/>
    <w:rsid w:val="00C56BF9"/>
    <w:rsid w:val="00C56E8A"/>
    <w:rsid w:val="00C602A1"/>
    <w:rsid w:val="00C61886"/>
    <w:rsid w:val="00C623FE"/>
    <w:rsid w:val="00C627A6"/>
    <w:rsid w:val="00C62AA2"/>
    <w:rsid w:val="00C62D0F"/>
    <w:rsid w:val="00C63CD3"/>
    <w:rsid w:val="00C63F84"/>
    <w:rsid w:val="00C6411F"/>
    <w:rsid w:val="00C6486A"/>
    <w:rsid w:val="00C64BD4"/>
    <w:rsid w:val="00C6572E"/>
    <w:rsid w:val="00C66639"/>
    <w:rsid w:val="00C67451"/>
    <w:rsid w:val="00C67D65"/>
    <w:rsid w:val="00C705AC"/>
    <w:rsid w:val="00C7237B"/>
    <w:rsid w:val="00C72AA4"/>
    <w:rsid w:val="00C73A77"/>
    <w:rsid w:val="00C74680"/>
    <w:rsid w:val="00C77462"/>
    <w:rsid w:val="00C77DB6"/>
    <w:rsid w:val="00C81768"/>
    <w:rsid w:val="00C81796"/>
    <w:rsid w:val="00C8185B"/>
    <w:rsid w:val="00C8241D"/>
    <w:rsid w:val="00C8308A"/>
    <w:rsid w:val="00C841D8"/>
    <w:rsid w:val="00C841E9"/>
    <w:rsid w:val="00C84238"/>
    <w:rsid w:val="00C847E1"/>
    <w:rsid w:val="00C85319"/>
    <w:rsid w:val="00C858F1"/>
    <w:rsid w:val="00C86C48"/>
    <w:rsid w:val="00C8700C"/>
    <w:rsid w:val="00C8748B"/>
    <w:rsid w:val="00C87A6A"/>
    <w:rsid w:val="00C90295"/>
    <w:rsid w:val="00C9043E"/>
    <w:rsid w:val="00C911D0"/>
    <w:rsid w:val="00C91311"/>
    <w:rsid w:val="00C9135B"/>
    <w:rsid w:val="00C93570"/>
    <w:rsid w:val="00C94CD1"/>
    <w:rsid w:val="00C94F64"/>
    <w:rsid w:val="00C9554B"/>
    <w:rsid w:val="00C95B25"/>
    <w:rsid w:val="00C96A87"/>
    <w:rsid w:val="00C97C99"/>
    <w:rsid w:val="00CA1A4D"/>
    <w:rsid w:val="00CA1CB0"/>
    <w:rsid w:val="00CA2D8C"/>
    <w:rsid w:val="00CA3971"/>
    <w:rsid w:val="00CA4163"/>
    <w:rsid w:val="00CA43A1"/>
    <w:rsid w:val="00CA4EC6"/>
    <w:rsid w:val="00CA5A4F"/>
    <w:rsid w:val="00CA5DA4"/>
    <w:rsid w:val="00CA6384"/>
    <w:rsid w:val="00CA6DC8"/>
    <w:rsid w:val="00CA7153"/>
    <w:rsid w:val="00CA73DD"/>
    <w:rsid w:val="00CA73EF"/>
    <w:rsid w:val="00CA77B9"/>
    <w:rsid w:val="00CB04D2"/>
    <w:rsid w:val="00CB1786"/>
    <w:rsid w:val="00CB1BBF"/>
    <w:rsid w:val="00CB34F5"/>
    <w:rsid w:val="00CB3A6C"/>
    <w:rsid w:val="00CB4004"/>
    <w:rsid w:val="00CB539C"/>
    <w:rsid w:val="00CB583E"/>
    <w:rsid w:val="00CC01F6"/>
    <w:rsid w:val="00CC0759"/>
    <w:rsid w:val="00CC1038"/>
    <w:rsid w:val="00CC4633"/>
    <w:rsid w:val="00CC5E86"/>
    <w:rsid w:val="00CC62AA"/>
    <w:rsid w:val="00CC6FD4"/>
    <w:rsid w:val="00CC719F"/>
    <w:rsid w:val="00CD01E6"/>
    <w:rsid w:val="00CD17A4"/>
    <w:rsid w:val="00CD2403"/>
    <w:rsid w:val="00CD2FC1"/>
    <w:rsid w:val="00CD3581"/>
    <w:rsid w:val="00CD4FD5"/>
    <w:rsid w:val="00CD53CF"/>
    <w:rsid w:val="00CD6815"/>
    <w:rsid w:val="00CD6822"/>
    <w:rsid w:val="00CE10AA"/>
    <w:rsid w:val="00CE12DB"/>
    <w:rsid w:val="00CE26E2"/>
    <w:rsid w:val="00CE308F"/>
    <w:rsid w:val="00CE3990"/>
    <w:rsid w:val="00CE4959"/>
    <w:rsid w:val="00CE5798"/>
    <w:rsid w:val="00CE6BBD"/>
    <w:rsid w:val="00CE7E25"/>
    <w:rsid w:val="00CF06C5"/>
    <w:rsid w:val="00CF165E"/>
    <w:rsid w:val="00CF1D5F"/>
    <w:rsid w:val="00CF2803"/>
    <w:rsid w:val="00CF4562"/>
    <w:rsid w:val="00CF47ED"/>
    <w:rsid w:val="00CF4F39"/>
    <w:rsid w:val="00D00855"/>
    <w:rsid w:val="00D02B80"/>
    <w:rsid w:val="00D044B8"/>
    <w:rsid w:val="00D06334"/>
    <w:rsid w:val="00D06EFA"/>
    <w:rsid w:val="00D076ED"/>
    <w:rsid w:val="00D1027F"/>
    <w:rsid w:val="00D109DF"/>
    <w:rsid w:val="00D10F1B"/>
    <w:rsid w:val="00D110A0"/>
    <w:rsid w:val="00D111F2"/>
    <w:rsid w:val="00D126AB"/>
    <w:rsid w:val="00D12E4B"/>
    <w:rsid w:val="00D141F6"/>
    <w:rsid w:val="00D14423"/>
    <w:rsid w:val="00D21642"/>
    <w:rsid w:val="00D21F01"/>
    <w:rsid w:val="00D22F45"/>
    <w:rsid w:val="00D23637"/>
    <w:rsid w:val="00D24128"/>
    <w:rsid w:val="00D26174"/>
    <w:rsid w:val="00D27374"/>
    <w:rsid w:val="00D275F1"/>
    <w:rsid w:val="00D30310"/>
    <w:rsid w:val="00D317F7"/>
    <w:rsid w:val="00D32016"/>
    <w:rsid w:val="00D3271E"/>
    <w:rsid w:val="00D329CC"/>
    <w:rsid w:val="00D33267"/>
    <w:rsid w:val="00D35C3D"/>
    <w:rsid w:val="00D37A25"/>
    <w:rsid w:val="00D42AD3"/>
    <w:rsid w:val="00D43516"/>
    <w:rsid w:val="00D45FA4"/>
    <w:rsid w:val="00D464FF"/>
    <w:rsid w:val="00D46E7C"/>
    <w:rsid w:val="00D47620"/>
    <w:rsid w:val="00D502B1"/>
    <w:rsid w:val="00D5122D"/>
    <w:rsid w:val="00D5281B"/>
    <w:rsid w:val="00D52B0C"/>
    <w:rsid w:val="00D52BBD"/>
    <w:rsid w:val="00D52C9D"/>
    <w:rsid w:val="00D5300D"/>
    <w:rsid w:val="00D5420F"/>
    <w:rsid w:val="00D5471A"/>
    <w:rsid w:val="00D557C9"/>
    <w:rsid w:val="00D55A33"/>
    <w:rsid w:val="00D5776F"/>
    <w:rsid w:val="00D60D6E"/>
    <w:rsid w:val="00D6341F"/>
    <w:rsid w:val="00D63F1C"/>
    <w:rsid w:val="00D64A60"/>
    <w:rsid w:val="00D655A0"/>
    <w:rsid w:val="00D656C3"/>
    <w:rsid w:val="00D6573E"/>
    <w:rsid w:val="00D67BE0"/>
    <w:rsid w:val="00D71196"/>
    <w:rsid w:val="00D716CD"/>
    <w:rsid w:val="00D736CB"/>
    <w:rsid w:val="00D738ED"/>
    <w:rsid w:val="00D73F52"/>
    <w:rsid w:val="00D75000"/>
    <w:rsid w:val="00D77704"/>
    <w:rsid w:val="00D80D18"/>
    <w:rsid w:val="00D815B6"/>
    <w:rsid w:val="00D8164E"/>
    <w:rsid w:val="00D81778"/>
    <w:rsid w:val="00D82DDE"/>
    <w:rsid w:val="00D86875"/>
    <w:rsid w:val="00D87042"/>
    <w:rsid w:val="00D87FFB"/>
    <w:rsid w:val="00D90606"/>
    <w:rsid w:val="00D91166"/>
    <w:rsid w:val="00D91522"/>
    <w:rsid w:val="00D930A0"/>
    <w:rsid w:val="00D9318F"/>
    <w:rsid w:val="00D94475"/>
    <w:rsid w:val="00D9479F"/>
    <w:rsid w:val="00D94CFB"/>
    <w:rsid w:val="00D962C2"/>
    <w:rsid w:val="00D963C7"/>
    <w:rsid w:val="00D96406"/>
    <w:rsid w:val="00DA0350"/>
    <w:rsid w:val="00DA1660"/>
    <w:rsid w:val="00DA1829"/>
    <w:rsid w:val="00DA18A2"/>
    <w:rsid w:val="00DA19F9"/>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B7A"/>
    <w:rsid w:val="00DB6C54"/>
    <w:rsid w:val="00DC3551"/>
    <w:rsid w:val="00DC3DBA"/>
    <w:rsid w:val="00DC646E"/>
    <w:rsid w:val="00DC7066"/>
    <w:rsid w:val="00DC785A"/>
    <w:rsid w:val="00DD02A7"/>
    <w:rsid w:val="00DD0AF8"/>
    <w:rsid w:val="00DD11AC"/>
    <w:rsid w:val="00DD1E55"/>
    <w:rsid w:val="00DD227E"/>
    <w:rsid w:val="00DD22DA"/>
    <w:rsid w:val="00DD304D"/>
    <w:rsid w:val="00DD3F61"/>
    <w:rsid w:val="00DD5766"/>
    <w:rsid w:val="00DD5F75"/>
    <w:rsid w:val="00DD6492"/>
    <w:rsid w:val="00DD65FF"/>
    <w:rsid w:val="00DD6A9D"/>
    <w:rsid w:val="00DE061B"/>
    <w:rsid w:val="00DE16F2"/>
    <w:rsid w:val="00DE24BF"/>
    <w:rsid w:val="00DE2AD7"/>
    <w:rsid w:val="00DE3D57"/>
    <w:rsid w:val="00DE3F6D"/>
    <w:rsid w:val="00DE447B"/>
    <w:rsid w:val="00DE4911"/>
    <w:rsid w:val="00DE5319"/>
    <w:rsid w:val="00DE5812"/>
    <w:rsid w:val="00DE6048"/>
    <w:rsid w:val="00DE798C"/>
    <w:rsid w:val="00DE7DD9"/>
    <w:rsid w:val="00DF001C"/>
    <w:rsid w:val="00DF075F"/>
    <w:rsid w:val="00DF4636"/>
    <w:rsid w:val="00DF66A9"/>
    <w:rsid w:val="00DF6CE2"/>
    <w:rsid w:val="00DF7D09"/>
    <w:rsid w:val="00E0019F"/>
    <w:rsid w:val="00E0045A"/>
    <w:rsid w:val="00E00E79"/>
    <w:rsid w:val="00E01D43"/>
    <w:rsid w:val="00E022B8"/>
    <w:rsid w:val="00E0294A"/>
    <w:rsid w:val="00E0366E"/>
    <w:rsid w:val="00E03D1D"/>
    <w:rsid w:val="00E04BA8"/>
    <w:rsid w:val="00E05277"/>
    <w:rsid w:val="00E11A22"/>
    <w:rsid w:val="00E11E1F"/>
    <w:rsid w:val="00E12BB5"/>
    <w:rsid w:val="00E12C1B"/>
    <w:rsid w:val="00E12F5D"/>
    <w:rsid w:val="00E14B76"/>
    <w:rsid w:val="00E15443"/>
    <w:rsid w:val="00E1612D"/>
    <w:rsid w:val="00E167D3"/>
    <w:rsid w:val="00E16E9D"/>
    <w:rsid w:val="00E16EC0"/>
    <w:rsid w:val="00E172A6"/>
    <w:rsid w:val="00E207A9"/>
    <w:rsid w:val="00E20AEF"/>
    <w:rsid w:val="00E23144"/>
    <w:rsid w:val="00E24147"/>
    <w:rsid w:val="00E24300"/>
    <w:rsid w:val="00E2458A"/>
    <w:rsid w:val="00E25CB8"/>
    <w:rsid w:val="00E31028"/>
    <w:rsid w:val="00E32501"/>
    <w:rsid w:val="00E32A0C"/>
    <w:rsid w:val="00E33C3A"/>
    <w:rsid w:val="00E341A2"/>
    <w:rsid w:val="00E40374"/>
    <w:rsid w:val="00E41006"/>
    <w:rsid w:val="00E41E6E"/>
    <w:rsid w:val="00E422A1"/>
    <w:rsid w:val="00E422F5"/>
    <w:rsid w:val="00E43B56"/>
    <w:rsid w:val="00E443D3"/>
    <w:rsid w:val="00E44795"/>
    <w:rsid w:val="00E448B1"/>
    <w:rsid w:val="00E465D8"/>
    <w:rsid w:val="00E467FA"/>
    <w:rsid w:val="00E47A9B"/>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476D"/>
    <w:rsid w:val="00E77535"/>
    <w:rsid w:val="00E77C44"/>
    <w:rsid w:val="00E81ECD"/>
    <w:rsid w:val="00E82A48"/>
    <w:rsid w:val="00E82F75"/>
    <w:rsid w:val="00E8317E"/>
    <w:rsid w:val="00E843D4"/>
    <w:rsid w:val="00E867FA"/>
    <w:rsid w:val="00E873BE"/>
    <w:rsid w:val="00E9104B"/>
    <w:rsid w:val="00E924A8"/>
    <w:rsid w:val="00E95451"/>
    <w:rsid w:val="00E958DC"/>
    <w:rsid w:val="00E97617"/>
    <w:rsid w:val="00EA3FB7"/>
    <w:rsid w:val="00EA4065"/>
    <w:rsid w:val="00EA4400"/>
    <w:rsid w:val="00EA46B7"/>
    <w:rsid w:val="00EA4BAA"/>
    <w:rsid w:val="00EA4BC9"/>
    <w:rsid w:val="00EA4CFF"/>
    <w:rsid w:val="00EA57C5"/>
    <w:rsid w:val="00EA5E72"/>
    <w:rsid w:val="00EA757A"/>
    <w:rsid w:val="00EA7AE4"/>
    <w:rsid w:val="00EB082C"/>
    <w:rsid w:val="00EB10FF"/>
    <w:rsid w:val="00EB1261"/>
    <w:rsid w:val="00EB195F"/>
    <w:rsid w:val="00EB3551"/>
    <w:rsid w:val="00EB35A7"/>
    <w:rsid w:val="00EB4C94"/>
    <w:rsid w:val="00EB508B"/>
    <w:rsid w:val="00EB5246"/>
    <w:rsid w:val="00EB64C0"/>
    <w:rsid w:val="00EB6E02"/>
    <w:rsid w:val="00EC149A"/>
    <w:rsid w:val="00EC20A8"/>
    <w:rsid w:val="00EC23C6"/>
    <w:rsid w:val="00EC3E23"/>
    <w:rsid w:val="00EC5B61"/>
    <w:rsid w:val="00EC6092"/>
    <w:rsid w:val="00EC6FA1"/>
    <w:rsid w:val="00EC7083"/>
    <w:rsid w:val="00EC720F"/>
    <w:rsid w:val="00EC7FA8"/>
    <w:rsid w:val="00ED0C61"/>
    <w:rsid w:val="00ED14BB"/>
    <w:rsid w:val="00ED1E36"/>
    <w:rsid w:val="00ED2044"/>
    <w:rsid w:val="00ED23EE"/>
    <w:rsid w:val="00ED38C8"/>
    <w:rsid w:val="00ED431A"/>
    <w:rsid w:val="00ED50C5"/>
    <w:rsid w:val="00ED5153"/>
    <w:rsid w:val="00ED547B"/>
    <w:rsid w:val="00ED6682"/>
    <w:rsid w:val="00ED76CF"/>
    <w:rsid w:val="00EE0598"/>
    <w:rsid w:val="00EE10F9"/>
    <w:rsid w:val="00EE1220"/>
    <w:rsid w:val="00EE13D0"/>
    <w:rsid w:val="00EE17DE"/>
    <w:rsid w:val="00EE1EC6"/>
    <w:rsid w:val="00EE1FC3"/>
    <w:rsid w:val="00EE301A"/>
    <w:rsid w:val="00EE309E"/>
    <w:rsid w:val="00EE37C9"/>
    <w:rsid w:val="00EE3BD0"/>
    <w:rsid w:val="00EE3D88"/>
    <w:rsid w:val="00EE5418"/>
    <w:rsid w:val="00EE7677"/>
    <w:rsid w:val="00EE7866"/>
    <w:rsid w:val="00EF156A"/>
    <w:rsid w:val="00EF2A85"/>
    <w:rsid w:val="00EF30C7"/>
    <w:rsid w:val="00EF4204"/>
    <w:rsid w:val="00EF5977"/>
    <w:rsid w:val="00EF7435"/>
    <w:rsid w:val="00EF7678"/>
    <w:rsid w:val="00EF77CA"/>
    <w:rsid w:val="00F00AA3"/>
    <w:rsid w:val="00F00D56"/>
    <w:rsid w:val="00F00FB9"/>
    <w:rsid w:val="00F013DF"/>
    <w:rsid w:val="00F020B9"/>
    <w:rsid w:val="00F020C8"/>
    <w:rsid w:val="00F023BD"/>
    <w:rsid w:val="00F02EFA"/>
    <w:rsid w:val="00F03221"/>
    <w:rsid w:val="00F033B0"/>
    <w:rsid w:val="00F03AD2"/>
    <w:rsid w:val="00F03F17"/>
    <w:rsid w:val="00F04368"/>
    <w:rsid w:val="00F05D92"/>
    <w:rsid w:val="00F06C44"/>
    <w:rsid w:val="00F10AE7"/>
    <w:rsid w:val="00F10CB7"/>
    <w:rsid w:val="00F10E83"/>
    <w:rsid w:val="00F11549"/>
    <w:rsid w:val="00F12180"/>
    <w:rsid w:val="00F12414"/>
    <w:rsid w:val="00F14014"/>
    <w:rsid w:val="00F143C1"/>
    <w:rsid w:val="00F14985"/>
    <w:rsid w:val="00F15200"/>
    <w:rsid w:val="00F17365"/>
    <w:rsid w:val="00F175E7"/>
    <w:rsid w:val="00F17AF0"/>
    <w:rsid w:val="00F17E6F"/>
    <w:rsid w:val="00F20297"/>
    <w:rsid w:val="00F2057A"/>
    <w:rsid w:val="00F20AAD"/>
    <w:rsid w:val="00F2108A"/>
    <w:rsid w:val="00F2133B"/>
    <w:rsid w:val="00F24635"/>
    <w:rsid w:val="00F3085F"/>
    <w:rsid w:val="00F313BD"/>
    <w:rsid w:val="00F31910"/>
    <w:rsid w:val="00F32415"/>
    <w:rsid w:val="00F32BC5"/>
    <w:rsid w:val="00F32CF0"/>
    <w:rsid w:val="00F3405C"/>
    <w:rsid w:val="00F34A8C"/>
    <w:rsid w:val="00F35597"/>
    <w:rsid w:val="00F36762"/>
    <w:rsid w:val="00F374B7"/>
    <w:rsid w:val="00F37593"/>
    <w:rsid w:val="00F44AE4"/>
    <w:rsid w:val="00F44CB5"/>
    <w:rsid w:val="00F45698"/>
    <w:rsid w:val="00F45E4C"/>
    <w:rsid w:val="00F45F3D"/>
    <w:rsid w:val="00F4606C"/>
    <w:rsid w:val="00F47D12"/>
    <w:rsid w:val="00F50E91"/>
    <w:rsid w:val="00F512CD"/>
    <w:rsid w:val="00F51AB4"/>
    <w:rsid w:val="00F52237"/>
    <w:rsid w:val="00F55D2C"/>
    <w:rsid w:val="00F55E8C"/>
    <w:rsid w:val="00F5646F"/>
    <w:rsid w:val="00F565DF"/>
    <w:rsid w:val="00F56F87"/>
    <w:rsid w:val="00F574F9"/>
    <w:rsid w:val="00F576A9"/>
    <w:rsid w:val="00F6076C"/>
    <w:rsid w:val="00F60AB5"/>
    <w:rsid w:val="00F61A73"/>
    <w:rsid w:val="00F62DC9"/>
    <w:rsid w:val="00F6308D"/>
    <w:rsid w:val="00F632D9"/>
    <w:rsid w:val="00F64B01"/>
    <w:rsid w:val="00F67032"/>
    <w:rsid w:val="00F67709"/>
    <w:rsid w:val="00F71A41"/>
    <w:rsid w:val="00F71DEA"/>
    <w:rsid w:val="00F73632"/>
    <w:rsid w:val="00F73F76"/>
    <w:rsid w:val="00F740C7"/>
    <w:rsid w:val="00F76BA5"/>
    <w:rsid w:val="00F813CB"/>
    <w:rsid w:val="00F82804"/>
    <w:rsid w:val="00F82C58"/>
    <w:rsid w:val="00F8319D"/>
    <w:rsid w:val="00F847C4"/>
    <w:rsid w:val="00F8488C"/>
    <w:rsid w:val="00F84E77"/>
    <w:rsid w:val="00F8640E"/>
    <w:rsid w:val="00F91368"/>
    <w:rsid w:val="00F92D54"/>
    <w:rsid w:val="00F930CE"/>
    <w:rsid w:val="00F931AF"/>
    <w:rsid w:val="00F93763"/>
    <w:rsid w:val="00F94075"/>
    <w:rsid w:val="00F942CC"/>
    <w:rsid w:val="00F94792"/>
    <w:rsid w:val="00F94BAA"/>
    <w:rsid w:val="00F94D44"/>
    <w:rsid w:val="00F951A2"/>
    <w:rsid w:val="00F96525"/>
    <w:rsid w:val="00F97D88"/>
    <w:rsid w:val="00FA28B7"/>
    <w:rsid w:val="00FA2D87"/>
    <w:rsid w:val="00FA3A4F"/>
    <w:rsid w:val="00FA3FDE"/>
    <w:rsid w:val="00FA443F"/>
    <w:rsid w:val="00FA463D"/>
    <w:rsid w:val="00FA5961"/>
    <w:rsid w:val="00FB0D80"/>
    <w:rsid w:val="00FB24D8"/>
    <w:rsid w:val="00FB29CA"/>
    <w:rsid w:val="00FB4DFA"/>
    <w:rsid w:val="00FB52BE"/>
    <w:rsid w:val="00FB56FE"/>
    <w:rsid w:val="00FB5E0A"/>
    <w:rsid w:val="00FB767C"/>
    <w:rsid w:val="00FC0294"/>
    <w:rsid w:val="00FC150A"/>
    <w:rsid w:val="00FC1B7B"/>
    <w:rsid w:val="00FC22A0"/>
    <w:rsid w:val="00FC25D9"/>
    <w:rsid w:val="00FC438D"/>
    <w:rsid w:val="00FC4BC0"/>
    <w:rsid w:val="00FC5E13"/>
    <w:rsid w:val="00FC5F56"/>
    <w:rsid w:val="00FC5F6E"/>
    <w:rsid w:val="00FC64F9"/>
    <w:rsid w:val="00FC6FBF"/>
    <w:rsid w:val="00FC72E1"/>
    <w:rsid w:val="00FC7446"/>
    <w:rsid w:val="00FC76CB"/>
    <w:rsid w:val="00FC7D32"/>
    <w:rsid w:val="00FD029D"/>
    <w:rsid w:val="00FD0A8F"/>
    <w:rsid w:val="00FD1090"/>
    <w:rsid w:val="00FD35EC"/>
    <w:rsid w:val="00FD4233"/>
    <w:rsid w:val="00FD426F"/>
    <w:rsid w:val="00FD450F"/>
    <w:rsid w:val="00FD45A3"/>
    <w:rsid w:val="00FD5F07"/>
    <w:rsid w:val="00FD60B5"/>
    <w:rsid w:val="00FD7146"/>
    <w:rsid w:val="00FD7316"/>
    <w:rsid w:val="00FD7994"/>
    <w:rsid w:val="00FE0C67"/>
    <w:rsid w:val="00FE0D8E"/>
    <w:rsid w:val="00FE1763"/>
    <w:rsid w:val="00FE1A3F"/>
    <w:rsid w:val="00FE2481"/>
    <w:rsid w:val="00FE370E"/>
    <w:rsid w:val="00FE4403"/>
    <w:rsid w:val="00FE61B1"/>
    <w:rsid w:val="00FE66B7"/>
    <w:rsid w:val="00FE695A"/>
    <w:rsid w:val="00FE6F86"/>
    <w:rsid w:val="00FE7283"/>
    <w:rsid w:val="00FE7398"/>
    <w:rsid w:val="00FF0DE8"/>
    <w:rsid w:val="00FF0E08"/>
    <w:rsid w:val="00FF2149"/>
    <w:rsid w:val="00FF3593"/>
    <w:rsid w:val="00FF37DF"/>
    <w:rsid w:val="00FF3E2F"/>
    <w:rsid w:val="00FF5AD7"/>
    <w:rsid w:val="00FF60B6"/>
    <w:rsid w:val="00FF6E27"/>
    <w:rsid w:val="00FF7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67BE96F1"/>
  <w15:docId w15:val="{CB3C6BE6-E75C-4615-8927-5DD16674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paragraph" w:styleId="Ttulo1">
    <w:name w:val="heading 1"/>
    <w:basedOn w:val="Normal"/>
    <w:next w:val="Normal"/>
    <w:link w:val="Ttulo1Car"/>
    <w:uiPriority w:val="9"/>
    <w:qFormat/>
    <w:rsid w:val="00730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rsid w:val="001F057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rsid w:val="001F057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C26D1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7300C8"/>
    <w:rPr>
      <w:rFonts w:asciiTheme="majorHAnsi" w:eastAsiaTheme="majorEastAsia" w:hAnsiTheme="majorHAnsi" w:cstheme="majorBidi"/>
      <w:color w:val="2E74B5" w:themeColor="accent1" w:themeShade="BF"/>
      <w:sz w:val="32"/>
      <w:szCs w:val="32"/>
    </w:rPr>
  </w:style>
  <w:style w:type="table" w:customStyle="1" w:styleId="Tablaconcuadrcula111">
    <w:name w:val="Tabla con cuadrícula11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rsid w:val="00E924A8"/>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next w:val="Tablaconcuadrcula"/>
    <w:rsid w:val="00E924A8"/>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rsid w:val="00E924A8"/>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09493B"/>
    <w:pPr>
      <w:numPr>
        <w:numId w:val="7"/>
      </w:numPr>
    </w:pPr>
  </w:style>
  <w:style w:type="table" w:customStyle="1" w:styleId="Tablaconcuadrcula11111">
    <w:name w:val="Tabla con cuadrícula11111"/>
    <w:basedOn w:val="Tablanormal"/>
    <w:next w:val="Tablaconcuadrcula"/>
    <w:rsid w:val="00D8164E"/>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1">
    <w:name w:val="Tabla con cuadrícula21111"/>
    <w:basedOn w:val="Tablanormal"/>
    <w:next w:val="Tablaconcuadrcula"/>
    <w:rsid w:val="00D8164E"/>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1">
    <w:name w:val="Tabla con cuadrícula3111"/>
    <w:basedOn w:val="Tablanormal"/>
    <w:next w:val="Tablaconcuadrcula"/>
    <w:rsid w:val="00D8164E"/>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1">
    <w:name w:val="Tabla con cuadrícula111111"/>
    <w:basedOn w:val="Tablanormal"/>
    <w:next w:val="Tablaconcuadrcula"/>
    <w:rsid w:val="00004A4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11">
    <w:name w:val="Tabla con cuadrícula211111"/>
    <w:basedOn w:val="Tablanormal"/>
    <w:next w:val="Tablaconcuadrcula"/>
    <w:rsid w:val="00004A4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11">
    <w:name w:val="Tabla con cuadrícula31111"/>
    <w:basedOn w:val="Tablanormal"/>
    <w:next w:val="Tablaconcuadrcula"/>
    <w:rsid w:val="00004A4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921">
      <w:bodyDiv w:val="1"/>
      <w:marLeft w:val="0"/>
      <w:marRight w:val="0"/>
      <w:marTop w:val="0"/>
      <w:marBottom w:val="0"/>
      <w:divBdr>
        <w:top w:val="none" w:sz="0" w:space="0" w:color="auto"/>
        <w:left w:val="none" w:sz="0" w:space="0" w:color="auto"/>
        <w:bottom w:val="none" w:sz="0" w:space="0" w:color="auto"/>
        <w:right w:val="none" w:sz="0" w:space="0" w:color="auto"/>
      </w:divBdr>
    </w:div>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363948">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165177020">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05815393">
      <w:bodyDiv w:val="1"/>
      <w:marLeft w:val="0"/>
      <w:marRight w:val="0"/>
      <w:marTop w:val="0"/>
      <w:marBottom w:val="0"/>
      <w:divBdr>
        <w:top w:val="none" w:sz="0" w:space="0" w:color="auto"/>
        <w:left w:val="none" w:sz="0" w:space="0" w:color="auto"/>
        <w:bottom w:val="none" w:sz="0" w:space="0" w:color="auto"/>
        <w:right w:val="none" w:sz="0" w:space="0" w:color="auto"/>
      </w:divBdr>
      <w:divsChild>
        <w:div w:id="41295551">
          <w:marLeft w:val="0"/>
          <w:marRight w:val="0"/>
          <w:marTop w:val="0"/>
          <w:marBottom w:val="0"/>
          <w:divBdr>
            <w:top w:val="none" w:sz="0" w:space="0" w:color="auto"/>
            <w:left w:val="none" w:sz="0" w:space="0" w:color="auto"/>
            <w:bottom w:val="none" w:sz="0" w:space="0" w:color="auto"/>
            <w:right w:val="none" w:sz="0" w:space="0" w:color="auto"/>
          </w:divBdr>
        </w:div>
      </w:divsChild>
    </w:div>
    <w:div w:id="317223778">
      <w:bodyDiv w:val="1"/>
      <w:marLeft w:val="0"/>
      <w:marRight w:val="0"/>
      <w:marTop w:val="0"/>
      <w:marBottom w:val="0"/>
      <w:divBdr>
        <w:top w:val="none" w:sz="0" w:space="0" w:color="auto"/>
        <w:left w:val="none" w:sz="0" w:space="0" w:color="auto"/>
        <w:bottom w:val="none" w:sz="0" w:space="0" w:color="auto"/>
        <w:right w:val="none" w:sz="0" w:space="0" w:color="auto"/>
      </w:divBdr>
      <w:divsChild>
        <w:div w:id="459423971">
          <w:marLeft w:val="0"/>
          <w:marRight w:val="0"/>
          <w:marTop w:val="0"/>
          <w:marBottom w:val="0"/>
          <w:divBdr>
            <w:top w:val="none" w:sz="0" w:space="0" w:color="auto"/>
            <w:left w:val="none" w:sz="0" w:space="0" w:color="auto"/>
            <w:bottom w:val="none" w:sz="0" w:space="0" w:color="auto"/>
            <w:right w:val="none" w:sz="0" w:space="0" w:color="auto"/>
          </w:divBdr>
          <w:divsChild>
            <w:div w:id="1397315717">
              <w:marLeft w:val="0"/>
              <w:marRight w:val="0"/>
              <w:marTop w:val="0"/>
              <w:marBottom w:val="0"/>
              <w:divBdr>
                <w:top w:val="none" w:sz="0" w:space="0" w:color="auto"/>
                <w:left w:val="none" w:sz="0" w:space="0" w:color="auto"/>
                <w:bottom w:val="none" w:sz="0" w:space="0" w:color="auto"/>
                <w:right w:val="none" w:sz="0" w:space="0" w:color="auto"/>
              </w:divBdr>
            </w:div>
          </w:divsChild>
        </w:div>
        <w:div w:id="654335845">
          <w:marLeft w:val="0"/>
          <w:marRight w:val="0"/>
          <w:marTop w:val="0"/>
          <w:marBottom w:val="0"/>
          <w:divBdr>
            <w:top w:val="none" w:sz="0" w:space="0" w:color="auto"/>
            <w:left w:val="none" w:sz="0" w:space="0" w:color="auto"/>
            <w:bottom w:val="none" w:sz="0" w:space="0" w:color="auto"/>
            <w:right w:val="none" w:sz="0" w:space="0" w:color="auto"/>
          </w:divBdr>
          <w:divsChild>
            <w:div w:id="1904173404">
              <w:marLeft w:val="0"/>
              <w:marRight w:val="0"/>
              <w:marTop w:val="0"/>
              <w:marBottom w:val="0"/>
              <w:divBdr>
                <w:top w:val="none" w:sz="0" w:space="0" w:color="auto"/>
                <w:left w:val="none" w:sz="0" w:space="0" w:color="auto"/>
                <w:bottom w:val="none" w:sz="0" w:space="0" w:color="auto"/>
                <w:right w:val="none" w:sz="0" w:space="0" w:color="auto"/>
              </w:divBdr>
            </w:div>
          </w:divsChild>
        </w:div>
        <w:div w:id="1602911218">
          <w:marLeft w:val="0"/>
          <w:marRight w:val="0"/>
          <w:marTop w:val="0"/>
          <w:marBottom w:val="0"/>
          <w:divBdr>
            <w:top w:val="none" w:sz="0" w:space="0" w:color="auto"/>
            <w:left w:val="none" w:sz="0" w:space="0" w:color="auto"/>
            <w:bottom w:val="none" w:sz="0" w:space="0" w:color="auto"/>
            <w:right w:val="none" w:sz="0" w:space="0" w:color="auto"/>
          </w:divBdr>
          <w:divsChild>
            <w:div w:id="1207983136">
              <w:marLeft w:val="0"/>
              <w:marRight w:val="0"/>
              <w:marTop w:val="0"/>
              <w:marBottom w:val="0"/>
              <w:divBdr>
                <w:top w:val="none" w:sz="0" w:space="0" w:color="auto"/>
                <w:left w:val="none" w:sz="0" w:space="0" w:color="auto"/>
                <w:bottom w:val="none" w:sz="0" w:space="0" w:color="auto"/>
                <w:right w:val="none" w:sz="0" w:space="0" w:color="auto"/>
              </w:divBdr>
            </w:div>
          </w:divsChild>
        </w:div>
        <w:div w:id="1955554533">
          <w:marLeft w:val="0"/>
          <w:marRight w:val="0"/>
          <w:marTop w:val="0"/>
          <w:marBottom w:val="0"/>
          <w:divBdr>
            <w:top w:val="none" w:sz="0" w:space="0" w:color="auto"/>
            <w:left w:val="none" w:sz="0" w:space="0" w:color="auto"/>
            <w:bottom w:val="none" w:sz="0" w:space="0" w:color="auto"/>
            <w:right w:val="none" w:sz="0" w:space="0" w:color="auto"/>
          </w:divBdr>
          <w:divsChild>
            <w:div w:id="3447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363678984">
      <w:bodyDiv w:val="1"/>
      <w:marLeft w:val="0"/>
      <w:marRight w:val="0"/>
      <w:marTop w:val="0"/>
      <w:marBottom w:val="0"/>
      <w:divBdr>
        <w:top w:val="none" w:sz="0" w:space="0" w:color="auto"/>
        <w:left w:val="none" w:sz="0" w:space="0" w:color="auto"/>
        <w:bottom w:val="none" w:sz="0" w:space="0" w:color="auto"/>
        <w:right w:val="none" w:sz="0" w:space="0" w:color="auto"/>
      </w:divBdr>
    </w:div>
    <w:div w:id="410083409">
      <w:bodyDiv w:val="1"/>
      <w:marLeft w:val="0"/>
      <w:marRight w:val="0"/>
      <w:marTop w:val="0"/>
      <w:marBottom w:val="0"/>
      <w:divBdr>
        <w:top w:val="none" w:sz="0" w:space="0" w:color="auto"/>
        <w:left w:val="none" w:sz="0" w:space="0" w:color="auto"/>
        <w:bottom w:val="none" w:sz="0" w:space="0" w:color="auto"/>
        <w:right w:val="none" w:sz="0" w:space="0" w:color="auto"/>
      </w:divBdr>
    </w:div>
    <w:div w:id="42673137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09030648">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81455562">
      <w:bodyDiv w:val="1"/>
      <w:marLeft w:val="0"/>
      <w:marRight w:val="0"/>
      <w:marTop w:val="0"/>
      <w:marBottom w:val="0"/>
      <w:divBdr>
        <w:top w:val="none" w:sz="0" w:space="0" w:color="auto"/>
        <w:left w:val="none" w:sz="0" w:space="0" w:color="auto"/>
        <w:bottom w:val="none" w:sz="0" w:space="0" w:color="auto"/>
        <w:right w:val="none" w:sz="0" w:space="0" w:color="auto"/>
      </w:divBdr>
      <w:divsChild>
        <w:div w:id="1649900020">
          <w:marLeft w:val="0"/>
          <w:marRight w:val="0"/>
          <w:marTop w:val="0"/>
          <w:marBottom w:val="0"/>
          <w:divBdr>
            <w:top w:val="none" w:sz="0" w:space="0" w:color="auto"/>
            <w:left w:val="none" w:sz="0" w:space="0" w:color="auto"/>
            <w:bottom w:val="none" w:sz="0" w:space="0" w:color="auto"/>
            <w:right w:val="none" w:sz="0" w:space="0" w:color="auto"/>
          </w:divBdr>
        </w:div>
      </w:divsChild>
    </w:div>
    <w:div w:id="591166361">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15792320">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56957388">
      <w:bodyDiv w:val="1"/>
      <w:marLeft w:val="0"/>
      <w:marRight w:val="0"/>
      <w:marTop w:val="0"/>
      <w:marBottom w:val="0"/>
      <w:divBdr>
        <w:top w:val="none" w:sz="0" w:space="0" w:color="auto"/>
        <w:left w:val="none" w:sz="0" w:space="0" w:color="auto"/>
        <w:bottom w:val="none" w:sz="0" w:space="0" w:color="auto"/>
        <w:right w:val="none" w:sz="0" w:space="0" w:color="auto"/>
      </w:divBdr>
      <w:divsChild>
        <w:div w:id="56363770">
          <w:marLeft w:val="0"/>
          <w:marRight w:val="0"/>
          <w:marTop w:val="0"/>
          <w:marBottom w:val="0"/>
          <w:divBdr>
            <w:top w:val="none" w:sz="0" w:space="0" w:color="auto"/>
            <w:left w:val="none" w:sz="0" w:space="0" w:color="auto"/>
            <w:bottom w:val="none" w:sz="0" w:space="0" w:color="auto"/>
            <w:right w:val="none" w:sz="0" w:space="0" w:color="auto"/>
          </w:divBdr>
        </w:div>
      </w:divsChild>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08135269">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2137181">
      <w:bodyDiv w:val="1"/>
      <w:marLeft w:val="0"/>
      <w:marRight w:val="0"/>
      <w:marTop w:val="0"/>
      <w:marBottom w:val="0"/>
      <w:divBdr>
        <w:top w:val="none" w:sz="0" w:space="0" w:color="auto"/>
        <w:left w:val="none" w:sz="0" w:space="0" w:color="auto"/>
        <w:bottom w:val="none" w:sz="0" w:space="0" w:color="auto"/>
        <w:right w:val="none" w:sz="0" w:space="0" w:color="auto"/>
      </w:divBdr>
      <w:divsChild>
        <w:div w:id="60449897">
          <w:marLeft w:val="0"/>
          <w:marRight w:val="0"/>
          <w:marTop w:val="0"/>
          <w:marBottom w:val="0"/>
          <w:divBdr>
            <w:top w:val="none" w:sz="0" w:space="0" w:color="auto"/>
            <w:left w:val="none" w:sz="0" w:space="0" w:color="auto"/>
            <w:bottom w:val="none" w:sz="0" w:space="0" w:color="auto"/>
            <w:right w:val="none" w:sz="0" w:space="0" w:color="auto"/>
          </w:divBdr>
        </w:div>
      </w:divsChild>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2328081">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4194333">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16618830">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66879215">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152406837">
      <w:bodyDiv w:val="1"/>
      <w:marLeft w:val="0"/>
      <w:marRight w:val="0"/>
      <w:marTop w:val="0"/>
      <w:marBottom w:val="0"/>
      <w:divBdr>
        <w:top w:val="none" w:sz="0" w:space="0" w:color="auto"/>
        <w:left w:val="none" w:sz="0" w:space="0" w:color="auto"/>
        <w:bottom w:val="none" w:sz="0" w:space="0" w:color="auto"/>
        <w:right w:val="none" w:sz="0" w:space="0" w:color="auto"/>
      </w:divBdr>
    </w:div>
    <w:div w:id="1240558000">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66187189">
      <w:bodyDiv w:val="1"/>
      <w:marLeft w:val="0"/>
      <w:marRight w:val="0"/>
      <w:marTop w:val="0"/>
      <w:marBottom w:val="0"/>
      <w:divBdr>
        <w:top w:val="none" w:sz="0" w:space="0" w:color="auto"/>
        <w:left w:val="none" w:sz="0" w:space="0" w:color="auto"/>
        <w:bottom w:val="none" w:sz="0" w:space="0" w:color="auto"/>
        <w:right w:val="none" w:sz="0" w:space="0" w:color="auto"/>
      </w:divBdr>
    </w:div>
    <w:div w:id="1277910991">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1573124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34613783">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71731888">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864175010">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1995060421">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074153986">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https://www.fitchratings.com/research/es/international-public-finance/fitch-affirms-ifrems-loans-at-aaa-mex-vra-16-08-2022"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frem.edomex.gob.mx/organigrama" TargetMode="External"/><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bmv.com.mx/docs-pub/eventoca/eventoca_1174324_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91A0-F524-4A95-A673-EAD327EF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8746</Words>
  <Characters>48108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rodriguez cruz</dc:creator>
  <cp:keywords/>
  <dc:description/>
  <cp:lastModifiedBy>IFREM</cp:lastModifiedBy>
  <cp:revision>14</cp:revision>
  <cp:lastPrinted>2022-10-18T18:41:00Z</cp:lastPrinted>
  <dcterms:created xsi:type="dcterms:W3CDTF">2022-10-17T22:26:00Z</dcterms:created>
  <dcterms:modified xsi:type="dcterms:W3CDTF">2022-10-18T18:48:00Z</dcterms:modified>
</cp:coreProperties>
</file>