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01E0F5" w14:textId="77777777" w:rsidR="00EB508B" w:rsidRPr="00BC337F" w:rsidRDefault="00EB508B" w:rsidP="00EB508B">
      <w:pPr>
        <w:spacing w:after="101" w:line="276" w:lineRule="auto"/>
        <w:ind w:left="648" w:right="-1"/>
        <w:jc w:val="center"/>
        <w:rPr>
          <w:rFonts w:eastAsia="Times New Roman" w:cs="Arial"/>
          <w:b/>
          <w:lang w:val="es-ES" w:eastAsia="es-ES"/>
        </w:rPr>
      </w:pPr>
      <w:r w:rsidRPr="00BC337F">
        <w:rPr>
          <w:rFonts w:eastAsia="Times New Roman" w:cs="Arial"/>
          <w:b/>
          <w:lang w:val="es-ES" w:eastAsia="es-ES"/>
        </w:rPr>
        <w:t>NOTAS A LOS ESTADOS FINANCIEROS</w:t>
      </w:r>
    </w:p>
    <w:p w14:paraId="261FE8AD" w14:textId="77777777" w:rsidR="00EB508B" w:rsidRPr="00F42B4B" w:rsidRDefault="00EB508B" w:rsidP="00EB508B">
      <w:pPr>
        <w:spacing w:line="276" w:lineRule="auto"/>
        <w:ind w:right="-1"/>
        <w:jc w:val="center"/>
        <w:outlineLvl w:val="0"/>
      </w:pPr>
      <w:r w:rsidRPr="00F42B4B">
        <w:rPr>
          <w:b/>
        </w:rPr>
        <w:t xml:space="preserve">Entidad: </w:t>
      </w:r>
      <w:r w:rsidRPr="00F42B4B">
        <w:rPr>
          <w:u w:val="single"/>
        </w:rPr>
        <w:t>Instituto de la Función Registral del Estado de México</w:t>
      </w:r>
      <w:r w:rsidRPr="00F42B4B">
        <w:t xml:space="preserve"> (IFREM).</w:t>
      </w:r>
    </w:p>
    <w:p w14:paraId="312E0E3D" w14:textId="77777777" w:rsidR="00EB508B" w:rsidRDefault="00EB508B" w:rsidP="00EB508B">
      <w:pPr>
        <w:spacing w:line="276" w:lineRule="auto"/>
        <w:ind w:right="-1"/>
        <w:jc w:val="center"/>
        <w:outlineLvl w:val="0"/>
        <w:rPr>
          <w:u w:val="single"/>
        </w:rPr>
      </w:pPr>
      <w:r w:rsidRPr="00F42B4B">
        <w:rPr>
          <w:b/>
        </w:rPr>
        <w:t xml:space="preserve">Mes: </w:t>
      </w:r>
      <w:r w:rsidR="00375A6D">
        <w:rPr>
          <w:u w:val="single"/>
        </w:rPr>
        <w:t>Diciembre</w:t>
      </w:r>
      <w:r w:rsidR="00E8317E">
        <w:rPr>
          <w:u w:val="single"/>
        </w:rPr>
        <w:t xml:space="preserve"> </w:t>
      </w:r>
      <w:r w:rsidRPr="00F42B4B">
        <w:rPr>
          <w:b/>
        </w:rPr>
        <w:t>de</w:t>
      </w:r>
      <w:r w:rsidRPr="00F42B4B">
        <w:t xml:space="preserve"> </w:t>
      </w:r>
      <w:r w:rsidRPr="00F42B4B">
        <w:rPr>
          <w:u w:val="single"/>
        </w:rPr>
        <w:t>2020.</w:t>
      </w:r>
    </w:p>
    <w:p w14:paraId="437F89B8" w14:textId="77777777" w:rsidR="00EB508B" w:rsidRPr="00F42B4B" w:rsidRDefault="00EB508B" w:rsidP="00EB508B">
      <w:pPr>
        <w:numPr>
          <w:ilvl w:val="0"/>
          <w:numId w:val="15"/>
        </w:numPr>
        <w:tabs>
          <w:tab w:val="left" w:pos="3836"/>
        </w:tabs>
        <w:spacing w:after="0" w:line="276" w:lineRule="auto"/>
        <w:ind w:left="714" w:right="-1" w:hanging="357"/>
        <w:contextualSpacing/>
        <w:outlineLvl w:val="0"/>
        <w:rPr>
          <w:rFonts w:eastAsia="Times New Roman" w:cs="Arial"/>
          <w:b/>
          <w:lang w:eastAsia="es-MX"/>
        </w:rPr>
      </w:pPr>
      <w:r w:rsidRPr="00F42B4B">
        <w:rPr>
          <w:rFonts w:eastAsia="Times New Roman" w:cs="Arial"/>
          <w:b/>
          <w:lang w:eastAsia="es-MX"/>
        </w:rPr>
        <w:t>NOTAS DE DESGLOSE</w:t>
      </w:r>
    </w:p>
    <w:p w14:paraId="0ED323D3" w14:textId="77777777" w:rsidR="00EB508B" w:rsidRPr="00F42B4B" w:rsidRDefault="00EB508B" w:rsidP="00EB508B">
      <w:pPr>
        <w:tabs>
          <w:tab w:val="left" w:pos="3836"/>
        </w:tabs>
        <w:spacing w:after="0" w:line="276" w:lineRule="auto"/>
        <w:ind w:left="714" w:right="-1"/>
        <w:contextualSpacing/>
        <w:outlineLvl w:val="0"/>
        <w:rPr>
          <w:rFonts w:eastAsia="Times New Roman" w:cs="Arial"/>
          <w:b/>
          <w:sz w:val="8"/>
          <w:lang w:eastAsia="es-MX"/>
        </w:rPr>
      </w:pPr>
    </w:p>
    <w:p w14:paraId="5512102C" w14:textId="77777777" w:rsidR="00EB508B" w:rsidRPr="00F42B4B" w:rsidRDefault="00EB508B" w:rsidP="00EB508B">
      <w:pPr>
        <w:numPr>
          <w:ilvl w:val="0"/>
          <w:numId w:val="16"/>
        </w:numPr>
        <w:spacing w:before="240" w:after="240" w:line="276" w:lineRule="auto"/>
        <w:ind w:right="-1"/>
        <w:contextualSpacing/>
        <w:outlineLvl w:val="0"/>
        <w:rPr>
          <w:rFonts w:eastAsia="Times New Roman" w:cs="Arial"/>
          <w:b/>
          <w:lang w:eastAsia="es-MX"/>
        </w:rPr>
      </w:pPr>
      <w:r w:rsidRPr="00F42B4B">
        <w:rPr>
          <w:rFonts w:eastAsia="Times New Roman" w:cs="Arial"/>
          <w:b/>
          <w:lang w:eastAsia="es-MX"/>
        </w:rPr>
        <w:t>NOTAS AL ESTADO DE SITUACIÓN FINANCIERA</w:t>
      </w:r>
    </w:p>
    <w:p w14:paraId="31033C81" w14:textId="77777777" w:rsidR="00EB508B" w:rsidRPr="00F42B4B" w:rsidRDefault="00EB508B" w:rsidP="00EB508B">
      <w:pPr>
        <w:spacing w:before="240" w:after="240" w:line="276" w:lineRule="auto"/>
        <w:ind w:right="-1"/>
        <w:outlineLvl w:val="0"/>
        <w:rPr>
          <w:rFonts w:cs="Arial"/>
          <w:b/>
        </w:rPr>
      </w:pPr>
      <w:r w:rsidRPr="00F42B4B">
        <w:rPr>
          <w:rFonts w:cs="Arial"/>
          <w:b/>
        </w:rPr>
        <w:t>Activo Circulante</w:t>
      </w:r>
    </w:p>
    <w:p w14:paraId="6434F681" w14:textId="77777777" w:rsidR="00EB508B" w:rsidRPr="00F42B4B" w:rsidRDefault="00EB508B" w:rsidP="00EB508B">
      <w:pPr>
        <w:tabs>
          <w:tab w:val="left" w:pos="3836"/>
        </w:tabs>
        <w:spacing w:line="276" w:lineRule="auto"/>
        <w:ind w:right="-1"/>
        <w:jc w:val="both"/>
        <w:rPr>
          <w:rFonts w:cs="Arial"/>
        </w:rPr>
      </w:pPr>
      <w:r w:rsidRPr="00F42B4B">
        <w:rPr>
          <w:rFonts w:cs="Arial"/>
          <w:b/>
          <w:bCs/>
        </w:rPr>
        <w:t xml:space="preserve">Efectivo y Equivalentes. - </w:t>
      </w:r>
      <w:r w:rsidRPr="00F42B4B">
        <w:rPr>
          <w:rFonts w:cs="Arial"/>
        </w:rPr>
        <w:t xml:space="preserve">El saldo de </w:t>
      </w:r>
      <w:r w:rsidR="0047114C" w:rsidRPr="0047114C">
        <w:rPr>
          <w:rFonts w:eastAsia="HelveticaNeueLT Std" w:cs="HelveticaNeueLT Std"/>
        </w:rPr>
        <w:t xml:space="preserve"> </w:t>
      </w:r>
      <w:r w:rsidR="00C22D22" w:rsidRPr="00C22D22">
        <w:rPr>
          <w:rFonts w:eastAsia="HelveticaNeueLT Std" w:cs="HelveticaNeueLT Std"/>
        </w:rPr>
        <w:t>358</w:t>
      </w:r>
      <w:proofErr w:type="gramStart"/>
      <w:r w:rsidR="00C22D22" w:rsidRPr="00C22D22">
        <w:rPr>
          <w:rFonts w:eastAsia="HelveticaNeueLT Std" w:cs="HelveticaNeueLT Std"/>
        </w:rPr>
        <w:t>,466,739.93</w:t>
      </w:r>
      <w:proofErr w:type="gramEnd"/>
      <w:r w:rsidR="00AB09FB">
        <w:rPr>
          <w:rFonts w:eastAsia="HelveticaNeueLT Std" w:cs="HelveticaNeueLT Std"/>
          <w:sz w:val="22"/>
          <w:szCs w:val="22"/>
        </w:rPr>
        <w:t xml:space="preserve">, </w:t>
      </w:r>
      <w:r w:rsidRPr="00F42B4B">
        <w:rPr>
          <w:rFonts w:cs="Arial"/>
        </w:rPr>
        <w:t>se integra con las siguientes cuentas:</w:t>
      </w:r>
    </w:p>
    <w:p w14:paraId="5EE1A44E" w14:textId="77777777" w:rsidR="00EB508B" w:rsidRPr="00F42B4B" w:rsidRDefault="00EB508B" w:rsidP="00EB508B">
      <w:pPr>
        <w:numPr>
          <w:ilvl w:val="0"/>
          <w:numId w:val="1"/>
        </w:numPr>
        <w:spacing w:line="276" w:lineRule="auto"/>
        <w:ind w:right="-1"/>
        <w:jc w:val="both"/>
        <w:rPr>
          <w:rFonts w:cs="Arial"/>
        </w:rPr>
      </w:pPr>
      <w:r w:rsidRPr="00F42B4B">
        <w:rPr>
          <w:rFonts w:cs="Arial"/>
          <w:b/>
        </w:rPr>
        <w:t xml:space="preserve">Efectivo. - </w:t>
      </w:r>
      <w:r w:rsidRPr="00F42B4B">
        <w:rPr>
          <w:rFonts w:cs="Arial"/>
        </w:rPr>
        <w:t xml:space="preserve">El saldo de </w:t>
      </w:r>
      <w:r w:rsidRPr="00130799">
        <w:rPr>
          <w:rFonts w:eastAsia="HelveticaNeueLT Std" w:cs="HelveticaNeueLT Std"/>
        </w:rPr>
        <w:t>33,000.00</w:t>
      </w:r>
      <w:r w:rsidRPr="00130799">
        <w:rPr>
          <w:rFonts w:cs="Arial"/>
          <w:color w:val="000000" w:themeColor="text1"/>
        </w:rPr>
        <w:t>,</w:t>
      </w:r>
      <w:r w:rsidRPr="00F42B4B">
        <w:rPr>
          <w:rFonts w:cs="Arial"/>
          <w:color w:val="000000" w:themeColor="text1"/>
        </w:rPr>
        <w:t xml:space="preserve"> </w:t>
      </w:r>
      <w:r w:rsidRPr="00F42B4B">
        <w:rPr>
          <w:rFonts w:cs="Arial"/>
        </w:rPr>
        <w:t>es el importe de efectivo disponible para solventar gastos menores y cubrir necesidades urgentes de gasto corriente que se requieran en las oficinas administrativas de la Dirección General.</w:t>
      </w:r>
      <w:r w:rsidRPr="00F42B4B">
        <w:t xml:space="preserve"> </w:t>
      </w:r>
    </w:p>
    <w:p w14:paraId="11691E54" w14:textId="77777777" w:rsidR="00EB508B" w:rsidRPr="00003AD6" w:rsidRDefault="00EB508B" w:rsidP="008A03A9">
      <w:pPr>
        <w:numPr>
          <w:ilvl w:val="0"/>
          <w:numId w:val="1"/>
        </w:numPr>
        <w:spacing w:after="0" w:line="276" w:lineRule="auto"/>
        <w:ind w:right="-1"/>
        <w:jc w:val="both"/>
        <w:rPr>
          <w:rFonts w:eastAsia="HelveticaNeueLT Std" w:cs="HelveticaNeueLT Std"/>
          <w:b/>
          <w:bCs/>
        </w:rPr>
      </w:pPr>
      <w:r w:rsidRPr="00942948">
        <w:rPr>
          <w:rFonts w:cs="Arial"/>
          <w:b/>
          <w:bCs/>
        </w:rPr>
        <w:t xml:space="preserve">Bancos/Tesorería. - </w:t>
      </w:r>
      <w:r w:rsidRPr="00942948">
        <w:rPr>
          <w:rFonts w:cs="Arial"/>
        </w:rPr>
        <w:t xml:space="preserve">El saldo </w:t>
      </w:r>
      <w:r w:rsidR="00130799">
        <w:rPr>
          <w:rFonts w:cs="Arial"/>
          <w:color w:val="000000" w:themeColor="text1"/>
        </w:rPr>
        <w:t>de</w:t>
      </w:r>
      <w:r w:rsidR="004D2D73" w:rsidRPr="004D2D73">
        <w:rPr>
          <w:rFonts w:eastAsia="HelveticaNeueLT Std" w:cs="HelveticaNeueLT Std"/>
          <w:sz w:val="22"/>
          <w:szCs w:val="22"/>
        </w:rPr>
        <w:t xml:space="preserve"> </w:t>
      </w:r>
      <w:r w:rsidR="008A03A9" w:rsidRPr="008A03A9">
        <w:rPr>
          <w:rFonts w:eastAsia="HelveticaNeueLT Std" w:cs="HelveticaNeueLT Std"/>
        </w:rPr>
        <w:t>38</w:t>
      </w:r>
      <w:proofErr w:type="gramStart"/>
      <w:r w:rsidR="008A03A9" w:rsidRPr="008A03A9">
        <w:rPr>
          <w:rFonts w:eastAsia="HelveticaNeueLT Std" w:cs="HelveticaNeueLT Std"/>
        </w:rPr>
        <w:t>,802,839.49</w:t>
      </w:r>
      <w:proofErr w:type="gramEnd"/>
      <w:r w:rsidR="008A03A9">
        <w:rPr>
          <w:rFonts w:eastAsia="HelveticaNeueLT Std" w:cs="HelveticaNeueLT Std"/>
        </w:rPr>
        <w:t xml:space="preserve"> </w:t>
      </w:r>
      <w:r w:rsidRPr="00942948">
        <w:rPr>
          <w:rFonts w:eastAsia="HelveticaNeueLT Std" w:cs="HelveticaNeueLT Std"/>
          <w:sz w:val="22"/>
          <w:szCs w:val="22"/>
        </w:rPr>
        <w:t>r</w:t>
      </w:r>
      <w:r w:rsidRPr="00942948">
        <w:rPr>
          <w:rFonts w:cs="Arial"/>
        </w:rPr>
        <w:t>efleja la disponibilidad financiera para cubrir los gastos por las necesidades de la operación y de inversión, con la finalidad de cumplir con los compromisos de pago en tiempo y forma. La relación de cuentas productivas especificas es la siguiente:</w:t>
      </w:r>
    </w:p>
    <w:p w14:paraId="08BD35C4" w14:textId="77777777" w:rsidR="00003AD6" w:rsidRPr="00E8317E" w:rsidRDefault="00003AD6" w:rsidP="0047114C">
      <w:pPr>
        <w:spacing w:after="0" w:line="276" w:lineRule="auto"/>
        <w:ind w:left="502" w:right="-1"/>
        <w:jc w:val="both"/>
        <w:rPr>
          <w:rFonts w:eastAsia="HelveticaNeueLT Std" w:cs="HelveticaNeueLT Std"/>
          <w:b/>
          <w:bCs/>
        </w:rPr>
      </w:pPr>
    </w:p>
    <w:p w14:paraId="5DC44AFC" w14:textId="77777777" w:rsidR="00E8317E" w:rsidRPr="00942948" w:rsidRDefault="00605E19" w:rsidP="00E8317E">
      <w:pPr>
        <w:spacing w:after="0" w:line="276" w:lineRule="auto"/>
        <w:ind w:left="502" w:right="-1"/>
        <w:jc w:val="both"/>
        <w:rPr>
          <w:rFonts w:eastAsia="HelveticaNeueLT Std" w:cs="HelveticaNeueLT Std"/>
          <w:b/>
          <w:bCs/>
        </w:rPr>
      </w:pPr>
      <w:r w:rsidRPr="00605E19">
        <w:rPr>
          <w:noProof/>
          <w:lang w:eastAsia="es-MX"/>
        </w:rPr>
        <w:drawing>
          <wp:inline distT="0" distB="0" distL="0" distR="0" wp14:anchorId="5F14E3ED" wp14:editId="3F78EEB6">
            <wp:extent cx="5620274" cy="37814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7202" cy="3786086"/>
                    </a:xfrm>
                    <a:prstGeom prst="rect">
                      <a:avLst/>
                    </a:prstGeom>
                    <a:noFill/>
                    <a:ln>
                      <a:noFill/>
                    </a:ln>
                  </pic:spPr>
                </pic:pic>
              </a:graphicData>
            </a:graphic>
          </wp:inline>
        </w:drawing>
      </w:r>
    </w:p>
    <w:p w14:paraId="34E55C4B" w14:textId="48BFC311" w:rsidR="002A2A0E" w:rsidRDefault="00EB508B" w:rsidP="002A2A0E">
      <w:pPr>
        <w:numPr>
          <w:ilvl w:val="0"/>
          <w:numId w:val="1"/>
        </w:numPr>
        <w:tabs>
          <w:tab w:val="left" w:pos="639"/>
          <w:tab w:val="left" w:pos="3836"/>
        </w:tabs>
        <w:spacing w:before="240" w:after="0" w:line="276" w:lineRule="auto"/>
        <w:jc w:val="both"/>
        <w:rPr>
          <w:noProof/>
          <w:lang w:eastAsia="es-MX"/>
        </w:rPr>
      </w:pPr>
      <w:r w:rsidRPr="002A2A0E">
        <w:rPr>
          <w:rFonts w:eastAsia="Times New Roman" w:cs="Arial"/>
          <w:b/>
          <w:bCs/>
          <w:lang w:eastAsia="es-MX"/>
        </w:rPr>
        <w:lastRenderedPageBreak/>
        <w:t xml:space="preserve">Inversiones Temporales (Hasta 3 meses). - </w:t>
      </w:r>
      <w:r w:rsidRPr="002A2A0E">
        <w:rPr>
          <w:rFonts w:eastAsia="Times New Roman" w:cs="Arial"/>
          <w:lang w:eastAsia="es-MX"/>
        </w:rPr>
        <w:t xml:space="preserve">El saldo </w:t>
      </w:r>
      <w:r w:rsidR="00003AD6" w:rsidRPr="002A2A0E">
        <w:rPr>
          <w:rFonts w:eastAsia="Times New Roman" w:cs="Arial"/>
          <w:color w:val="000000" w:themeColor="text1"/>
          <w:lang w:eastAsia="es-MX"/>
        </w:rPr>
        <w:t>de</w:t>
      </w:r>
      <w:r w:rsidR="00003AD6" w:rsidRPr="002A2A0E">
        <w:rPr>
          <w:rFonts w:eastAsia="HelveticaNeueLT Std" w:cs="HelveticaNeueLT Std"/>
        </w:rPr>
        <w:t xml:space="preserve"> </w:t>
      </w:r>
      <w:r w:rsidR="008A03A9" w:rsidRPr="002A2A0E">
        <w:rPr>
          <w:rFonts w:eastAsia="HelveticaNeueLT Std" w:cs="HelveticaNeueLT Std"/>
        </w:rPr>
        <w:t>358</w:t>
      </w:r>
      <w:proofErr w:type="gramStart"/>
      <w:r w:rsidR="008A03A9" w:rsidRPr="002A2A0E">
        <w:rPr>
          <w:rFonts w:eastAsia="HelveticaNeueLT Std" w:cs="HelveticaNeueLT Std"/>
        </w:rPr>
        <w:t>,466,739.93</w:t>
      </w:r>
      <w:proofErr w:type="gramEnd"/>
      <w:r w:rsidR="008A03A9" w:rsidRPr="002A2A0E">
        <w:rPr>
          <w:rFonts w:eastAsia="HelveticaNeueLT Std" w:cs="HelveticaNeueLT Std"/>
        </w:rPr>
        <w:t xml:space="preserve"> </w:t>
      </w:r>
      <w:r w:rsidRPr="002A2A0E">
        <w:rPr>
          <w:rFonts w:eastAsia="Times New Roman" w:cs="Arial"/>
          <w:lang w:eastAsia="es-MX"/>
        </w:rPr>
        <w:t>refleja los depósitos bancarios a la vista para tener disponibilidades financieras en instrumentos de renta fija y poder cubrir con oportunidad los gastos de operación y de inversión del Instituto. Los intereses se registran en Otros Ingresos Financieros.</w:t>
      </w:r>
    </w:p>
    <w:p w14:paraId="35EC63DC" w14:textId="77777777" w:rsidR="002A2A0E" w:rsidRDefault="002A2A0E" w:rsidP="002A2A0E">
      <w:pPr>
        <w:tabs>
          <w:tab w:val="left" w:pos="639"/>
          <w:tab w:val="left" w:pos="3836"/>
        </w:tabs>
        <w:spacing w:before="240" w:after="0" w:line="276" w:lineRule="auto"/>
        <w:ind w:left="502"/>
        <w:jc w:val="both"/>
        <w:rPr>
          <w:noProof/>
          <w:lang w:eastAsia="es-MX"/>
        </w:rPr>
      </w:pPr>
    </w:p>
    <w:p w14:paraId="2E38767B" w14:textId="532B6384" w:rsidR="00003AD6" w:rsidRDefault="00605E19" w:rsidP="00A877B0">
      <w:pPr>
        <w:tabs>
          <w:tab w:val="left" w:pos="639"/>
          <w:tab w:val="left" w:pos="3836"/>
        </w:tabs>
        <w:spacing w:after="0" w:line="276" w:lineRule="auto"/>
        <w:ind w:left="502"/>
        <w:rPr>
          <w:rFonts w:ascii="Arial" w:eastAsia="Arial" w:hAnsi="Arial" w:cs="Arial"/>
          <w:color w:val="000000" w:themeColor="text1"/>
        </w:rPr>
      </w:pPr>
      <w:r w:rsidRPr="00605E19">
        <w:rPr>
          <w:noProof/>
          <w:lang w:eastAsia="es-MX"/>
        </w:rPr>
        <w:drawing>
          <wp:inline distT="0" distB="0" distL="0" distR="0" wp14:anchorId="1D6AA060" wp14:editId="1E9737B4">
            <wp:extent cx="5924550" cy="7715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771525"/>
                    </a:xfrm>
                    <a:prstGeom prst="rect">
                      <a:avLst/>
                    </a:prstGeom>
                    <a:noFill/>
                    <a:ln>
                      <a:noFill/>
                    </a:ln>
                  </pic:spPr>
                </pic:pic>
              </a:graphicData>
            </a:graphic>
          </wp:inline>
        </w:drawing>
      </w:r>
    </w:p>
    <w:p w14:paraId="47260AF3" w14:textId="77777777" w:rsidR="00EB508B" w:rsidRPr="00F42B4B" w:rsidRDefault="00EB508B" w:rsidP="00EB508B">
      <w:pPr>
        <w:tabs>
          <w:tab w:val="left" w:pos="639"/>
          <w:tab w:val="left" w:pos="3836"/>
        </w:tabs>
        <w:spacing w:before="240" w:after="0" w:line="276" w:lineRule="auto"/>
        <w:ind w:left="142"/>
        <w:jc w:val="both"/>
      </w:pPr>
      <w:r w:rsidRPr="00F42B4B">
        <w:rPr>
          <w:rFonts w:eastAsia="Times New Roman" w:cs="Arial"/>
          <w:lang w:eastAsia="es-MX"/>
        </w:rPr>
        <w:t>En relación a la cuenta de Santander 680, ver comentarios</w:t>
      </w:r>
      <w:r w:rsidR="00171741">
        <w:rPr>
          <w:rFonts w:eastAsia="Times New Roman" w:cs="Arial"/>
          <w:lang w:eastAsia="es-MX"/>
        </w:rPr>
        <w:t xml:space="preserve"> del último párrafo del punto 11</w:t>
      </w:r>
      <w:r w:rsidRPr="00F42B4B">
        <w:rPr>
          <w:rFonts w:eastAsia="Times New Roman" w:cs="Arial"/>
          <w:lang w:eastAsia="es-MX"/>
        </w:rPr>
        <w:t xml:space="preserve"> de las Notas de Gestión Administrativa.</w:t>
      </w:r>
      <w:r w:rsidR="004D2D73">
        <w:rPr>
          <w:rFonts w:eastAsia="Times New Roman" w:cs="Arial"/>
          <w:lang w:eastAsia="es-MX"/>
        </w:rPr>
        <w:t xml:space="preserve"> </w:t>
      </w:r>
    </w:p>
    <w:p w14:paraId="197EE3F2" w14:textId="77777777" w:rsidR="00EB508B" w:rsidRPr="00F42B4B" w:rsidRDefault="00EB508B" w:rsidP="00C9043E">
      <w:pPr>
        <w:shd w:val="clear" w:color="auto" w:fill="FFFFFF" w:themeFill="background1"/>
        <w:tabs>
          <w:tab w:val="left" w:pos="639"/>
          <w:tab w:val="left" w:pos="3836"/>
        </w:tabs>
        <w:spacing w:before="240" w:line="276" w:lineRule="auto"/>
        <w:ind w:right="-1"/>
        <w:jc w:val="both"/>
        <w:rPr>
          <w:rFonts w:cs="Arial"/>
        </w:rPr>
      </w:pPr>
      <w:r w:rsidRPr="00F42B4B">
        <w:rPr>
          <w:rFonts w:cs="Arial"/>
          <w:b/>
          <w:bCs/>
        </w:rPr>
        <w:t xml:space="preserve">Derecho a Recibir Efectivo o Equivalentes. - </w:t>
      </w:r>
      <w:r w:rsidR="00A360CF" w:rsidRPr="00DE16F2">
        <w:rPr>
          <w:rFonts w:cs="Arial"/>
        </w:rPr>
        <w:t>El saldo se integra con la siguiente cuenta</w:t>
      </w:r>
      <w:r w:rsidR="00A360CF" w:rsidRPr="00DE16F2">
        <w:rPr>
          <w:rFonts w:cs="Arial"/>
          <w:b/>
        </w:rPr>
        <w:t>:</w:t>
      </w:r>
    </w:p>
    <w:p w14:paraId="33FB8252" w14:textId="77777777" w:rsidR="00ED1E36" w:rsidRDefault="00ED1E36" w:rsidP="00605E19">
      <w:pPr>
        <w:numPr>
          <w:ilvl w:val="0"/>
          <w:numId w:val="1"/>
        </w:numPr>
        <w:tabs>
          <w:tab w:val="left" w:pos="639"/>
          <w:tab w:val="left" w:pos="3836"/>
        </w:tabs>
        <w:spacing w:before="240" w:after="0" w:line="276" w:lineRule="auto"/>
        <w:ind w:right="-1"/>
        <w:contextualSpacing/>
        <w:jc w:val="both"/>
        <w:rPr>
          <w:rFonts w:cs="Arial"/>
        </w:rPr>
      </w:pPr>
      <w:r w:rsidRPr="008E5FC2">
        <w:rPr>
          <w:rFonts w:cs="Arial"/>
          <w:b/>
          <w:bCs/>
        </w:rPr>
        <w:t xml:space="preserve">Deudores Diversos. </w:t>
      </w:r>
      <w:r>
        <w:rPr>
          <w:rFonts w:cs="Arial"/>
          <w:b/>
          <w:bCs/>
        </w:rPr>
        <w:t>–</w:t>
      </w:r>
      <w:r w:rsidR="006E4343">
        <w:rPr>
          <w:rFonts w:cs="Arial"/>
          <w:b/>
          <w:bCs/>
        </w:rPr>
        <w:t xml:space="preserve"> </w:t>
      </w:r>
      <w:r w:rsidR="006E4343">
        <w:rPr>
          <w:rFonts w:cs="Arial"/>
        </w:rPr>
        <w:t xml:space="preserve">La variación de </w:t>
      </w:r>
      <w:r w:rsidR="006E4343" w:rsidRPr="006E4343">
        <w:rPr>
          <w:rFonts w:cs="Arial"/>
        </w:rPr>
        <w:t>136,289.11</w:t>
      </w:r>
      <w:r>
        <w:rPr>
          <w:rFonts w:cs="Arial"/>
          <w:color w:val="000000" w:themeColor="text1"/>
        </w:rPr>
        <w:t xml:space="preserve"> en este mes </w:t>
      </w:r>
      <w:r w:rsidR="006E4343">
        <w:rPr>
          <w:rFonts w:cs="Arial"/>
          <w:color w:val="000000" w:themeColor="text1"/>
        </w:rPr>
        <w:t>representa las comprobaciones de las solicitudes de Gastos a Comprobar por las actividades de los Servidores Públicos en el cumplimiento de sus funciones.</w:t>
      </w:r>
    </w:p>
    <w:p w14:paraId="52C36199" w14:textId="77777777" w:rsidR="00396D4F" w:rsidRDefault="00396D4F" w:rsidP="00EB508B">
      <w:pPr>
        <w:spacing w:after="0" w:line="276" w:lineRule="auto"/>
        <w:ind w:right="-1"/>
        <w:jc w:val="both"/>
        <w:rPr>
          <w:rFonts w:cs="Arial"/>
        </w:rPr>
      </w:pPr>
    </w:p>
    <w:p w14:paraId="2C84144F" w14:textId="77777777" w:rsidR="00EB508B" w:rsidRPr="00F42B4B" w:rsidRDefault="00EB508B" w:rsidP="00EB508B">
      <w:pPr>
        <w:spacing w:after="0" w:line="276" w:lineRule="auto"/>
        <w:ind w:right="-1"/>
        <w:jc w:val="both"/>
        <w:rPr>
          <w:rFonts w:cs="Arial"/>
          <w:b/>
        </w:rPr>
      </w:pPr>
      <w:r w:rsidRPr="00F42B4B">
        <w:rPr>
          <w:rFonts w:cs="Arial"/>
          <w:b/>
        </w:rPr>
        <w:t>Activo No Circulante</w:t>
      </w:r>
    </w:p>
    <w:p w14:paraId="620BD97D" w14:textId="77777777" w:rsidR="00EB508B" w:rsidRPr="00F42B4B" w:rsidRDefault="00EB508B" w:rsidP="00EB508B">
      <w:pPr>
        <w:spacing w:after="0" w:line="276" w:lineRule="auto"/>
        <w:ind w:right="-1"/>
        <w:jc w:val="both"/>
        <w:rPr>
          <w:rFonts w:cs="Arial"/>
          <w:b/>
          <w:sz w:val="12"/>
        </w:rPr>
      </w:pPr>
    </w:p>
    <w:p w14:paraId="7BA3727D" w14:textId="77777777" w:rsidR="00EB508B" w:rsidRPr="00DE16F2" w:rsidRDefault="00EB508B" w:rsidP="00EB508B">
      <w:pPr>
        <w:tabs>
          <w:tab w:val="left" w:pos="3836"/>
        </w:tabs>
        <w:spacing w:line="276" w:lineRule="auto"/>
        <w:ind w:right="-1"/>
        <w:jc w:val="both"/>
        <w:rPr>
          <w:rFonts w:cs="Arial"/>
          <w:b/>
        </w:rPr>
      </w:pPr>
      <w:r w:rsidRPr="00DE16F2">
        <w:rPr>
          <w:rFonts w:cs="Arial"/>
          <w:b/>
        </w:rPr>
        <w:t xml:space="preserve">Inversiones Financieras a Largo Plazo. - </w:t>
      </w:r>
      <w:r w:rsidRPr="00DE16F2">
        <w:rPr>
          <w:rFonts w:cs="Arial"/>
        </w:rPr>
        <w:t>El saldo se integra con la siguiente cuenta</w:t>
      </w:r>
      <w:r w:rsidRPr="00DE16F2">
        <w:rPr>
          <w:rFonts w:cs="Arial"/>
          <w:b/>
        </w:rPr>
        <w:t>:</w:t>
      </w:r>
      <w:r w:rsidRPr="00DE16F2">
        <w:t xml:space="preserve"> </w:t>
      </w:r>
    </w:p>
    <w:p w14:paraId="486C1CB2" w14:textId="7B89A331" w:rsidR="00ED1E36" w:rsidRPr="00475210" w:rsidRDefault="00ED1E36" w:rsidP="00373642">
      <w:pPr>
        <w:numPr>
          <w:ilvl w:val="0"/>
          <w:numId w:val="1"/>
        </w:numPr>
        <w:spacing w:after="0" w:line="276" w:lineRule="auto"/>
        <w:ind w:right="-1"/>
        <w:contextualSpacing/>
        <w:jc w:val="both"/>
        <w:rPr>
          <w:rFonts w:eastAsia="HelveticaNeueLT Std" w:cs="HelveticaNeueLT Std"/>
          <w:b/>
          <w:bCs/>
          <w:color w:val="000000" w:themeColor="text1"/>
          <w:lang w:eastAsia="es-MX"/>
        </w:rPr>
      </w:pPr>
      <w:r w:rsidRPr="00475210">
        <w:rPr>
          <w:rFonts w:eastAsiaTheme="minorEastAsia" w:cs="Arial"/>
          <w:b/>
          <w:bCs/>
          <w:color w:val="000000" w:themeColor="text1"/>
        </w:rPr>
        <w:t xml:space="preserve">Fideicomisos, Mandatos y Contratos Análogos. - </w:t>
      </w:r>
      <w:r w:rsidRPr="00475210">
        <w:rPr>
          <w:rFonts w:eastAsiaTheme="minorEastAsia" w:cs="Arial"/>
          <w:color w:val="000000" w:themeColor="text1"/>
        </w:rPr>
        <w:t xml:space="preserve">El saldo por las aportaciones realizadas al Fideicomiso de Cobranza de esta cuenta al mes que se analiza es por </w:t>
      </w:r>
      <w:r w:rsidR="00373642" w:rsidRPr="00373642">
        <w:rPr>
          <w:rFonts w:eastAsia="HelveticaNeueLT Std" w:cs="HelveticaNeueLT Std"/>
        </w:rPr>
        <w:t>5,423,422,478.89</w:t>
      </w:r>
      <w:r w:rsidRPr="00475210">
        <w:rPr>
          <w:rFonts w:eastAsiaTheme="minorEastAsia" w:cs="Arial"/>
          <w:color w:val="000000" w:themeColor="text1"/>
        </w:rPr>
        <w:t xml:space="preserve">, que refleja los recursos transferidos a la fiduciaria, menos los pagos por amortización de capital y las remesas al Instituto, que corresponden a las siguientes cantidades, al RPP por </w:t>
      </w:r>
      <w:r w:rsidR="00605E19" w:rsidRPr="00605E19">
        <w:rPr>
          <w:rFonts w:eastAsia="HelveticaNeueLT Std" w:cs="HelveticaNeueLT Std"/>
        </w:rPr>
        <w:t>5,412,765,395.07</w:t>
      </w:r>
      <w:r w:rsidRPr="00475210">
        <w:rPr>
          <w:rFonts w:eastAsiaTheme="minorEastAsia" w:cs="Arial"/>
          <w:color w:val="000000" w:themeColor="text1"/>
        </w:rPr>
        <w:t xml:space="preserve">, y al RPC por </w:t>
      </w:r>
      <w:r w:rsidR="00605E19" w:rsidRPr="00605E19">
        <w:rPr>
          <w:rFonts w:eastAsia="HelveticaNeueLT Std" w:cs="HelveticaNeueLT Std"/>
        </w:rPr>
        <w:t>10,657,083.82</w:t>
      </w:r>
      <w:bookmarkStart w:id="0" w:name="_Hlk62665278"/>
      <w:r w:rsidR="00DE1D43">
        <w:rPr>
          <w:rFonts w:eastAsia="HelveticaNeueLT Std" w:cs="HelveticaNeueLT Std"/>
        </w:rPr>
        <w:t>.</w:t>
      </w:r>
    </w:p>
    <w:bookmarkEnd w:id="0"/>
    <w:p w14:paraId="7695B918" w14:textId="77777777" w:rsidR="008641A6" w:rsidRDefault="008641A6" w:rsidP="008641A6">
      <w:pPr>
        <w:tabs>
          <w:tab w:val="left" w:pos="7909"/>
        </w:tabs>
        <w:spacing w:line="259" w:lineRule="auto"/>
        <w:rPr>
          <w:rFonts w:cs="Arial"/>
          <w:b/>
        </w:rPr>
      </w:pPr>
    </w:p>
    <w:p w14:paraId="68EAC527" w14:textId="77777777" w:rsidR="00EB508B" w:rsidRPr="00F42B4B" w:rsidRDefault="00EB508B" w:rsidP="008641A6">
      <w:pPr>
        <w:tabs>
          <w:tab w:val="left" w:pos="7909"/>
        </w:tabs>
        <w:spacing w:line="259" w:lineRule="auto"/>
        <w:rPr>
          <w:rFonts w:cs="Arial"/>
          <w:b/>
        </w:rPr>
      </w:pPr>
      <w:r w:rsidRPr="00F42B4B">
        <w:rPr>
          <w:rFonts w:cs="Arial"/>
          <w:b/>
        </w:rPr>
        <w:t>Bienes Inmuebles, Infraestructura y Construcciones en Proceso</w:t>
      </w:r>
      <w:r w:rsidR="00171741">
        <w:rPr>
          <w:rFonts w:cs="Arial"/>
          <w:b/>
        </w:rPr>
        <w:t>.-</w:t>
      </w:r>
      <w:r w:rsidR="00171741" w:rsidRPr="00DE16F2">
        <w:rPr>
          <w:rFonts w:cs="Arial"/>
        </w:rPr>
        <w:t>El saldo se integra con la siguiente cuenta</w:t>
      </w:r>
      <w:r w:rsidR="00171741">
        <w:rPr>
          <w:rFonts w:cs="Arial"/>
        </w:rPr>
        <w:t>:</w:t>
      </w:r>
    </w:p>
    <w:p w14:paraId="119A57B1" w14:textId="77777777" w:rsidR="00DF7D76" w:rsidRDefault="00EB508B" w:rsidP="004B7798">
      <w:pPr>
        <w:numPr>
          <w:ilvl w:val="0"/>
          <w:numId w:val="1"/>
        </w:numPr>
        <w:spacing w:after="0" w:line="276" w:lineRule="auto"/>
        <w:ind w:right="-1"/>
        <w:jc w:val="both"/>
        <w:rPr>
          <w:rFonts w:cs="Arial"/>
          <w:color w:val="000000" w:themeColor="text1"/>
        </w:rPr>
      </w:pPr>
      <w:r w:rsidRPr="00F42B4B">
        <w:rPr>
          <w:rFonts w:cs="Arial"/>
          <w:b/>
          <w:bCs/>
        </w:rPr>
        <w:t xml:space="preserve">Edificios no Habitacionales. - </w:t>
      </w:r>
      <w:r w:rsidRPr="00F42B4B">
        <w:rPr>
          <w:rFonts w:cs="Arial"/>
        </w:rPr>
        <w:t>A la fe</w:t>
      </w:r>
      <w:r w:rsidRPr="00130799">
        <w:rPr>
          <w:rFonts w:cs="Arial"/>
        </w:rPr>
        <w:t xml:space="preserve">cha de estas notas presentaron un valor histórico de </w:t>
      </w:r>
      <w:r w:rsidRPr="00130799">
        <w:rPr>
          <w:rFonts w:eastAsia="HelveticaNeueLT Std" w:cs="HelveticaNeueLT Std"/>
        </w:rPr>
        <w:t>86</w:t>
      </w:r>
      <w:proofErr w:type="gramStart"/>
      <w:r w:rsidRPr="00130799">
        <w:rPr>
          <w:rFonts w:eastAsia="HelveticaNeueLT Std" w:cs="HelveticaNeueLT Std"/>
        </w:rPr>
        <w:t>,325,735.19</w:t>
      </w:r>
      <w:proofErr w:type="gramEnd"/>
      <w:r w:rsidRPr="00130799">
        <w:rPr>
          <w:rFonts w:eastAsia="HelveticaNeueLT Std" w:cs="HelveticaNeueLT Std"/>
        </w:rPr>
        <w:t>,</w:t>
      </w:r>
      <w:r w:rsidRPr="00130799">
        <w:rPr>
          <w:rFonts w:cs="Arial"/>
        </w:rPr>
        <w:t xml:space="preserve"> l</w:t>
      </w:r>
      <w:r w:rsidRPr="00130799">
        <w:rPr>
          <w:rFonts w:cs="Arial"/>
          <w:color w:val="000000" w:themeColor="text1"/>
        </w:rPr>
        <w:t xml:space="preserve">a depreciación acumulada al mes actual fue de </w:t>
      </w:r>
      <w:r w:rsidR="004B7798" w:rsidRPr="004B7798">
        <w:rPr>
          <w:rFonts w:eastAsia="HelveticaNeueLT Std" w:cs="HelveticaNeueLT Std"/>
        </w:rPr>
        <w:t>8,873,387.16</w:t>
      </w:r>
      <w:r w:rsidRPr="00130799">
        <w:rPr>
          <w:rFonts w:eastAsia="HelveticaNeueLT Std" w:cs="HelveticaNeueLT Std"/>
        </w:rPr>
        <w:t xml:space="preserve">, se afecta contra el resultado del ejercicio por lo que se determinó un valor neto en libros de </w:t>
      </w:r>
      <w:r w:rsidR="004B7798" w:rsidRPr="004B7798">
        <w:rPr>
          <w:rFonts w:eastAsia="HelveticaNeueLT Std" w:cs="HelveticaNeueLT Std"/>
        </w:rPr>
        <w:t xml:space="preserve"> 77,452,348.03</w:t>
      </w:r>
      <w:r w:rsidRPr="00130799">
        <w:rPr>
          <w:rFonts w:cs="Arial"/>
          <w:color w:val="000000" w:themeColor="text1"/>
        </w:rPr>
        <w:t>.</w:t>
      </w:r>
    </w:p>
    <w:p w14:paraId="6922D1B4" w14:textId="77777777" w:rsidR="00E03D1D" w:rsidRPr="00F42B4B" w:rsidRDefault="00DF7D76" w:rsidP="00DF7D76">
      <w:pPr>
        <w:spacing w:line="259" w:lineRule="auto"/>
        <w:rPr>
          <w:rFonts w:cs="Arial"/>
          <w:color w:val="000000" w:themeColor="text1"/>
        </w:rPr>
      </w:pPr>
      <w:r>
        <w:rPr>
          <w:rFonts w:cs="Arial"/>
          <w:color w:val="000000" w:themeColor="text1"/>
        </w:rPr>
        <w:br w:type="page"/>
      </w:r>
    </w:p>
    <w:p w14:paraId="77D3CD44" w14:textId="77777777" w:rsidR="00EB508B" w:rsidRPr="00F42B4B" w:rsidRDefault="00EB508B" w:rsidP="00340A9D">
      <w:pPr>
        <w:spacing w:line="259" w:lineRule="auto"/>
        <w:rPr>
          <w:rFonts w:cs="Arial"/>
        </w:rPr>
      </w:pPr>
      <w:r w:rsidRPr="00F42B4B">
        <w:rPr>
          <w:rFonts w:cs="Arial"/>
          <w:b/>
          <w:bCs/>
        </w:rPr>
        <w:lastRenderedPageBreak/>
        <w:t xml:space="preserve">Bienes Muebles.- </w:t>
      </w:r>
      <w:r w:rsidRPr="00F42B4B">
        <w:rPr>
          <w:rFonts w:cs="Arial"/>
        </w:rPr>
        <w:t xml:space="preserve">De acuerdo con el Análisis de Movimientos del Activo No Circulante y su Depreciación:  </w:t>
      </w:r>
    </w:p>
    <w:p w14:paraId="1376929B" w14:textId="77777777" w:rsidR="00EB508B" w:rsidRDefault="00EB508B" w:rsidP="00EB508B">
      <w:pPr>
        <w:spacing w:after="0" w:line="276" w:lineRule="auto"/>
        <w:ind w:right="-1"/>
        <w:jc w:val="both"/>
        <w:rPr>
          <w:b/>
          <w:bCs/>
          <w:color w:val="000000" w:themeColor="text1"/>
        </w:rPr>
      </w:pPr>
    </w:p>
    <w:p w14:paraId="46E3032C" w14:textId="77777777" w:rsidR="007C701B" w:rsidRDefault="007C701B" w:rsidP="00EB508B">
      <w:pPr>
        <w:spacing w:after="0" w:line="276" w:lineRule="auto"/>
        <w:ind w:right="-1"/>
        <w:jc w:val="both"/>
        <w:rPr>
          <w:b/>
          <w:bCs/>
          <w:color w:val="000000" w:themeColor="text1"/>
        </w:rPr>
      </w:pPr>
      <w:r w:rsidRPr="007C701B">
        <w:rPr>
          <w:noProof/>
          <w:lang w:eastAsia="es-MX"/>
        </w:rPr>
        <w:drawing>
          <wp:inline distT="0" distB="0" distL="0" distR="0" wp14:anchorId="2A40AA0A" wp14:editId="0DC81D93">
            <wp:extent cx="6389370" cy="179451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9370" cy="1794510"/>
                    </a:xfrm>
                    <a:prstGeom prst="rect">
                      <a:avLst/>
                    </a:prstGeom>
                    <a:noFill/>
                    <a:ln>
                      <a:noFill/>
                    </a:ln>
                  </pic:spPr>
                </pic:pic>
              </a:graphicData>
            </a:graphic>
          </wp:inline>
        </w:drawing>
      </w:r>
    </w:p>
    <w:p w14:paraId="0DFD980A" w14:textId="77777777" w:rsidR="00C91311" w:rsidRDefault="00C91311" w:rsidP="00EB508B">
      <w:pPr>
        <w:spacing w:after="0" w:line="276" w:lineRule="auto"/>
        <w:ind w:right="-1"/>
        <w:jc w:val="both"/>
        <w:rPr>
          <w:bCs/>
          <w:color w:val="000000" w:themeColor="text1"/>
        </w:rPr>
      </w:pPr>
    </w:p>
    <w:p w14:paraId="54BE5E12" w14:textId="77777777" w:rsidR="00EB508B" w:rsidRPr="00F42B4B" w:rsidRDefault="00EB508B" w:rsidP="00EB508B">
      <w:pPr>
        <w:spacing w:after="0" w:line="276" w:lineRule="auto"/>
        <w:ind w:right="-1"/>
        <w:jc w:val="both"/>
        <w:rPr>
          <w:rFonts w:cs="Arial"/>
        </w:rPr>
      </w:pPr>
      <w:r w:rsidRPr="00F42B4B">
        <w:rPr>
          <w:rFonts w:cs="Arial"/>
          <w:b/>
        </w:rPr>
        <w:t xml:space="preserve">Nota: </w:t>
      </w:r>
      <w:r w:rsidRPr="00F42B4B">
        <w:rPr>
          <w:rFonts w:cs="Arial"/>
        </w:rPr>
        <w:t>Las bajas de los bienes de equipo de cómputo y muebles de oficina son por donación y bienes obsoletos o en mal estado.</w:t>
      </w:r>
    </w:p>
    <w:p w14:paraId="262BB959" w14:textId="77777777" w:rsidR="00EB508B" w:rsidRPr="00F42B4B" w:rsidRDefault="00EB508B" w:rsidP="00EB508B">
      <w:pPr>
        <w:spacing w:after="0" w:line="276" w:lineRule="auto"/>
        <w:ind w:right="-1"/>
        <w:rPr>
          <w:rFonts w:cs="Arial"/>
          <w:b/>
        </w:rPr>
      </w:pPr>
    </w:p>
    <w:p w14:paraId="767258E1" w14:textId="77777777" w:rsidR="00EB508B" w:rsidRPr="00F42B4B" w:rsidRDefault="00EB508B" w:rsidP="00EB508B">
      <w:pPr>
        <w:spacing w:after="0" w:line="276" w:lineRule="auto"/>
        <w:ind w:right="-1"/>
        <w:rPr>
          <w:rFonts w:cs="Arial"/>
          <w:b/>
        </w:rPr>
      </w:pPr>
      <w:r w:rsidRPr="00F42B4B">
        <w:rPr>
          <w:rFonts w:cs="Arial"/>
          <w:b/>
        </w:rPr>
        <w:t>Activos Diferidos.-</w:t>
      </w:r>
      <w:r w:rsidRPr="00F42B4B">
        <w:rPr>
          <w:rFonts w:cs="Arial"/>
        </w:rPr>
        <w:t xml:space="preserve"> El saldo de </w:t>
      </w:r>
      <w:r w:rsidRPr="00F42B4B">
        <w:rPr>
          <w:rFonts w:cs="Arial"/>
          <w:color w:val="000000" w:themeColor="text1"/>
        </w:rPr>
        <w:t xml:space="preserve">61,839.00, </w:t>
      </w:r>
      <w:r w:rsidRPr="00F42B4B">
        <w:rPr>
          <w:rFonts w:cs="Arial"/>
        </w:rPr>
        <w:t>se integra por la siguiente cuenta:</w:t>
      </w:r>
    </w:p>
    <w:p w14:paraId="1BC8AFDE" w14:textId="77777777" w:rsidR="00EB508B" w:rsidRPr="00F42B4B" w:rsidRDefault="00EB508B" w:rsidP="00EB508B">
      <w:pPr>
        <w:spacing w:after="0" w:line="276" w:lineRule="auto"/>
        <w:ind w:right="-1"/>
        <w:jc w:val="both"/>
        <w:rPr>
          <w:rFonts w:cs="Arial"/>
        </w:rPr>
      </w:pPr>
    </w:p>
    <w:p w14:paraId="7D0FA280" w14:textId="77777777" w:rsidR="00EB508B" w:rsidRPr="00F42B4B" w:rsidRDefault="00EB508B" w:rsidP="00605E19">
      <w:pPr>
        <w:pStyle w:val="Prrafodelista"/>
        <w:numPr>
          <w:ilvl w:val="0"/>
          <w:numId w:val="1"/>
        </w:numPr>
        <w:spacing w:line="276" w:lineRule="auto"/>
        <w:ind w:right="-1"/>
        <w:jc w:val="both"/>
        <w:outlineLvl w:val="0"/>
        <w:rPr>
          <w:rFonts w:ascii="HelveticaNeueLT Std" w:eastAsiaTheme="minorEastAsia" w:hAnsi="HelveticaNeueLT Std" w:cs="Arial"/>
          <w:sz w:val="20"/>
          <w:szCs w:val="20"/>
          <w:lang w:eastAsia="en-US"/>
        </w:rPr>
      </w:pPr>
      <w:r w:rsidRPr="00F42B4B">
        <w:rPr>
          <w:rFonts w:ascii="HelveticaNeueLT Std" w:eastAsiaTheme="minorEastAsia" w:hAnsi="HelveticaNeueLT Std" w:cs="Arial"/>
          <w:b/>
          <w:bCs/>
          <w:sz w:val="20"/>
          <w:szCs w:val="20"/>
          <w:lang w:eastAsia="en-US"/>
        </w:rPr>
        <w:t>Otros Activos Diferidos. -</w:t>
      </w:r>
      <w:r w:rsidRPr="00F42B4B">
        <w:rPr>
          <w:rFonts w:ascii="HelveticaNeueLT Std" w:eastAsiaTheme="minorEastAsia" w:hAnsi="HelveticaNeueLT Std" w:cs="Arial"/>
          <w:sz w:val="20"/>
          <w:szCs w:val="20"/>
          <w:lang w:eastAsia="en-US"/>
        </w:rPr>
        <w:t xml:space="preserve"> Su saldo representa los depósitos en garantía que se han otorgado a la Comisión Federal de Electricidad (CFE) para prestar el servicio de energía eléctrica.</w:t>
      </w:r>
    </w:p>
    <w:p w14:paraId="5BD9F3F2" w14:textId="77777777" w:rsidR="00EB508B" w:rsidRPr="00F42B4B" w:rsidRDefault="00EB508B" w:rsidP="00EB508B">
      <w:pPr>
        <w:spacing w:after="0" w:line="276" w:lineRule="auto"/>
        <w:ind w:right="-1"/>
        <w:jc w:val="both"/>
        <w:rPr>
          <w:rFonts w:cs="Arial"/>
          <w:b/>
        </w:rPr>
      </w:pPr>
    </w:p>
    <w:p w14:paraId="53707709" w14:textId="77777777" w:rsidR="00EB508B" w:rsidRPr="00F42B4B" w:rsidRDefault="00EB508B" w:rsidP="00EB508B">
      <w:pPr>
        <w:spacing w:line="276" w:lineRule="auto"/>
        <w:ind w:right="-1"/>
        <w:jc w:val="both"/>
        <w:outlineLvl w:val="0"/>
        <w:rPr>
          <w:rFonts w:cs="Arial"/>
          <w:b/>
        </w:rPr>
      </w:pPr>
      <w:r w:rsidRPr="00F42B4B">
        <w:rPr>
          <w:rFonts w:cs="Arial"/>
          <w:b/>
        </w:rPr>
        <w:t>Pasivo Circulante</w:t>
      </w:r>
    </w:p>
    <w:p w14:paraId="438BCB11" w14:textId="77777777" w:rsidR="00425957" w:rsidRDefault="00425957" w:rsidP="00425957">
      <w:pPr>
        <w:spacing w:line="276" w:lineRule="auto"/>
        <w:ind w:right="-1"/>
        <w:jc w:val="both"/>
        <w:outlineLvl w:val="0"/>
        <w:rPr>
          <w:rFonts w:eastAsiaTheme="minorEastAsia" w:cs="Arial"/>
        </w:rPr>
      </w:pPr>
      <w:r w:rsidRPr="00F15200">
        <w:rPr>
          <w:rFonts w:eastAsiaTheme="minorEastAsia" w:cs="Arial"/>
          <w:b/>
          <w:bCs/>
        </w:rPr>
        <w:t>Cuentas por Pagar a Corto Plazo</w:t>
      </w:r>
      <w:r w:rsidRPr="00F15200">
        <w:rPr>
          <w:rFonts w:cs="Arial"/>
          <w:b/>
          <w:bCs/>
        </w:rPr>
        <w:t>.-</w:t>
      </w:r>
      <w:r w:rsidRPr="00F15200">
        <w:rPr>
          <w:rFonts w:cs="Arial"/>
          <w:b/>
          <w:bCs/>
          <w:sz w:val="22"/>
          <w:szCs w:val="22"/>
        </w:rPr>
        <w:t xml:space="preserve"> </w:t>
      </w:r>
      <w:r w:rsidRPr="00F15200">
        <w:rPr>
          <w:rFonts w:eastAsiaTheme="minorEastAsia" w:cs="Arial"/>
        </w:rPr>
        <w:t xml:space="preserve">El saldo de este rubro por </w:t>
      </w:r>
      <w:r>
        <w:rPr>
          <w:rFonts w:eastAsiaTheme="minorEastAsia" w:cs="Arial"/>
        </w:rPr>
        <w:t>10</w:t>
      </w:r>
      <w:proofErr w:type="gramStart"/>
      <w:r>
        <w:rPr>
          <w:rFonts w:eastAsiaTheme="minorEastAsia" w:cs="Arial"/>
        </w:rPr>
        <w:t>,951,847.01</w:t>
      </w:r>
      <w:proofErr w:type="gramEnd"/>
      <w:r w:rsidRPr="00F15200">
        <w:rPr>
          <w:rFonts w:eastAsiaTheme="minorEastAsia" w:cs="Arial"/>
        </w:rPr>
        <w:t>, se integra de la forma y con la antigüedad de saldos siguientes:</w:t>
      </w:r>
    </w:p>
    <w:p w14:paraId="64FA313A" w14:textId="77777777" w:rsidR="00425957" w:rsidRDefault="00425957" w:rsidP="00425957">
      <w:pPr>
        <w:spacing w:line="276" w:lineRule="auto"/>
        <w:ind w:right="-1"/>
        <w:jc w:val="center"/>
        <w:outlineLvl w:val="0"/>
        <w:rPr>
          <w:rFonts w:eastAsiaTheme="minorEastAsia" w:cs="Arial"/>
        </w:rPr>
      </w:pPr>
      <w:r w:rsidRPr="00F03AD2">
        <w:rPr>
          <w:noProof/>
          <w:lang w:eastAsia="es-MX"/>
        </w:rPr>
        <w:drawing>
          <wp:inline distT="0" distB="0" distL="0" distR="0" wp14:anchorId="6D3F670B" wp14:editId="3460FD32">
            <wp:extent cx="5105400" cy="5715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5400" cy="571500"/>
                    </a:xfrm>
                    <a:prstGeom prst="rect">
                      <a:avLst/>
                    </a:prstGeom>
                    <a:noFill/>
                    <a:ln>
                      <a:noFill/>
                    </a:ln>
                  </pic:spPr>
                </pic:pic>
              </a:graphicData>
            </a:graphic>
          </wp:inline>
        </w:drawing>
      </w:r>
    </w:p>
    <w:p w14:paraId="598D7D4C" w14:textId="77777777" w:rsidR="00EB508B" w:rsidRPr="00F42B4B" w:rsidRDefault="00EB508B" w:rsidP="00DB3675">
      <w:pPr>
        <w:spacing w:line="276" w:lineRule="auto"/>
        <w:ind w:right="-1"/>
        <w:jc w:val="both"/>
        <w:outlineLvl w:val="0"/>
        <w:rPr>
          <w:rFonts w:cs="Arial"/>
        </w:rPr>
      </w:pPr>
      <w:r w:rsidRPr="00F42B4B">
        <w:rPr>
          <w:rFonts w:cs="Arial"/>
        </w:rPr>
        <w:t xml:space="preserve">El importe a más de 365 días se debe a la cancelación de cheques en tránsito </w:t>
      </w:r>
      <w:r w:rsidR="003A53F6">
        <w:rPr>
          <w:rFonts w:cs="Arial"/>
        </w:rPr>
        <w:t xml:space="preserve">(por devolución de ingresos indebidos), </w:t>
      </w:r>
      <w:r w:rsidRPr="00F42B4B">
        <w:rPr>
          <w:rFonts w:cs="Arial"/>
        </w:rPr>
        <w:t>los cuales deben de permanecer en cuentas por pagar de acuerdo con la normatividad vigente.</w:t>
      </w:r>
    </w:p>
    <w:p w14:paraId="240CBCDB" w14:textId="77777777" w:rsidR="00EB508B" w:rsidRPr="00A34732" w:rsidRDefault="00EB508B" w:rsidP="00A9428F">
      <w:pPr>
        <w:pStyle w:val="Prrafodelista"/>
        <w:numPr>
          <w:ilvl w:val="0"/>
          <w:numId w:val="1"/>
        </w:numPr>
        <w:spacing w:line="276" w:lineRule="auto"/>
        <w:ind w:right="-1"/>
        <w:jc w:val="both"/>
        <w:outlineLvl w:val="0"/>
        <w:rPr>
          <w:rFonts w:eastAsiaTheme="minorEastAsia" w:cs="Arial"/>
          <w:b/>
          <w:bCs/>
        </w:rPr>
      </w:pPr>
      <w:r w:rsidRPr="006333E9">
        <w:rPr>
          <w:rFonts w:ascii="HelveticaNeueLT Std" w:eastAsiaTheme="minorEastAsia" w:hAnsi="HelveticaNeueLT Std" w:cs="Arial"/>
          <w:b/>
          <w:bCs/>
          <w:sz w:val="20"/>
          <w:szCs w:val="20"/>
          <w:lang w:eastAsia="en-US"/>
        </w:rPr>
        <w:t xml:space="preserve">Proveedores por Pagar a Corto Plazo. </w:t>
      </w:r>
      <w:r w:rsidRPr="006333E9">
        <w:rPr>
          <w:rFonts w:ascii="HelveticaNeueLT Std" w:eastAsiaTheme="minorEastAsia" w:hAnsi="HelveticaNeueLT Std" w:cs="Arial"/>
          <w:sz w:val="20"/>
          <w:szCs w:val="20"/>
          <w:lang w:eastAsia="en-US"/>
        </w:rPr>
        <w:t xml:space="preserve">- El saldo de </w:t>
      </w:r>
      <w:r w:rsidR="00A9428F" w:rsidRPr="006333E9">
        <w:rPr>
          <w:rFonts w:ascii="HelveticaNeueLT Std" w:eastAsia="HelveticaNeueLT Std" w:hAnsi="HelveticaNeueLT Std" w:cs="HelveticaNeueLT Std"/>
          <w:sz w:val="20"/>
          <w:szCs w:val="20"/>
          <w:lang w:eastAsia="en-US"/>
        </w:rPr>
        <w:t>9,918,698.11</w:t>
      </w:r>
      <w:r w:rsidRPr="006333E9">
        <w:rPr>
          <w:rFonts w:ascii="HelveticaNeueLT Std" w:eastAsiaTheme="minorEastAsia" w:hAnsi="HelveticaNeueLT Std" w:cs="Arial"/>
          <w:sz w:val="20"/>
          <w:szCs w:val="20"/>
          <w:lang w:eastAsia="en-US"/>
        </w:rPr>
        <w:t xml:space="preserve">, representa el importe de las obligaciones de pago, </w:t>
      </w:r>
      <w:r w:rsidR="003C09F5" w:rsidRPr="006333E9">
        <w:rPr>
          <w:rFonts w:ascii="HelveticaNeueLT Std" w:eastAsiaTheme="minorEastAsia" w:hAnsi="HelveticaNeueLT Std" w:cs="Arial"/>
          <w:sz w:val="20"/>
          <w:szCs w:val="20"/>
          <w:lang w:eastAsia="en-US"/>
        </w:rPr>
        <w:t>principalmente</w:t>
      </w:r>
      <w:r w:rsidR="00DB3675" w:rsidRPr="006333E9">
        <w:rPr>
          <w:rFonts w:ascii="HelveticaNeueLT Std" w:eastAsiaTheme="minorEastAsia" w:hAnsi="HelveticaNeueLT Std" w:cs="Arial"/>
          <w:sz w:val="20"/>
          <w:szCs w:val="20"/>
          <w:lang w:eastAsia="en-US"/>
        </w:rPr>
        <w:t xml:space="preserve"> por los</w:t>
      </w:r>
      <w:r w:rsidR="00AD46AF" w:rsidRPr="006333E9">
        <w:rPr>
          <w:rFonts w:ascii="HelveticaNeueLT Std" w:eastAsiaTheme="minorEastAsia" w:hAnsi="HelveticaNeueLT Std" w:cs="Arial"/>
          <w:sz w:val="20"/>
          <w:szCs w:val="20"/>
          <w:lang w:eastAsia="en-US"/>
        </w:rPr>
        <w:t xml:space="preserve"> proveedor</w:t>
      </w:r>
      <w:r w:rsidR="00DB3675" w:rsidRPr="006333E9">
        <w:rPr>
          <w:rFonts w:ascii="HelveticaNeueLT Std" w:eastAsiaTheme="minorEastAsia" w:hAnsi="HelveticaNeueLT Std" w:cs="Arial"/>
          <w:sz w:val="20"/>
          <w:szCs w:val="20"/>
          <w:lang w:eastAsia="en-US"/>
        </w:rPr>
        <w:t>es;</w:t>
      </w:r>
      <w:r w:rsidR="00AD46AF" w:rsidRPr="006333E9">
        <w:rPr>
          <w:rFonts w:ascii="HelveticaNeueLT Std" w:eastAsiaTheme="minorEastAsia" w:hAnsi="HelveticaNeueLT Std" w:cs="Arial"/>
          <w:sz w:val="20"/>
          <w:szCs w:val="20"/>
          <w:lang w:eastAsia="en-US"/>
        </w:rPr>
        <w:t xml:space="preserve"> </w:t>
      </w:r>
      <w:r w:rsidR="00A9428F" w:rsidRPr="006333E9">
        <w:rPr>
          <w:rFonts w:ascii="HelveticaNeueLT Std" w:eastAsiaTheme="minorEastAsia" w:hAnsi="HelveticaNeueLT Std" w:cs="Arial"/>
          <w:sz w:val="20"/>
          <w:szCs w:val="20"/>
          <w:lang w:eastAsia="en-US"/>
        </w:rPr>
        <w:t>Axtel S.A.B. de C.V.</w:t>
      </w:r>
      <w:r w:rsidR="00DB3675" w:rsidRPr="006333E9">
        <w:rPr>
          <w:rFonts w:ascii="HelveticaNeueLT Std" w:eastAsiaTheme="minorEastAsia" w:hAnsi="HelveticaNeueLT Std" w:cs="Arial"/>
          <w:sz w:val="20"/>
          <w:szCs w:val="20"/>
          <w:lang w:eastAsia="en-US"/>
        </w:rPr>
        <w:t xml:space="preserve">, </w:t>
      </w:r>
      <w:r w:rsidR="00A9428F" w:rsidRPr="006333E9">
        <w:rPr>
          <w:rFonts w:ascii="HelveticaNeueLT Std" w:eastAsiaTheme="minorEastAsia" w:hAnsi="HelveticaNeueLT Std" w:cs="Arial"/>
          <w:sz w:val="20"/>
          <w:szCs w:val="20"/>
          <w:lang w:eastAsia="en-US"/>
        </w:rPr>
        <w:t xml:space="preserve">Servicios de Asesoría y Consultoría </w:t>
      </w:r>
      <w:r w:rsidR="00A9428F" w:rsidRPr="00A34732">
        <w:rPr>
          <w:rFonts w:ascii="HelveticaNeueLT Std" w:eastAsiaTheme="minorEastAsia" w:hAnsi="HelveticaNeueLT Std" w:cs="Arial"/>
          <w:sz w:val="20"/>
          <w:szCs w:val="20"/>
          <w:lang w:eastAsia="en-US"/>
        </w:rPr>
        <w:t xml:space="preserve">Informáticos, Estudios e Investigación, </w:t>
      </w:r>
      <w:proofErr w:type="spellStart"/>
      <w:r w:rsidR="00A9428F" w:rsidRPr="00A34732">
        <w:rPr>
          <w:rFonts w:ascii="HelveticaNeueLT Std" w:eastAsiaTheme="minorEastAsia" w:hAnsi="HelveticaNeueLT Std" w:cs="Arial"/>
          <w:sz w:val="20"/>
          <w:szCs w:val="20"/>
          <w:lang w:eastAsia="en-US"/>
        </w:rPr>
        <w:t>Nuuptech</w:t>
      </w:r>
      <w:proofErr w:type="spellEnd"/>
      <w:r w:rsidR="00A9428F" w:rsidRPr="00A34732">
        <w:rPr>
          <w:rFonts w:ascii="HelveticaNeueLT Std" w:eastAsiaTheme="minorEastAsia" w:hAnsi="HelveticaNeueLT Std" w:cs="Arial"/>
          <w:sz w:val="20"/>
          <w:szCs w:val="20"/>
          <w:lang w:eastAsia="en-US"/>
        </w:rPr>
        <w:t xml:space="preserve">, S.A. de C.V., y  Grupo </w:t>
      </w:r>
      <w:proofErr w:type="spellStart"/>
      <w:r w:rsidR="00A9428F" w:rsidRPr="00A34732">
        <w:rPr>
          <w:rFonts w:ascii="HelveticaNeueLT Std" w:eastAsiaTheme="minorEastAsia" w:hAnsi="HelveticaNeueLT Std" w:cs="Arial"/>
          <w:sz w:val="20"/>
          <w:szCs w:val="20"/>
          <w:lang w:eastAsia="en-US"/>
        </w:rPr>
        <w:t>TyC</w:t>
      </w:r>
      <w:proofErr w:type="spellEnd"/>
      <w:r w:rsidR="00A9428F" w:rsidRPr="00A34732">
        <w:rPr>
          <w:rFonts w:ascii="HelveticaNeueLT Std" w:eastAsiaTheme="minorEastAsia" w:hAnsi="HelveticaNeueLT Std" w:cs="Arial"/>
          <w:sz w:val="20"/>
          <w:szCs w:val="20"/>
          <w:lang w:eastAsia="en-US"/>
        </w:rPr>
        <w:t xml:space="preserve"> Tele y </w:t>
      </w:r>
      <w:proofErr w:type="spellStart"/>
      <w:r w:rsidR="00A9428F" w:rsidRPr="00A34732">
        <w:rPr>
          <w:rFonts w:ascii="HelveticaNeueLT Std" w:eastAsiaTheme="minorEastAsia" w:hAnsi="HelveticaNeueLT Std" w:cs="Arial"/>
          <w:sz w:val="20"/>
          <w:szCs w:val="20"/>
          <w:lang w:eastAsia="en-US"/>
        </w:rPr>
        <w:t>Com</w:t>
      </w:r>
      <w:proofErr w:type="spellEnd"/>
      <w:r w:rsidR="00A9428F" w:rsidRPr="00A34732">
        <w:rPr>
          <w:rFonts w:ascii="HelveticaNeueLT Std" w:eastAsiaTheme="minorEastAsia" w:hAnsi="HelveticaNeueLT Std" w:cs="Arial"/>
          <w:sz w:val="20"/>
          <w:szCs w:val="20"/>
          <w:lang w:eastAsia="en-US"/>
        </w:rPr>
        <w:t xml:space="preserve"> </w:t>
      </w:r>
      <w:proofErr w:type="spellStart"/>
      <w:r w:rsidR="00A9428F" w:rsidRPr="00A34732">
        <w:rPr>
          <w:rFonts w:ascii="HelveticaNeueLT Std" w:eastAsiaTheme="minorEastAsia" w:hAnsi="HelveticaNeueLT Std" w:cs="Arial"/>
          <w:sz w:val="20"/>
          <w:szCs w:val="20"/>
          <w:lang w:eastAsia="en-US"/>
        </w:rPr>
        <w:t>S.A.de</w:t>
      </w:r>
      <w:proofErr w:type="spellEnd"/>
      <w:r w:rsidR="00A9428F" w:rsidRPr="00A34732">
        <w:rPr>
          <w:rFonts w:ascii="HelveticaNeueLT Std" w:eastAsiaTheme="minorEastAsia" w:hAnsi="HelveticaNeueLT Std" w:cs="Arial"/>
          <w:sz w:val="20"/>
          <w:szCs w:val="20"/>
          <w:lang w:eastAsia="en-US"/>
        </w:rPr>
        <w:t xml:space="preserve"> C.V.  </w:t>
      </w:r>
    </w:p>
    <w:p w14:paraId="17B5EBC9" w14:textId="77777777" w:rsidR="008A556F" w:rsidRPr="00A34732" w:rsidRDefault="008A556F" w:rsidP="008A556F">
      <w:pPr>
        <w:pStyle w:val="Prrafodelista"/>
        <w:spacing w:line="276" w:lineRule="auto"/>
        <w:ind w:left="502" w:right="-1"/>
        <w:jc w:val="both"/>
        <w:outlineLvl w:val="0"/>
        <w:rPr>
          <w:rFonts w:eastAsiaTheme="minorEastAsia" w:cs="Arial"/>
          <w:b/>
          <w:bCs/>
        </w:rPr>
      </w:pPr>
    </w:p>
    <w:p w14:paraId="19D1FCE9" w14:textId="79F72D73" w:rsidR="00091600" w:rsidRPr="00425957" w:rsidRDefault="00EB508B" w:rsidP="00990838">
      <w:pPr>
        <w:pStyle w:val="Prrafodelista"/>
        <w:numPr>
          <w:ilvl w:val="0"/>
          <w:numId w:val="1"/>
        </w:numPr>
        <w:ind w:right="-1"/>
        <w:jc w:val="both"/>
        <w:rPr>
          <w:rFonts w:cs="Arial"/>
        </w:rPr>
      </w:pPr>
      <w:r w:rsidRPr="00A34732">
        <w:rPr>
          <w:rFonts w:ascii="HelveticaNeueLT Std" w:eastAsiaTheme="minorEastAsia" w:hAnsi="HelveticaNeueLT Std" w:cs="Arial"/>
          <w:b/>
          <w:bCs/>
          <w:sz w:val="20"/>
          <w:szCs w:val="20"/>
          <w:lang w:eastAsia="en-US"/>
        </w:rPr>
        <w:t>Retenciones y Contribuciones por Pagar a Corto Plazo</w:t>
      </w:r>
      <w:r w:rsidRPr="00A34732">
        <w:rPr>
          <w:rFonts w:eastAsiaTheme="minorEastAsia" w:cs="Arial"/>
          <w:b/>
          <w:bCs/>
        </w:rPr>
        <w:t xml:space="preserve">. </w:t>
      </w:r>
      <w:r w:rsidR="00755BE2" w:rsidRPr="00A34732">
        <w:rPr>
          <w:rFonts w:eastAsiaTheme="minorEastAsia" w:cs="Arial"/>
          <w:b/>
          <w:bCs/>
        </w:rPr>
        <w:t>–</w:t>
      </w:r>
      <w:r w:rsidRPr="00A34732">
        <w:rPr>
          <w:rFonts w:eastAsiaTheme="minorEastAsia" w:cs="Arial"/>
          <w:b/>
          <w:bCs/>
        </w:rPr>
        <w:t xml:space="preserve"> </w:t>
      </w:r>
      <w:r w:rsidR="00755BE2" w:rsidRPr="00A34732">
        <w:rPr>
          <w:rFonts w:ascii="HelveticaNeueLT Std" w:eastAsiaTheme="minorEastAsia" w:hAnsi="HelveticaNeueLT Std" w:cs="Arial"/>
          <w:sz w:val="20"/>
          <w:szCs w:val="20"/>
          <w:lang w:eastAsia="en-US"/>
        </w:rPr>
        <w:t xml:space="preserve">La variación </w:t>
      </w:r>
      <w:r w:rsidR="00027777" w:rsidRPr="00A34732">
        <w:rPr>
          <w:rFonts w:ascii="HelveticaNeueLT Std" w:eastAsiaTheme="minorEastAsia" w:hAnsi="HelveticaNeueLT Std" w:cs="Arial"/>
          <w:sz w:val="20"/>
          <w:szCs w:val="20"/>
          <w:lang w:eastAsia="en-US"/>
        </w:rPr>
        <w:t xml:space="preserve">contra el mes anterior </w:t>
      </w:r>
      <w:r w:rsidR="002A2A0E" w:rsidRPr="00A34732">
        <w:rPr>
          <w:rFonts w:ascii="HelveticaNeueLT Std" w:eastAsiaTheme="minorEastAsia" w:hAnsi="HelveticaNeueLT Std" w:cs="Arial"/>
          <w:sz w:val="20"/>
          <w:szCs w:val="20"/>
          <w:lang w:eastAsia="en-US"/>
        </w:rPr>
        <w:t xml:space="preserve">reflejada en </w:t>
      </w:r>
      <w:r w:rsidR="00AA3263">
        <w:rPr>
          <w:rFonts w:ascii="HelveticaNeueLT Std" w:eastAsiaTheme="minorEastAsia" w:hAnsi="HelveticaNeueLT Std" w:cs="Arial"/>
          <w:sz w:val="20"/>
          <w:szCs w:val="20"/>
          <w:lang w:eastAsia="en-US"/>
        </w:rPr>
        <w:t>este</w:t>
      </w:r>
      <w:r w:rsidR="00027777" w:rsidRPr="00A34732">
        <w:rPr>
          <w:rFonts w:ascii="HelveticaNeueLT Std" w:eastAsiaTheme="minorEastAsia" w:hAnsi="HelveticaNeueLT Std" w:cs="Arial"/>
          <w:sz w:val="20"/>
          <w:szCs w:val="20"/>
          <w:lang w:eastAsia="en-US"/>
        </w:rPr>
        <w:t xml:space="preserve"> </w:t>
      </w:r>
      <w:r w:rsidR="00AA3263">
        <w:rPr>
          <w:rFonts w:ascii="HelveticaNeueLT Std" w:eastAsiaTheme="minorEastAsia" w:hAnsi="HelveticaNeueLT Std" w:cs="Arial"/>
          <w:sz w:val="20"/>
          <w:szCs w:val="20"/>
          <w:lang w:eastAsia="en-US"/>
        </w:rPr>
        <w:t>rubro</w:t>
      </w:r>
      <w:r w:rsidR="002A2A0E" w:rsidRPr="00A34732">
        <w:rPr>
          <w:rFonts w:ascii="HelveticaNeueLT Std" w:eastAsiaTheme="minorEastAsia" w:hAnsi="HelveticaNeueLT Std" w:cs="Arial"/>
          <w:sz w:val="20"/>
          <w:szCs w:val="20"/>
          <w:lang w:eastAsia="en-US"/>
        </w:rPr>
        <w:t xml:space="preserve"> </w:t>
      </w:r>
      <w:r w:rsidR="00027777" w:rsidRPr="00A34732">
        <w:rPr>
          <w:rFonts w:ascii="HelveticaNeueLT Std" w:eastAsiaTheme="minorEastAsia" w:hAnsi="HelveticaNeueLT Std" w:cs="Arial"/>
          <w:sz w:val="20"/>
          <w:szCs w:val="20"/>
          <w:lang w:eastAsia="en-US"/>
        </w:rPr>
        <w:t>por 2</w:t>
      </w:r>
      <w:proofErr w:type="gramStart"/>
      <w:r w:rsidR="00027777" w:rsidRPr="00A34732">
        <w:rPr>
          <w:rFonts w:ascii="HelveticaNeueLT Std" w:eastAsiaTheme="minorEastAsia" w:hAnsi="HelveticaNeueLT Std" w:cs="Arial"/>
          <w:sz w:val="20"/>
          <w:szCs w:val="20"/>
          <w:lang w:eastAsia="en-US"/>
        </w:rPr>
        <w:t>,117,819.22</w:t>
      </w:r>
      <w:proofErr w:type="gramEnd"/>
      <w:r w:rsidR="00027777" w:rsidRPr="00A34732">
        <w:rPr>
          <w:rFonts w:ascii="HelveticaNeueLT Std" w:eastAsiaTheme="minorEastAsia" w:hAnsi="HelveticaNeueLT Std" w:cs="Arial"/>
          <w:sz w:val="20"/>
          <w:szCs w:val="20"/>
          <w:lang w:eastAsia="en-US"/>
        </w:rPr>
        <w:t>, se debe principalmente al entero por concepto de Impuesto Sobre la Renta (ISR) del mes de diciembre de 2020</w:t>
      </w:r>
      <w:r w:rsidR="00A34732" w:rsidRPr="00A34732">
        <w:rPr>
          <w:rFonts w:ascii="HelveticaNeueLT Std" w:eastAsiaTheme="minorEastAsia" w:hAnsi="HelveticaNeueLT Std" w:cs="Arial"/>
          <w:sz w:val="20"/>
          <w:szCs w:val="20"/>
          <w:lang w:eastAsia="en-US"/>
        </w:rPr>
        <w:t>.</w:t>
      </w:r>
    </w:p>
    <w:p w14:paraId="0F9E3EE4" w14:textId="77777777" w:rsidR="00425957" w:rsidRPr="00425957" w:rsidRDefault="00425957" w:rsidP="00425957">
      <w:pPr>
        <w:ind w:right="-1"/>
        <w:jc w:val="both"/>
        <w:rPr>
          <w:rFonts w:cs="Arial"/>
        </w:rPr>
      </w:pPr>
    </w:p>
    <w:p w14:paraId="27E0312A" w14:textId="77777777" w:rsidR="006A4D9A" w:rsidRPr="00AE0682" w:rsidRDefault="003F51BF" w:rsidP="00947C90">
      <w:pPr>
        <w:pStyle w:val="Prrafodelista"/>
        <w:numPr>
          <w:ilvl w:val="0"/>
          <w:numId w:val="1"/>
        </w:numPr>
        <w:ind w:right="-1"/>
        <w:jc w:val="both"/>
        <w:rPr>
          <w:rFonts w:cs="Arial"/>
        </w:rPr>
      </w:pPr>
      <w:r>
        <w:rPr>
          <w:rFonts w:ascii="HelveticaNeueLT Std" w:eastAsiaTheme="minorEastAsia" w:hAnsi="HelveticaNeueLT Std" w:cs="Arial"/>
          <w:b/>
          <w:bCs/>
          <w:sz w:val="20"/>
          <w:szCs w:val="20"/>
          <w:lang w:eastAsia="en-US"/>
        </w:rPr>
        <w:t xml:space="preserve">Otras Cuentas por Pagar a Corto Plazo. </w:t>
      </w:r>
      <w:r>
        <w:rPr>
          <w:rFonts w:ascii="HelveticaNeueLT Std" w:eastAsiaTheme="minorEastAsia" w:hAnsi="HelveticaNeueLT Std" w:cs="Arial"/>
          <w:sz w:val="20"/>
          <w:szCs w:val="20"/>
          <w:lang w:eastAsia="en-US"/>
        </w:rPr>
        <w:t xml:space="preserve">- El saldo de </w:t>
      </w:r>
      <w:r>
        <w:rPr>
          <w:rFonts w:ascii="HelveticaNeueLT Std" w:eastAsia="HelveticaNeueLT Std" w:hAnsi="HelveticaNeueLT Std" w:cs="HelveticaNeueLT Std"/>
          <w:sz w:val="20"/>
          <w:szCs w:val="20"/>
          <w:lang w:eastAsia="en-US"/>
        </w:rPr>
        <w:t>1</w:t>
      </w:r>
      <w:proofErr w:type="gramStart"/>
      <w:r>
        <w:rPr>
          <w:rFonts w:ascii="HelveticaNeueLT Std" w:eastAsia="HelveticaNeueLT Std" w:hAnsi="HelveticaNeueLT Std" w:cs="HelveticaNeueLT Std"/>
          <w:sz w:val="20"/>
          <w:szCs w:val="20"/>
          <w:lang w:eastAsia="en-US"/>
        </w:rPr>
        <w:t>,033,148.90</w:t>
      </w:r>
      <w:proofErr w:type="gramEnd"/>
      <w:r>
        <w:rPr>
          <w:rFonts w:ascii="HelveticaNeueLT Std" w:eastAsiaTheme="minorEastAsia" w:hAnsi="HelveticaNeueLT Std" w:cs="Arial"/>
          <w:sz w:val="20"/>
          <w:szCs w:val="20"/>
          <w:lang w:eastAsia="en-US"/>
        </w:rPr>
        <w:t xml:space="preserve">, en este mes representa principalmente, la cuenta por pagar al Gobierno del Estado de México por 627,273.60, así como cheques en tránsito cancelados y por devoluciones de ingresos indebidos. La variación en relación al mes pasado </w:t>
      </w:r>
      <w:proofErr w:type="spellStart"/>
      <w:r>
        <w:rPr>
          <w:rFonts w:ascii="HelveticaNeueLT Std" w:eastAsiaTheme="minorEastAsia" w:hAnsi="HelveticaNeueLT Std" w:cs="Arial"/>
          <w:sz w:val="20"/>
          <w:szCs w:val="20"/>
          <w:lang w:eastAsia="en-US"/>
        </w:rPr>
        <w:t>correponde</w:t>
      </w:r>
      <w:proofErr w:type="spellEnd"/>
      <w:r>
        <w:rPr>
          <w:rFonts w:ascii="HelveticaNeueLT Std" w:eastAsiaTheme="minorEastAsia" w:hAnsi="HelveticaNeueLT Std" w:cs="Arial"/>
          <w:sz w:val="20"/>
          <w:szCs w:val="20"/>
          <w:lang w:eastAsia="en-US"/>
        </w:rPr>
        <w:t xml:space="preserve"> al pago de cuotas de ISSEMYM correspondientes al mes anterior.</w:t>
      </w:r>
    </w:p>
    <w:p w14:paraId="11D5BCCF" w14:textId="77777777" w:rsidR="00AE0682" w:rsidRDefault="00AE0682" w:rsidP="00AE0682">
      <w:pPr>
        <w:pStyle w:val="Prrafodelista"/>
        <w:rPr>
          <w:rFonts w:cs="Arial"/>
        </w:rPr>
      </w:pPr>
    </w:p>
    <w:p w14:paraId="118B25C1" w14:textId="77777777" w:rsidR="00AE0682" w:rsidRPr="002E3F40" w:rsidRDefault="00AE0682" w:rsidP="00AE0682">
      <w:pPr>
        <w:spacing w:line="276" w:lineRule="auto"/>
        <w:ind w:right="-1"/>
        <w:jc w:val="both"/>
        <w:outlineLvl w:val="0"/>
        <w:rPr>
          <w:rFonts w:eastAsiaTheme="minorEastAsia" w:cs="Arial"/>
          <w:b/>
          <w:bCs/>
        </w:rPr>
      </w:pPr>
      <w:r w:rsidRPr="002E3F40">
        <w:rPr>
          <w:rFonts w:eastAsiaTheme="minorEastAsia" w:cs="Arial"/>
          <w:b/>
          <w:bCs/>
        </w:rPr>
        <w:t>Pasivo No Circulante</w:t>
      </w:r>
    </w:p>
    <w:p w14:paraId="22342738" w14:textId="77777777" w:rsidR="00AE0682" w:rsidRPr="00AE0682" w:rsidRDefault="00AE0682" w:rsidP="00AE0682">
      <w:pPr>
        <w:spacing w:line="276" w:lineRule="auto"/>
        <w:ind w:right="-1"/>
        <w:jc w:val="both"/>
        <w:outlineLvl w:val="0"/>
        <w:rPr>
          <w:rFonts w:eastAsiaTheme="minorEastAsia" w:cs="Arial"/>
          <w:bCs/>
        </w:rPr>
      </w:pPr>
      <w:r w:rsidRPr="00AE0682">
        <w:rPr>
          <w:rFonts w:eastAsiaTheme="minorEastAsia" w:cs="Arial"/>
          <w:b/>
          <w:bCs/>
        </w:rPr>
        <w:t xml:space="preserve">Documentos por Pagar a Largo Plazo. - </w:t>
      </w:r>
      <w:r w:rsidRPr="00AE0682">
        <w:rPr>
          <w:rFonts w:eastAsiaTheme="minorEastAsia" w:cs="Arial"/>
          <w:bCs/>
        </w:rPr>
        <w:t>Se integra por:</w:t>
      </w:r>
    </w:p>
    <w:p w14:paraId="1739D9EB" w14:textId="3B220DAE" w:rsidR="00AE0682" w:rsidRPr="00AE0682" w:rsidRDefault="00AE0682" w:rsidP="00AE0682">
      <w:pPr>
        <w:pStyle w:val="Prrafodelista"/>
        <w:numPr>
          <w:ilvl w:val="0"/>
          <w:numId w:val="1"/>
        </w:numPr>
        <w:ind w:right="-1"/>
        <w:jc w:val="both"/>
        <w:rPr>
          <w:rFonts w:ascii="HelveticaNeueLT Std" w:eastAsiaTheme="minorEastAsia" w:hAnsi="HelveticaNeueLT Std" w:cs="Arial"/>
          <w:sz w:val="20"/>
          <w:szCs w:val="20"/>
          <w:lang w:eastAsia="en-US"/>
        </w:rPr>
      </w:pPr>
      <w:r w:rsidRPr="00AE0682">
        <w:rPr>
          <w:rFonts w:ascii="HelveticaNeueLT Std" w:eastAsiaTheme="minorEastAsia" w:hAnsi="HelveticaNeueLT Std" w:cs="Arial"/>
          <w:sz w:val="20"/>
          <w:szCs w:val="20"/>
          <w:lang w:eastAsia="en-US"/>
        </w:rPr>
        <w:t xml:space="preserve">Documentos Comerciales por Pagar a Largo Plazo.- El saldo de 6,038,304,842.22, corresponde al pasivo,  en los que se comprometen los ingresos presentes y futuros por concepto de Registro Público de la Propiedad (RPP) del IFREM, de acuerdo al Decreto de Autorización No. 79 publicado en la Gaceta del Gobierno de fecha 12 de mayo del 2010; por el Fideicomiso de Cobranza con el contrato irrevocable </w:t>
      </w:r>
      <w:bookmarkStart w:id="1" w:name="_Hlk62665902"/>
      <w:r w:rsidRPr="00AE0682">
        <w:rPr>
          <w:rFonts w:ascii="HelveticaNeueLT Std" w:eastAsiaTheme="minorEastAsia" w:hAnsi="HelveticaNeueLT Std" w:cs="Arial"/>
          <w:sz w:val="20"/>
          <w:szCs w:val="20"/>
          <w:lang w:eastAsia="en-US"/>
        </w:rPr>
        <w:t xml:space="preserve">número </w:t>
      </w:r>
      <w:bookmarkEnd w:id="1"/>
      <w:r w:rsidRPr="00AE0682">
        <w:rPr>
          <w:rFonts w:ascii="HelveticaNeueLT Std" w:eastAsiaTheme="minorEastAsia" w:hAnsi="HelveticaNeueLT Std" w:cs="Arial"/>
          <w:sz w:val="20"/>
          <w:szCs w:val="20"/>
          <w:lang w:eastAsia="en-US"/>
        </w:rPr>
        <w:t>80615, de fecha 29 de julio en el ejercicio 2010; correspondiente a los Certificados Bursátiles Fiduciarios Serie A por 1,973,241,945.85 y Certificados Bursátiles Fiduciarios Serie B por 927,744,857.00. En este mes se realizó el registro contable-presupuestal por la cantidad de 1</w:t>
      </w:r>
      <w:proofErr w:type="gramStart"/>
      <w:r w:rsidRPr="00AE0682">
        <w:rPr>
          <w:rFonts w:ascii="HelveticaNeueLT Std" w:eastAsiaTheme="minorEastAsia" w:hAnsi="HelveticaNeueLT Std" w:cs="Arial"/>
          <w:sz w:val="20"/>
          <w:szCs w:val="20"/>
          <w:lang w:eastAsia="en-US"/>
        </w:rPr>
        <w:t>,158,478,044.47</w:t>
      </w:r>
      <w:proofErr w:type="gramEnd"/>
      <w:r w:rsidRPr="00AE0682">
        <w:rPr>
          <w:rFonts w:ascii="HelveticaNeueLT Std" w:eastAsiaTheme="minorEastAsia" w:hAnsi="HelveticaNeueLT Std" w:cs="Arial"/>
          <w:sz w:val="20"/>
          <w:szCs w:val="20"/>
          <w:lang w:eastAsia="en-US"/>
        </w:rPr>
        <w:t xml:space="preserve"> para la actualización relativa a la amortización de capital de los Certificados Bursátiles, Serie Subordinada C, Contrato del Fideicomiso Irrevocable número F/1426, de fecha 10 de marzo de 2011, por lo tanto, el saldo por pagar es de 3,137,318,039.37 de la obligación resultante de la emisión de este instrumento financiero de deuda.</w:t>
      </w:r>
    </w:p>
    <w:p w14:paraId="7AA9E3CA" w14:textId="77777777" w:rsidR="00465FAF" w:rsidRPr="00311CDE" w:rsidRDefault="00465FAF" w:rsidP="00465FAF">
      <w:pPr>
        <w:numPr>
          <w:ilvl w:val="0"/>
          <w:numId w:val="6"/>
        </w:numPr>
        <w:spacing w:before="240" w:after="240" w:line="276" w:lineRule="auto"/>
        <w:ind w:right="-1"/>
        <w:contextualSpacing/>
        <w:outlineLvl w:val="0"/>
        <w:rPr>
          <w:rFonts w:eastAsia="Times New Roman" w:cs="Arial"/>
          <w:b/>
          <w:lang w:eastAsia="es-MX"/>
        </w:rPr>
      </w:pPr>
      <w:r w:rsidRPr="00311CDE">
        <w:rPr>
          <w:rFonts w:eastAsia="Times New Roman" w:cs="Arial"/>
          <w:b/>
          <w:lang w:eastAsia="es-MX"/>
        </w:rPr>
        <w:t>NOTAS AL ESTADO DE ACTIVIDADES</w:t>
      </w:r>
    </w:p>
    <w:p w14:paraId="6294B1CB" w14:textId="77777777" w:rsidR="00465FAF" w:rsidRPr="0096540A" w:rsidRDefault="00465FAF" w:rsidP="00465FAF">
      <w:pPr>
        <w:spacing w:before="240" w:after="240" w:line="276" w:lineRule="auto"/>
        <w:ind w:left="1068" w:right="-1"/>
        <w:contextualSpacing/>
        <w:outlineLvl w:val="0"/>
        <w:rPr>
          <w:rFonts w:eastAsia="Times New Roman" w:cs="Arial"/>
          <w:b/>
          <w:sz w:val="16"/>
          <w:lang w:eastAsia="es-MX"/>
        </w:rPr>
      </w:pPr>
    </w:p>
    <w:p w14:paraId="7D75AADC" w14:textId="77777777" w:rsidR="00465FAF" w:rsidRPr="00DA5FD6" w:rsidRDefault="00465FAF" w:rsidP="00465FAF">
      <w:pPr>
        <w:spacing w:line="276" w:lineRule="auto"/>
        <w:ind w:right="-1"/>
        <w:jc w:val="both"/>
        <w:outlineLvl w:val="0"/>
        <w:rPr>
          <w:rFonts w:cs="Arial"/>
          <w:b/>
        </w:rPr>
      </w:pPr>
      <w:r w:rsidRPr="00DA5FD6">
        <w:rPr>
          <w:rFonts w:cs="Arial"/>
          <w:b/>
        </w:rPr>
        <w:t>Ingresos de la Gestión:</w:t>
      </w:r>
    </w:p>
    <w:p w14:paraId="2628AC44" w14:textId="77777777" w:rsidR="00465FAF" w:rsidRPr="00093862" w:rsidRDefault="00465FAF" w:rsidP="00465FAF">
      <w:pPr>
        <w:numPr>
          <w:ilvl w:val="0"/>
          <w:numId w:val="18"/>
        </w:numPr>
        <w:spacing w:after="0" w:line="276" w:lineRule="auto"/>
        <w:ind w:right="-1"/>
        <w:contextualSpacing/>
        <w:jc w:val="both"/>
        <w:rPr>
          <w:rFonts w:eastAsia="Times New Roman" w:cs="Arial"/>
          <w:b/>
          <w:lang w:eastAsia="es-MX"/>
        </w:rPr>
      </w:pPr>
      <w:r w:rsidRPr="00DA5FD6">
        <w:rPr>
          <w:rFonts w:eastAsia="Times New Roman" w:cs="Arial"/>
          <w:b/>
          <w:lang w:eastAsia="es-MX"/>
        </w:rPr>
        <w:t xml:space="preserve">Derechos. - </w:t>
      </w:r>
      <w:r w:rsidRPr="00DA5FD6">
        <w:rPr>
          <w:rFonts w:eastAsia="Times New Roman" w:cs="Arial"/>
          <w:lang w:eastAsia="es-MX"/>
        </w:rPr>
        <w:t>Los Ingresos de Gestión por los Derechos de los servicios prestados por el Instituto, en el mes fueron por la cantidad de</w:t>
      </w:r>
      <w:r>
        <w:rPr>
          <w:rFonts w:eastAsia="Times New Roman" w:cs="Arial"/>
          <w:lang w:eastAsia="es-MX"/>
        </w:rPr>
        <w:t xml:space="preserve"> </w:t>
      </w:r>
      <w:r w:rsidRPr="004645C3">
        <w:rPr>
          <w:rFonts w:eastAsia="Times New Roman" w:cs="Arial"/>
          <w:lang w:eastAsia="es-MX"/>
        </w:rPr>
        <w:t>1</w:t>
      </w:r>
      <w:r>
        <w:rPr>
          <w:rFonts w:eastAsia="Times New Roman" w:cs="Arial"/>
          <w:lang w:eastAsia="es-MX"/>
        </w:rPr>
        <w:t>71,406,707</w:t>
      </w:r>
      <w:r w:rsidRPr="006350C0">
        <w:rPr>
          <w:rFonts w:eastAsia="Times New Roman" w:cs="Arial"/>
          <w:color w:val="FF0000"/>
          <w:lang w:eastAsia="es-MX"/>
        </w:rPr>
        <w:t>.</w:t>
      </w:r>
      <w:r w:rsidRPr="004645C3">
        <w:rPr>
          <w:rFonts w:eastAsia="Times New Roman" w:cs="Arial"/>
          <w:lang w:eastAsia="es-MX"/>
        </w:rPr>
        <w:t>00</w:t>
      </w:r>
      <w:r w:rsidRPr="006350C0">
        <w:rPr>
          <w:rFonts w:eastAsia="Times New Roman" w:cs="Arial"/>
          <w:color w:val="FF0000"/>
          <w:lang w:eastAsia="es-MX"/>
        </w:rPr>
        <w:t xml:space="preserve"> </w:t>
      </w:r>
      <w:r w:rsidRPr="00093862">
        <w:rPr>
          <w:rFonts w:eastAsia="Times New Roman" w:cs="Arial"/>
          <w:lang w:eastAsia="es-MX"/>
        </w:rPr>
        <w:t xml:space="preserve">obteniendo una recaudación en los recursos del Registro Público de la Propiedad (RPP) por </w:t>
      </w:r>
      <w:r w:rsidRPr="00BA2EDE">
        <w:rPr>
          <w:rFonts w:eastAsia="Times New Roman" w:cs="Arial"/>
          <w:lang w:eastAsia="es-MX"/>
        </w:rPr>
        <w:t>1</w:t>
      </w:r>
      <w:r>
        <w:rPr>
          <w:rFonts w:eastAsia="Times New Roman" w:cs="Arial"/>
          <w:lang w:eastAsia="es-MX"/>
        </w:rPr>
        <w:t>68</w:t>
      </w:r>
      <w:r w:rsidRPr="00BA2EDE">
        <w:rPr>
          <w:rFonts w:eastAsia="Times New Roman" w:cs="Arial"/>
          <w:lang w:eastAsia="es-MX"/>
        </w:rPr>
        <w:t>,</w:t>
      </w:r>
      <w:r>
        <w:rPr>
          <w:rFonts w:eastAsia="Times New Roman" w:cs="Arial"/>
          <w:lang w:eastAsia="es-MX"/>
        </w:rPr>
        <w:t>688</w:t>
      </w:r>
      <w:r w:rsidRPr="00BA2EDE">
        <w:rPr>
          <w:rFonts w:eastAsia="Times New Roman" w:cs="Arial"/>
          <w:lang w:eastAsia="es-MX"/>
        </w:rPr>
        <w:t>,</w:t>
      </w:r>
      <w:r>
        <w:rPr>
          <w:rFonts w:eastAsia="Times New Roman" w:cs="Arial"/>
          <w:lang w:eastAsia="es-MX"/>
        </w:rPr>
        <w:t>345</w:t>
      </w:r>
      <w:r w:rsidRPr="00BA2EDE">
        <w:rPr>
          <w:rFonts w:eastAsia="Times New Roman" w:cs="Arial"/>
          <w:lang w:eastAsia="es-MX"/>
        </w:rPr>
        <w:t>.00</w:t>
      </w:r>
      <w:r>
        <w:rPr>
          <w:rFonts w:eastAsia="Times New Roman" w:cs="Arial"/>
          <w:lang w:eastAsia="es-MX"/>
        </w:rPr>
        <w:t xml:space="preserve"> </w:t>
      </w:r>
      <w:r w:rsidRPr="00093862">
        <w:rPr>
          <w:rFonts w:eastAsia="Times New Roman" w:cs="Arial"/>
          <w:lang w:eastAsia="es-MX"/>
        </w:rPr>
        <w:t xml:space="preserve">y los recursos del Registro Público del Comercio (RPC) por </w:t>
      </w:r>
      <w:r w:rsidRPr="00BA2EDE">
        <w:rPr>
          <w:rFonts w:eastAsia="Times New Roman" w:cs="Arial"/>
          <w:lang w:eastAsia="es-MX"/>
        </w:rPr>
        <w:t>2,</w:t>
      </w:r>
      <w:r>
        <w:rPr>
          <w:rFonts w:eastAsia="Times New Roman" w:cs="Arial"/>
          <w:lang w:eastAsia="es-MX"/>
        </w:rPr>
        <w:t>718</w:t>
      </w:r>
      <w:r w:rsidRPr="00BA2EDE">
        <w:rPr>
          <w:rFonts w:eastAsia="Times New Roman" w:cs="Arial"/>
          <w:lang w:eastAsia="es-MX"/>
        </w:rPr>
        <w:t>,</w:t>
      </w:r>
      <w:r>
        <w:rPr>
          <w:rFonts w:eastAsia="Times New Roman" w:cs="Arial"/>
          <w:lang w:eastAsia="es-MX"/>
        </w:rPr>
        <w:t>362</w:t>
      </w:r>
      <w:r w:rsidRPr="00BA2EDE">
        <w:rPr>
          <w:rFonts w:eastAsia="Times New Roman" w:cs="Arial"/>
          <w:lang w:eastAsia="es-MX"/>
        </w:rPr>
        <w:t>.00</w:t>
      </w:r>
      <w:r w:rsidRPr="00093862">
        <w:rPr>
          <w:rFonts w:eastAsia="Times New Roman" w:cs="Arial"/>
          <w:lang w:eastAsia="es-MX"/>
        </w:rPr>
        <w:t xml:space="preserve">. Al mes se lleva un total acumulado por </w:t>
      </w:r>
      <w:r>
        <w:rPr>
          <w:rFonts w:eastAsia="Times New Roman" w:cs="Arial"/>
          <w:lang w:eastAsia="es-MX"/>
        </w:rPr>
        <w:t>1</w:t>
      </w:r>
      <w:proofErr w:type="gramStart"/>
      <w:r>
        <w:rPr>
          <w:rFonts w:eastAsia="Times New Roman" w:cs="Arial"/>
          <w:lang w:eastAsia="es-MX"/>
        </w:rPr>
        <w:t>,261</w:t>
      </w:r>
      <w:r w:rsidRPr="00BA2EDE">
        <w:rPr>
          <w:rFonts w:eastAsia="Times New Roman" w:cs="Arial"/>
          <w:lang w:eastAsia="es-MX"/>
        </w:rPr>
        <w:t>,</w:t>
      </w:r>
      <w:r>
        <w:rPr>
          <w:rFonts w:eastAsia="Times New Roman" w:cs="Arial"/>
          <w:lang w:eastAsia="es-MX"/>
        </w:rPr>
        <w:t>459</w:t>
      </w:r>
      <w:r w:rsidRPr="00BA2EDE">
        <w:rPr>
          <w:rFonts w:eastAsia="Times New Roman" w:cs="Arial"/>
          <w:lang w:eastAsia="es-MX"/>
        </w:rPr>
        <w:t>,</w:t>
      </w:r>
      <w:r>
        <w:rPr>
          <w:rFonts w:eastAsia="Times New Roman" w:cs="Arial"/>
          <w:lang w:eastAsia="es-MX"/>
        </w:rPr>
        <w:t>147</w:t>
      </w:r>
      <w:r w:rsidRPr="00BA2EDE">
        <w:rPr>
          <w:rFonts w:eastAsia="Times New Roman" w:cs="Arial"/>
          <w:lang w:eastAsia="es-MX"/>
        </w:rPr>
        <w:t>.00</w:t>
      </w:r>
      <w:proofErr w:type="gramEnd"/>
      <w:r w:rsidRPr="00093862">
        <w:rPr>
          <w:rFonts w:eastAsia="Times New Roman" w:cs="Arial"/>
          <w:lang w:eastAsia="es-MX"/>
        </w:rPr>
        <w:t>.</w:t>
      </w:r>
      <w:r w:rsidRPr="005E0D78">
        <w:t xml:space="preserve"> </w:t>
      </w:r>
    </w:p>
    <w:p w14:paraId="01656760" w14:textId="77777777" w:rsidR="00465FAF" w:rsidRPr="0096540A" w:rsidRDefault="00465FAF" w:rsidP="00465FAF">
      <w:pPr>
        <w:spacing w:after="0" w:line="276" w:lineRule="auto"/>
        <w:ind w:right="-1"/>
        <w:jc w:val="both"/>
        <w:rPr>
          <w:rFonts w:cs="Arial"/>
          <w:sz w:val="16"/>
        </w:rPr>
      </w:pPr>
    </w:p>
    <w:p w14:paraId="2A3B89F8" w14:textId="77777777" w:rsidR="00465FAF" w:rsidRPr="00DA5FD6" w:rsidRDefault="00465FAF" w:rsidP="00465FAF">
      <w:pPr>
        <w:numPr>
          <w:ilvl w:val="0"/>
          <w:numId w:val="18"/>
        </w:numPr>
        <w:spacing w:after="0" w:line="276" w:lineRule="auto"/>
        <w:ind w:right="-1"/>
        <w:contextualSpacing/>
        <w:jc w:val="both"/>
        <w:rPr>
          <w:rFonts w:eastAsia="Times New Roman" w:cs="Arial"/>
          <w:sz w:val="24"/>
          <w:szCs w:val="24"/>
          <w:lang w:eastAsia="es-MX"/>
        </w:rPr>
      </w:pPr>
      <w:r w:rsidRPr="004A1CA2">
        <w:rPr>
          <w:rFonts w:eastAsia="Times New Roman" w:cs="Arial"/>
          <w:b/>
          <w:lang w:eastAsia="es-MX"/>
        </w:rPr>
        <w:t>Participaciones, Aportaciones, Convenios, Incentivos Derivados de la Colaboración Fiscal, Fondos Distintos de Aportaciones, Transferencias, Asignaciones, Subsidios y Subvencione</w:t>
      </w:r>
      <w:r>
        <w:rPr>
          <w:rFonts w:eastAsia="Times New Roman" w:cs="Arial"/>
          <w:b/>
          <w:lang w:eastAsia="es-MX"/>
        </w:rPr>
        <w:t>s, y Pensiones y Jubilaciones</w:t>
      </w:r>
      <w:r w:rsidRPr="00DA5FD6">
        <w:rPr>
          <w:rFonts w:eastAsia="Times New Roman" w:cs="Arial"/>
          <w:lang w:eastAsia="es-MX"/>
        </w:rPr>
        <w:t>. - E</w:t>
      </w:r>
      <w:r>
        <w:rPr>
          <w:rFonts w:eastAsia="Times New Roman" w:cs="Arial"/>
          <w:lang w:eastAsia="es-MX"/>
        </w:rPr>
        <w:t>l saldo corresponde</w:t>
      </w:r>
      <w:r w:rsidRPr="00DA5FD6">
        <w:rPr>
          <w:rFonts w:eastAsia="Times New Roman" w:cs="Arial"/>
          <w:lang w:eastAsia="es-MX"/>
        </w:rPr>
        <w:t xml:space="preserve"> al Programa </w:t>
      </w:r>
      <w:r>
        <w:rPr>
          <w:rFonts w:eastAsia="Times New Roman" w:cs="Arial"/>
          <w:lang w:eastAsia="es-MX"/>
        </w:rPr>
        <w:t>de Acciones</w:t>
      </w:r>
      <w:r w:rsidRPr="00DA5FD6">
        <w:rPr>
          <w:rFonts w:eastAsia="Times New Roman" w:cs="Arial"/>
          <w:lang w:eastAsia="es-MX"/>
        </w:rPr>
        <w:t xml:space="preserve"> </w:t>
      </w:r>
      <w:r>
        <w:rPr>
          <w:rFonts w:eastAsia="Times New Roman" w:cs="Arial"/>
          <w:lang w:eastAsia="es-MX"/>
        </w:rPr>
        <w:t>para el Desarrollo (</w:t>
      </w:r>
      <w:r w:rsidRPr="00DA5FD6">
        <w:rPr>
          <w:rFonts w:eastAsia="Times New Roman" w:cs="Arial"/>
          <w:lang w:eastAsia="es-MX"/>
        </w:rPr>
        <w:t>PAD</w:t>
      </w:r>
      <w:r>
        <w:rPr>
          <w:rFonts w:eastAsia="Times New Roman" w:cs="Arial"/>
          <w:lang w:eastAsia="es-MX"/>
        </w:rPr>
        <w:t xml:space="preserve">), del “Programa de Regularización de </w:t>
      </w:r>
      <w:r w:rsidRPr="00DA5FD6">
        <w:rPr>
          <w:rFonts w:eastAsia="Times New Roman" w:cs="Arial"/>
          <w:lang w:eastAsia="es-MX"/>
        </w:rPr>
        <w:t>Tenencia de la Tierra</w:t>
      </w:r>
      <w:r>
        <w:rPr>
          <w:rFonts w:eastAsia="Times New Roman" w:cs="Arial"/>
          <w:lang w:eastAsia="es-MX"/>
        </w:rPr>
        <w:t>”,</w:t>
      </w:r>
      <w:r w:rsidRPr="00DA5FD6">
        <w:rPr>
          <w:rFonts w:eastAsia="Times New Roman" w:cs="Arial"/>
          <w:lang w:eastAsia="es-MX"/>
        </w:rPr>
        <w:t xml:space="preserve"> </w:t>
      </w:r>
      <w:r>
        <w:rPr>
          <w:rFonts w:eastAsia="Times New Roman" w:cs="Arial"/>
          <w:lang w:eastAsia="es-MX"/>
        </w:rPr>
        <w:t>en este mes el devengado</w:t>
      </w:r>
      <w:r w:rsidRPr="00DA5FD6">
        <w:rPr>
          <w:rFonts w:eastAsia="Times New Roman" w:cs="Arial"/>
          <w:lang w:eastAsia="es-MX"/>
        </w:rPr>
        <w:t xml:space="preserve"> </w:t>
      </w:r>
      <w:r>
        <w:rPr>
          <w:rFonts w:eastAsia="Times New Roman" w:cs="Arial"/>
          <w:lang w:eastAsia="es-MX"/>
        </w:rPr>
        <w:t>y</w:t>
      </w:r>
      <w:r w:rsidRPr="00DA5FD6">
        <w:rPr>
          <w:rFonts w:eastAsia="Times New Roman" w:cs="Arial"/>
          <w:lang w:eastAsia="es-MX"/>
        </w:rPr>
        <w:t xml:space="preserve"> el recaudado </w:t>
      </w:r>
      <w:r>
        <w:rPr>
          <w:rFonts w:eastAsia="Times New Roman" w:cs="Arial"/>
          <w:lang w:eastAsia="es-MX"/>
        </w:rPr>
        <w:t xml:space="preserve">es de </w:t>
      </w:r>
      <w:r w:rsidRPr="005E0D78">
        <w:rPr>
          <w:rFonts w:eastAsia="Times New Roman" w:cs="Arial"/>
          <w:lang w:eastAsia="es-MX"/>
        </w:rPr>
        <w:t>3</w:t>
      </w:r>
      <w:proofErr w:type="gramStart"/>
      <w:r>
        <w:rPr>
          <w:rFonts w:eastAsia="Times New Roman" w:cs="Arial"/>
          <w:lang w:eastAsia="es-MX"/>
        </w:rPr>
        <w:t>,</w:t>
      </w:r>
      <w:r w:rsidRPr="005E0D78">
        <w:rPr>
          <w:rFonts w:eastAsia="Times New Roman" w:cs="Arial"/>
          <w:lang w:eastAsia="es-MX"/>
        </w:rPr>
        <w:t>594</w:t>
      </w:r>
      <w:r>
        <w:rPr>
          <w:rFonts w:eastAsia="Times New Roman" w:cs="Arial"/>
          <w:lang w:eastAsia="es-MX"/>
        </w:rPr>
        <w:t>,</w:t>
      </w:r>
      <w:r w:rsidRPr="005E0D78">
        <w:rPr>
          <w:rFonts w:eastAsia="Times New Roman" w:cs="Arial"/>
          <w:lang w:eastAsia="es-MX"/>
        </w:rPr>
        <w:t>061.13</w:t>
      </w:r>
      <w:proofErr w:type="gramEnd"/>
      <w:r>
        <w:rPr>
          <w:rFonts w:eastAsia="Times New Roman" w:cs="Arial"/>
          <w:lang w:eastAsia="es-MX"/>
        </w:rPr>
        <w:t xml:space="preserve">. Al mes se tiene un monto acumulado por </w:t>
      </w:r>
      <w:r w:rsidRPr="005E0D78">
        <w:rPr>
          <w:rFonts w:eastAsia="Times New Roman" w:cs="Arial"/>
          <w:lang w:eastAsia="es-MX"/>
        </w:rPr>
        <w:t>35</w:t>
      </w:r>
      <w:proofErr w:type="gramStart"/>
      <w:r>
        <w:rPr>
          <w:rFonts w:eastAsia="Times New Roman" w:cs="Arial"/>
          <w:lang w:eastAsia="es-MX"/>
        </w:rPr>
        <w:t>,</w:t>
      </w:r>
      <w:r w:rsidRPr="005E0D78">
        <w:rPr>
          <w:rFonts w:eastAsia="Times New Roman" w:cs="Arial"/>
          <w:lang w:eastAsia="es-MX"/>
        </w:rPr>
        <w:t>940</w:t>
      </w:r>
      <w:r>
        <w:rPr>
          <w:rFonts w:eastAsia="Times New Roman" w:cs="Arial"/>
          <w:lang w:eastAsia="es-MX"/>
        </w:rPr>
        <w:t>,</w:t>
      </w:r>
      <w:r w:rsidRPr="005E0D78">
        <w:rPr>
          <w:rFonts w:eastAsia="Times New Roman" w:cs="Arial"/>
          <w:lang w:eastAsia="es-MX"/>
        </w:rPr>
        <w:t>611.37</w:t>
      </w:r>
      <w:proofErr w:type="gramEnd"/>
      <w:r>
        <w:rPr>
          <w:rFonts w:eastAsia="Times New Roman" w:cs="Arial"/>
          <w:lang w:eastAsia="es-MX"/>
        </w:rPr>
        <w:t>.</w:t>
      </w:r>
    </w:p>
    <w:p w14:paraId="4928BC7F" w14:textId="77777777" w:rsidR="00465FAF" w:rsidRPr="0096540A" w:rsidRDefault="00465FAF" w:rsidP="00465FAF">
      <w:pPr>
        <w:spacing w:after="0" w:line="276" w:lineRule="auto"/>
        <w:ind w:right="-1"/>
        <w:contextualSpacing/>
        <w:jc w:val="both"/>
        <w:rPr>
          <w:rFonts w:eastAsia="Times New Roman" w:cs="Arial"/>
          <w:sz w:val="14"/>
          <w:szCs w:val="24"/>
          <w:lang w:eastAsia="es-MX"/>
        </w:rPr>
      </w:pPr>
    </w:p>
    <w:p w14:paraId="3AD42B77" w14:textId="77777777" w:rsidR="00465FAF" w:rsidRPr="00D16623" w:rsidRDefault="00465FAF" w:rsidP="00465FAF">
      <w:pPr>
        <w:numPr>
          <w:ilvl w:val="0"/>
          <w:numId w:val="18"/>
        </w:numPr>
        <w:spacing w:after="0" w:line="276" w:lineRule="auto"/>
        <w:ind w:right="-1"/>
        <w:contextualSpacing/>
        <w:jc w:val="both"/>
        <w:rPr>
          <w:rFonts w:eastAsia="Times New Roman" w:cs="Arial"/>
          <w:b/>
          <w:lang w:eastAsia="es-MX"/>
        </w:rPr>
      </w:pPr>
      <w:r w:rsidRPr="00DA5FD6">
        <w:rPr>
          <w:rFonts w:eastAsia="Times New Roman" w:cs="Arial"/>
          <w:b/>
          <w:lang w:eastAsia="es-MX"/>
        </w:rPr>
        <w:t>Otros Ingresos y Beneficios:</w:t>
      </w:r>
      <w:r w:rsidRPr="00DA5FD6">
        <w:rPr>
          <w:rFonts w:eastAsia="Times New Roman" w:cs="Arial"/>
          <w:lang w:eastAsia="es-MX"/>
        </w:rPr>
        <w:t xml:space="preserve"> En el mes</w:t>
      </w:r>
      <w:r>
        <w:rPr>
          <w:rFonts w:eastAsia="Times New Roman" w:cs="Arial"/>
          <w:lang w:eastAsia="es-MX"/>
        </w:rPr>
        <w:t xml:space="preserve"> que se comenta,</w:t>
      </w:r>
      <w:r w:rsidRPr="00DA5FD6">
        <w:rPr>
          <w:rFonts w:eastAsia="Times New Roman" w:cs="Arial"/>
          <w:lang w:eastAsia="es-MX"/>
        </w:rPr>
        <w:t xml:space="preserve"> se o</w:t>
      </w:r>
      <w:r>
        <w:rPr>
          <w:rFonts w:eastAsia="Times New Roman" w:cs="Arial"/>
          <w:lang w:eastAsia="es-MX"/>
        </w:rPr>
        <w:t xml:space="preserve">bserva un monto de 1,084,499.18, al mes se tiene un acumulado </w:t>
      </w:r>
      <w:r w:rsidRPr="00410DDD">
        <w:rPr>
          <w:rFonts w:eastAsia="Times New Roman" w:cs="Arial"/>
          <w:lang w:eastAsia="es-MX"/>
        </w:rPr>
        <w:t>por</w:t>
      </w:r>
      <w:r>
        <w:rPr>
          <w:rFonts w:eastAsia="Times New Roman" w:cs="Arial"/>
          <w:lang w:eastAsia="es-MX"/>
        </w:rPr>
        <w:t xml:space="preserve"> 483,669,813.83, </w:t>
      </w:r>
      <w:r w:rsidRPr="00D16623">
        <w:rPr>
          <w:rFonts w:eastAsia="Times New Roman" w:cs="Arial"/>
          <w:lang w:eastAsia="es-MX"/>
        </w:rPr>
        <w:t>que corresponden a:</w:t>
      </w:r>
    </w:p>
    <w:p w14:paraId="789455C9" w14:textId="77777777" w:rsidR="00465FAF" w:rsidRPr="0096540A" w:rsidRDefault="00465FAF" w:rsidP="00465FAF">
      <w:pPr>
        <w:spacing w:after="0" w:line="276" w:lineRule="auto"/>
        <w:ind w:right="-1"/>
        <w:jc w:val="both"/>
        <w:rPr>
          <w:rFonts w:cs="Arial"/>
          <w:sz w:val="16"/>
        </w:rPr>
      </w:pPr>
    </w:p>
    <w:p w14:paraId="77ABBDD1" w14:textId="38E3A58F" w:rsidR="00AA191B" w:rsidRPr="00DA5FD6" w:rsidRDefault="00465FAF" w:rsidP="002F7027">
      <w:pPr>
        <w:spacing w:line="276" w:lineRule="auto"/>
        <w:ind w:left="644" w:right="-1"/>
        <w:jc w:val="both"/>
        <w:outlineLvl w:val="0"/>
        <w:rPr>
          <w:rFonts w:cs="Arial"/>
        </w:rPr>
      </w:pPr>
      <w:r w:rsidRPr="00036CAD">
        <w:rPr>
          <w:rFonts w:cs="Arial"/>
          <w:b/>
        </w:rPr>
        <w:t>Ingresos Financieros</w:t>
      </w:r>
      <w:r w:rsidRPr="00036CAD">
        <w:rPr>
          <w:rFonts w:cs="Arial"/>
        </w:rPr>
        <w:t xml:space="preserve">. - Se observa en el mes un saldo de </w:t>
      </w:r>
      <w:r w:rsidRPr="005E0D78">
        <w:rPr>
          <w:rFonts w:cs="Arial"/>
        </w:rPr>
        <w:t>1</w:t>
      </w:r>
      <w:proofErr w:type="gramStart"/>
      <w:r>
        <w:rPr>
          <w:rFonts w:cs="Arial"/>
        </w:rPr>
        <w:t>,</w:t>
      </w:r>
      <w:r w:rsidRPr="005E0D78">
        <w:rPr>
          <w:rFonts w:cs="Arial"/>
        </w:rPr>
        <w:t>027</w:t>
      </w:r>
      <w:r>
        <w:rPr>
          <w:rFonts w:cs="Arial"/>
        </w:rPr>
        <w:t>,</w:t>
      </w:r>
      <w:r w:rsidRPr="005E0D78">
        <w:rPr>
          <w:rFonts w:cs="Arial"/>
        </w:rPr>
        <w:t>572.19</w:t>
      </w:r>
      <w:proofErr w:type="gramEnd"/>
      <w:r w:rsidRPr="00036CAD">
        <w:rPr>
          <w:rFonts w:cs="Arial"/>
        </w:rPr>
        <w:t>, que corresponden</w:t>
      </w:r>
      <w:r w:rsidRPr="00036CAD">
        <w:t xml:space="preserve"> a </w:t>
      </w:r>
      <w:r w:rsidRPr="00036CAD">
        <w:rPr>
          <w:rFonts w:cs="Arial"/>
        </w:rPr>
        <w:t xml:space="preserve">los intereses de las cuentas bancarias productivas y las cuentas de inversión del Instituto. Al mes se tiene un acumulado por </w:t>
      </w:r>
      <w:r w:rsidRPr="005E0D78">
        <w:rPr>
          <w:rFonts w:cs="Arial"/>
        </w:rPr>
        <w:t>481</w:t>
      </w:r>
      <w:proofErr w:type="gramStart"/>
      <w:r>
        <w:rPr>
          <w:rFonts w:cs="Arial"/>
        </w:rPr>
        <w:t>,</w:t>
      </w:r>
      <w:r w:rsidRPr="005E0D78">
        <w:rPr>
          <w:rFonts w:cs="Arial"/>
        </w:rPr>
        <w:t>051</w:t>
      </w:r>
      <w:r>
        <w:rPr>
          <w:rFonts w:cs="Arial"/>
        </w:rPr>
        <w:t>,</w:t>
      </w:r>
      <w:r w:rsidRPr="005E0D78">
        <w:rPr>
          <w:rFonts w:cs="Arial"/>
        </w:rPr>
        <w:t>371.05</w:t>
      </w:r>
      <w:proofErr w:type="gramEnd"/>
      <w:r w:rsidRPr="00036CAD">
        <w:rPr>
          <w:rFonts w:cs="Arial"/>
        </w:rPr>
        <w:t>.</w:t>
      </w:r>
    </w:p>
    <w:p w14:paraId="129DF6C9" w14:textId="77777777" w:rsidR="00465FAF" w:rsidRDefault="00465FAF" w:rsidP="00465FAF">
      <w:pPr>
        <w:spacing w:line="276" w:lineRule="auto"/>
        <w:ind w:left="644" w:right="-1"/>
        <w:jc w:val="both"/>
        <w:outlineLvl w:val="0"/>
        <w:rPr>
          <w:rFonts w:cs="Arial"/>
        </w:rPr>
      </w:pPr>
      <w:r w:rsidRPr="00D16623">
        <w:rPr>
          <w:rFonts w:cs="Arial"/>
          <w:b/>
        </w:rPr>
        <w:t>Otros Ingresos y Beneficios Varios</w:t>
      </w:r>
      <w:r>
        <w:rPr>
          <w:rFonts w:cs="Arial"/>
        </w:rPr>
        <w:t>. - Se observa en el mes</w:t>
      </w:r>
      <w:r w:rsidRPr="00D16623">
        <w:rPr>
          <w:rFonts w:cs="Arial"/>
        </w:rPr>
        <w:t xml:space="preserve"> </w:t>
      </w:r>
      <w:r>
        <w:rPr>
          <w:rFonts w:cs="Arial"/>
        </w:rPr>
        <w:t>un saldo</w:t>
      </w:r>
      <w:r w:rsidRPr="00D16623">
        <w:rPr>
          <w:rFonts w:cs="Arial"/>
        </w:rPr>
        <w:t xml:space="preserve">, </w:t>
      </w:r>
      <w:r>
        <w:rPr>
          <w:rFonts w:cs="Arial"/>
        </w:rPr>
        <w:t xml:space="preserve">por </w:t>
      </w:r>
      <w:r w:rsidRPr="00D16623">
        <w:rPr>
          <w:rFonts w:cs="Arial"/>
        </w:rPr>
        <w:t xml:space="preserve">la cantidad de </w:t>
      </w:r>
      <w:r w:rsidRPr="0062737F">
        <w:rPr>
          <w:rFonts w:cs="Arial"/>
        </w:rPr>
        <w:t>56</w:t>
      </w:r>
      <w:r>
        <w:rPr>
          <w:rFonts w:cs="Arial"/>
        </w:rPr>
        <w:t>,</w:t>
      </w:r>
      <w:r w:rsidRPr="0062737F">
        <w:rPr>
          <w:rFonts w:cs="Arial"/>
        </w:rPr>
        <w:t>926.99</w:t>
      </w:r>
      <w:r>
        <w:rPr>
          <w:rFonts w:cs="Arial"/>
        </w:rPr>
        <w:t xml:space="preserve"> correspondiente a Venta de Bases para Concurso por </w:t>
      </w:r>
      <w:r w:rsidRPr="0062737F">
        <w:rPr>
          <w:rFonts w:cs="Arial"/>
        </w:rPr>
        <w:t>4</w:t>
      </w:r>
      <w:r>
        <w:rPr>
          <w:rFonts w:cs="Arial"/>
        </w:rPr>
        <w:t>,</w:t>
      </w:r>
      <w:r w:rsidRPr="0062737F">
        <w:rPr>
          <w:rFonts w:cs="Arial"/>
        </w:rPr>
        <w:t>615</w:t>
      </w:r>
      <w:r>
        <w:rPr>
          <w:rFonts w:cs="Arial"/>
        </w:rPr>
        <w:t>.00, Cancelación de Cuentas por Pagar por 17.49, Aprovechamientos por Sanción o Incumplimiento por 353.90 Depósitos en efectivo no referenciado por 22,177.00, Otros ingresos varios por 24,754.25, Rendimientos de la remesa de los ingresos por RPC por 5,009.35.</w:t>
      </w:r>
      <w:r w:rsidRPr="007C7CED">
        <w:rPr>
          <w:rFonts w:cs="Arial"/>
        </w:rPr>
        <w:t xml:space="preserve"> </w:t>
      </w:r>
      <w:r w:rsidRPr="00DA5FD6">
        <w:rPr>
          <w:rFonts w:cs="Arial"/>
        </w:rPr>
        <w:t xml:space="preserve">Presenta un saldo acumulado </w:t>
      </w:r>
      <w:r>
        <w:rPr>
          <w:rFonts w:cs="Arial"/>
        </w:rPr>
        <w:t>por</w:t>
      </w:r>
      <w:r w:rsidRPr="00036CAD">
        <w:rPr>
          <w:rFonts w:cs="Arial"/>
        </w:rPr>
        <w:t xml:space="preserve"> </w:t>
      </w:r>
      <w:r w:rsidRPr="00B669A1">
        <w:rPr>
          <w:rFonts w:cs="Arial"/>
        </w:rPr>
        <w:t>2</w:t>
      </w:r>
      <w:proofErr w:type="gramStart"/>
      <w:r>
        <w:rPr>
          <w:rFonts w:cs="Arial"/>
        </w:rPr>
        <w:t>,</w:t>
      </w:r>
      <w:r w:rsidRPr="00B669A1">
        <w:rPr>
          <w:rFonts w:cs="Arial"/>
        </w:rPr>
        <w:t>618</w:t>
      </w:r>
      <w:r>
        <w:rPr>
          <w:rFonts w:cs="Arial"/>
        </w:rPr>
        <w:t>,</w:t>
      </w:r>
      <w:r w:rsidRPr="00B669A1">
        <w:rPr>
          <w:rFonts w:cs="Arial"/>
        </w:rPr>
        <w:t>442.78</w:t>
      </w:r>
      <w:proofErr w:type="gramEnd"/>
      <w:r>
        <w:rPr>
          <w:rFonts w:cs="Arial"/>
        </w:rPr>
        <w:t>.</w:t>
      </w:r>
    </w:p>
    <w:p w14:paraId="51113A3C" w14:textId="77777777" w:rsidR="00465FAF" w:rsidRDefault="00465FAF" w:rsidP="00465FAF">
      <w:pPr>
        <w:spacing w:line="276" w:lineRule="auto"/>
        <w:ind w:right="-1"/>
        <w:jc w:val="both"/>
        <w:outlineLvl w:val="0"/>
        <w:rPr>
          <w:rFonts w:cs="Arial"/>
          <w:b/>
        </w:rPr>
      </w:pPr>
      <w:r w:rsidRPr="00543156">
        <w:rPr>
          <w:rFonts w:cs="Arial"/>
          <w:b/>
        </w:rPr>
        <w:t>Gastos y Otras Pérdidas:</w:t>
      </w:r>
      <w:r>
        <w:rPr>
          <w:rFonts w:cs="Arial"/>
          <w:b/>
        </w:rPr>
        <w:t xml:space="preserve"> </w:t>
      </w:r>
    </w:p>
    <w:p w14:paraId="1CF3F900" w14:textId="77777777" w:rsidR="00AA191B" w:rsidRPr="00EB7503" w:rsidRDefault="00AA191B" w:rsidP="00450C2F">
      <w:pPr>
        <w:numPr>
          <w:ilvl w:val="0"/>
          <w:numId w:val="18"/>
        </w:numPr>
        <w:spacing w:after="0" w:line="276" w:lineRule="auto"/>
        <w:ind w:right="-1"/>
        <w:contextualSpacing/>
        <w:jc w:val="both"/>
        <w:rPr>
          <w:rFonts w:cs="Arial"/>
        </w:rPr>
      </w:pPr>
      <w:r w:rsidRPr="007759F0">
        <w:rPr>
          <w:rFonts w:cs="Arial"/>
          <w:b/>
        </w:rPr>
        <w:t>Gastos de Funcionamiento</w:t>
      </w:r>
      <w:r w:rsidRPr="007759F0">
        <w:rPr>
          <w:rFonts w:cs="Arial"/>
        </w:rPr>
        <w:t xml:space="preserve">. - Para la operación del Instituto, se han erogado en este mes la cantidad de </w:t>
      </w:r>
      <w:r>
        <w:rPr>
          <w:rFonts w:cs="Arial"/>
        </w:rPr>
        <w:t>37,421,081.59</w:t>
      </w:r>
      <w:r w:rsidRPr="007759F0">
        <w:rPr>
          <w:rFonts w:cs="Arial"/>
        </w:rPr>
        <w:t xml:space="preserve">, integrados </w:t>
      </w:r>
      <w:r>
        <w:rPr>
          <w:rFonts w:cs="Arial"/>
        </w:rPr>
        <w:t xml:space="preserve">principalmente </w:t>
      </w:r>
      <w:r w:rsidRPr="007759F0">
        <w:rPr>
          <w:rFonts w:cs="Arial"/>
        </w:rPr>
        <w:t xml:space="preserve">por: “Servicios Personales” (pagos de la nómina y sus colaterales) </w:t>
      </w:r>
      <w:r>
        <w:rPr>
          <w:rFonts w:cs="Arial"/>
        </w:rPr>
        <w:t>con un</w:t>
      </w:r>
      <w:r w:rsidRPr="007759F0">
        <w:rPr>
          <w:rFonts w:cs="Arial"/>
        </w:rPr>
        <w:t xml:space="preserve"> importe de </w:t>
      </w:r>
      <w:r w:rsidRPr="005B6867">
        <w:rPr>
          <w:rFonts w:cs="Arial"/>
        </w:rPr>
        <w:t>17</w:t>
      </w:r>
      <w:r>
        <w:rPr>
          <w:rFonts w:cs="Arial"/>
        </w:rPr>
        <w:t>,</w:t>
      </w:r>
      <w:r w:rsidRPr="005B6867">
        <w:rPr>
          <w:rFonts w:cs="Arial"/>
        </w:rPr>
        <w:t>993</w:t>
      </w:r>
      <w:r>
        <w:rPr>
          <w:rFonts w:cs="Arial"/>
        </w:rPr>
        <w:t>,</w:t>
      </w:r>
      <w:r w:rsidRPr="005B6867">
        <w:rPr>
          <w:rFonts w:cs="Arial"/>
        </w:rPr>
        <w:t>556.28</w:t>
      </w:r>
      <w:r>
        <w:rPr>
          <w:rFonts w:cs="Arial"/>
        </w:rPr>
        <w:t xml:space="preserve">, que representa el 48.08 por ciento, </w:t>
      </w:r>
      <w:r w:rsidRPr="00EB7503">
        <w:rPr>
          <w:rFonts w:cs="Arial"/>
        </w:rPr>
        <w:t xml:space="preserve">en el concepto de “Servicios Generales” por </w:t>
      </w:r>
      <w:r w:rsidRPr="00E31709">
        <w:rPr>
          <w:rFonts w:cs="Arial"/>
        </w:rPr>
        <w:t>15</w:t>
      </w:r>
      <w:r>
        <w:rPr>
          <w:rFonts w:cs="Arial"/>
        </w:rPr>
        <w:t>,</w:t>
      </w:r>
      <w:r w:rsidRPr="00E31709">
        <w:rPr>
          <w:rFonts w:cs="Arial"/>
        </w:rPr>
        <w:t>212</w:t>
      </w:r>
      <w:r>
        <w:rPr>
          <w:rFonts w:cs="Arial"/>
        </w:rPr>
        <w:t>,</w:t>
      </w:r>
      <w:r w:rsidRPr="00E31709">
        <w:rPr>
          <w:rFonts w:cs="Arial"/>
        </w:rPr>
        <w:t>025.29</w:t>
      </w:r>
      <w:r w:rsidRPr="00AA7592">
        <w:rPr>
          <w:rFonts w:cs="Arial"/>
        </w:rPr>
        <w:t xml:space="preserve"> </w:t>
      </w:r>
      <w:r w:rsidRPr="00EB7503">
        <w:rPr>
          <w:rFonts w:cs="Arial"/>
        </w:rPr>
        <w:t xml:space="preserve">que representa el </w:t>
      </w:r>
      <w:r>
        <w:rPr>
          <w:rFonts w:cs="Arial"/>
        </w:rPr>
        <w:t>40.65</w:t>
      </w:r>
      <w:r w:rsidRPr="00EB7503">
        <w:rPr>
          <w:rFonts w:cs="Arial"/>
        </w:rPr>
        <w:t xml:space="preserve"> por ciento</w:t>
      </w:r>
      <w:r>
        <w:rPr>
          <w:rFonts w:cs="Arial"/>
        </w:rPr>
        <w:t xml:space="preserve"> y en el concepto de “Materiales y Suministros” con un importe de </w:t>
      </w:r>
      <w:r w:rsidRPr="00E31709">
        <w:rPr>
          <w:rFonts w:cs="Arial"/>
        </w:rPr>
        <w:t>4</w:t>
      </w:r>
      <w:r>
        <w:rPr>
          <w:rFonts w:cs="Arial"/>
        </w:rPr>
        <w:t>,</w:t>
      </w:r>
      <w:r w:rsidRPr="00E31709">
        <w:rPr>
          <w:rFonts w:cs="Arial"/>
        </w:rPr>
        <w:t>215</w:t>
      </w:r>
      <w:r>
        <w:rPr>
          <w:rFonts w:cs="Arial"/>
        </w:rPr>
        <w:t>,</w:t>
      </w:r>
      <w:r w:rsidRPr="00E31709">
        <w:rPr>
          <w:rFonts w:cs="Arial"/>
        </w:rPr>
        <w:t>500.02</w:t>
      </w:r>
      <w:r w:rsidRPr="00AA7592">
        <w:rPr>
          <w:rFonts w:cs="Arial"/>
        </w:rPr>
        <w:t xml:space="preserve"> </w:t>
      </w:r>
      <w:r>
        <w:rPr>
          <w:rFonts w:cs="Arial"/>
        </w:rPr>
        <w:t>que representa el 11.27 por ciento</w:t>
      </w:r>
      <w:r w:rsidRPr="00EB7503">
        <w:rPr>
          <w:rFonts w:cs="Arial"/>
        </w:rPr>
        <w:t xml:space="preserve">. Este rubro presenta un saldo acumulado por </w:t>
      </w:r>
      <w:r>
        <w:rPr>
          <w:rFonts w:cs="Arial"/>
        </w:rPr>
        <w:t>211</w:t>
      </w:r>
      <w:proofErr w:type="gramStart"/>
      <w:r>
        <w:rPr>
          <w:rFonts w:cs="Arial"/>
        </w:rPr>
        <w:t>,169,586.03</w:t>
      </w:r>
      <w:proofErr w:type="gramEnd"/>
      <w:r w:rsidRPr="00EB7503">
        <w:rPr>
          <w:rFonts w:cs="Arial"/>
        </w:rPr>
        <w:t>.</w:t>
      </w:r>
    </w:p>
    <w:p w14:paraId="56A42960" w14:textId="77777777" w:rsidR="00465FAF" w:rsidRPr="00714562" w:rsidRDefault="00465FAF" w:rsidP="00465FAF">
      <w:pPr>
        <w:spacing w:after="0" w:line="276" w:lineRule="auto"/>
        <w:ind w:left="644" w:right="-1"/>
        <w:jc w:val="both"/>
        <w:rPr>
          <w:rFonts w:cs="Arial"/>
        </w:rPr>
      </w:pPr>
    </w:p>
    <w:p w14:paraId="72D42070" w14:textId="77777777" w:rsidR="00465FAF" w:rsidRDefault="00465FAF" w:rsidP="00450C2F">
      <w:pPr>
        <w:numPr>
          <w:ilvl w:val="0"/>
          <w:numId w:val="18"/>
        </w:numPr>
        <w:spacing w:after="0" w:line="276" w:lineRule="auto"/>
        <w:ind w:right="-1"/>
        <w:contextualSpacing/>
        <w:jc w:val="both"/>
        <w:rPr>
          <w:rFonts w:cs="Arial"/>
        </w:rPr>
      </w:pPr>
      <w:r w:rsidRPr="00DA5FD6">
        <w:rPr>
          <w:rFonts w:cs="Arial"/>
          <w:b/>
        </w:rPr>
        <w:t xml:space="preserve">Transferencias, Asignaciones, Subsidios y Otras Ayudas. </w:t>
      </w:r>
      <w:r>
        <w:rPr>
          <w:rFonts w:cs="Arial"/>
          <w:b/>
        </w:rPr>
        <w:t>–</w:t>
      </w:r>
      <w:r w:rsidRPr="00DA5FD6">
        <w:rPr>
          <w:rFonts w:cs="Arial"/>
        </w:rPr>
        <w:t xml:space="preserve"> </w:t>
      </w:r>
      <w:r>
        <w:rPr>
          <w:rFonts w:cs="Arial"/>
        </w:rPr>
        <w:t xml:space="preserve">Presenta en el mes un monto de </w:t>
      </w:r>
      <w:r w:rsidRPr="00B85F1F">
        <w:rPr>
          <w:rFonts w:cs="Arial"/>
        </w:rPr>
        <w:t>294</w:t>
      </w:r>
      <w:r>
        <w:rPr>
          <w:rFonts w:cs="Arial"/>
        </w:rPr>
        <w:t>,</w:t>
      </w:r>
      <w:r w:rsidRPr="00B85F1F">
        <w:rPr>
          <w:rFonts w:cs="Arial"/>
        </w:rPr>
        <w:t>622.59</w:t>
      </w:r>
      <w:r>
        <w:rPr>
          <w:rFonts w:cs="Arial"/>
        </w:rPr>
        <w:t>,</w:t>
      </w:r>
      <w:r w:rsidRPr="00075DBF">
        <w:t xml:space="preserve"> </w:t>
      </w:r>
      <w:r>
        <w:rPr>
          <w:rFonts w:cs="Arial"/>
        </w:rPr>
        <w:t xml:space="preserve">por concepto de devoluciones de ingresos indebidos, mostrando un saldo acumulado por </w:t>
      </w:r>
      <w:r w:rsidRPr="00B85F1F">
        <w:rPr>
          <w:rFonts w:cs="Arial"/>
        </w:rPr>
        <w:t>1</w:t>
      </w:r>
      <w:proofErr w:type="gramStart"/>
      <w:r>
        <w:rPr>
          <w:rFonts w:cs="Arial"/>
        </w:rPr>
        <w:t>,</w:t>
      </w:r>
      <w:r w:rsidRPr="00B85F1F">
        <w:rPr>
          <w:rFonts w:cs="Arial"/>
        </w:rPr>
        <w:t>265</w:t>
      </w:r>
      <w:r>
        <w:rPr>
          <w:rFonts w:cs="Arial"/>
        </w:rPr>
        <w:t>,</w:t>
      </w:r>
      <w:r w:rsidRPr="00B85F1F">
        <w:rPr>
          <w:rFonts w:cs="Arial"/>
        </w:rPr>
        <w:t>732.91</w:t>
      </w:r>
      <w:proofErr w:type="gramEnd"/>
      <w:r>
        <w:rPr>
          <w:rFonts w:cs="Arial"/>
        </w:rPr>
        <w:t xml:space="preserve">. </w:t>
      </w:r>
    </w:p>
    <w:p w14:paraId="4EED5D5A" w14:textId="77777777" w:rsidR="00465FAF" w:rsidRDefault="00465FAF" w:rsidP="00465FAF">
      <w:pPr>
        <w:pStyle w:val="Prrafodelista"/>
        <w:rPr>
          <w:rFonts w:cs="Arial"/>
        </w:rPr>
      </w:pPr>
    </w:p>
    <w:p w14:paraId="0323187F" w14:textId="68115511" w:rsidR="00465FAF" w:rsidRPr="00AA61F6" w:rsidRDefault="00465FAF" w:rsidP="00450C2F">
      <w:pPr>
        <w:numPr>
          <w:ilvl w:val="0"/>
          <w:numId w:val="18"/>
        </w:numPr>
        <w:spacing w:after="0" w:line="276" w:lineRule="auto"/>
        <w:ind w:right="-1"/>
        <w:contextualSpacing/>
        <w:jc w:val="both"/>
        <w:rPr>
          <w:rFonts w:cs="Arial"/>
        </w:rPr>
      </w:pPr>
      <w:r w:rsidRPr="00AA61F6">
        <w:rPr>
          <w:rFonts w:cs="Arial"/>
          <w:b/>
        </w:rPr>
        <w:t xml:space="preserve">Intereses, Comisiones y Otros Gastos de la Deuda Pública. </w:t>
      </w:r>
      <w:r>
        <w:rPr>
          <w:rFonts w:cs="Arial"/>
          <w:b/>
        </w:rPr>
        <w:t>–</w:t>
      </w:r>
      <w:r>
        <w:rPr>
          <w:rFonts w:cs="Arial"/>
        </w:rPr>
        <w:t>El saldo acumulado total</w:t>
      </w:r>
      <w:r w:rsidR="003147A5" w:rsidRPr="003147A5">
        <w:t xml:space="preserve"> </w:t>
      </w:r>
      <w:r w:rsidR="003147A5">
        <w:rPr>
          <w:rFonts w:cs="Arial"/>
        </w:rPr>
        <w:t>es de</w:t>
      </w:r>
      <w:r w:rsidR="003147A5" w:rsidRPr="003147A5">
        <w:rPr>
          <w:rFonts w:cs="Arial"/>
        </w:rPr>
        <w:t xml:space="preserve"> 563,220,263.25</w:t>
      </w:r>
      <w:r w:rsidR="003147A5">
        <w:rPr>
          <w:rFonts w:cs="Arial"/>
        </w:rPr>
        <w:t xml:space="preserve"> y se integra</w:t>
      </w:r>
      <w:r>
        <w:rPr>
          <w:rFonts w:cs="Arial"/>
        </w:rPr>
        <w:t xml:space="preserve"> por </w:t>
      </w:r>
      <w:r w:rsidRPr="00630E3C">
        <w:rPr>
          <w:rFonts w:cs="Arial"/>
        </w:rPr>
        <w:t>461</w:t>
      </w:r>
      <w:r>
        <w:rPr>
          <w:rFonts w:cs="Arial"/>
        </w:rPr>
        <w:t>,</w:t>
      </w:r>
      <w:r w:rsidRPr="00630E3C">
        <w:rPr>
          <w:rFonts w:cs="Arial"/>
        </w:rPr>
        <w:t>665</w:t>
      </w:r>
      <w:r>
        <w:rPr>
          <w:rFonts w:cs="Arial"/>
        </w:rPr>
        <w:t>,</w:t>
      </w:r>
      <w:r w:rsidRPr="00630E3C">
        <w:rPr>
          <w:rFonts w:cs="Arial"/>
        </w:rPr>
        <w:t>848.24</w:t>
      </w:r>
      <w:r>
        <w:rPr>
          <w:rFonts w:cs="Arial"/>
        </w:rPr>
        <w:t xml:space="preserve">, </w:t>
      </w:r>
      <w:r w:rsidR="003147A5">
        <w:rPr>
          <w:rFonts w:cs="Arial"/>
        </w:rPr>
        <w:t>para</w:t>
      </w:r>
      <w:r>
        <w:rPr>
          <w:rFonts w:cs="Arial"/>
        </w:rPr>
        <w:t xml:space="preserve"> los (Bonos) intereses de los cupones de las Series “A”, “B” y Subordinada “C”</w:t>
      </w:r>
      <w:r w:rsidR="003147A5">
        <w:rPr>
          <w:rFonts w:cs="Arial"/>
        </w:rPr>
        <w:t xml:space="preserve"> y un importe de </w:t>
      </w:r>
      <w:r w:rsidR="003147A5" w:rsidRPr="003147A5">
        <w:rPr>
          <w:rFonts w:eastAsia="HelveticaNeueLT Std" w:cs="HelveticaNeueLT Std"/>
        </w:rPr>
        <w:t>101,554,415.01, por el registro</w:t>
      </w:r>
      <w:r w:rsidR="003147A5">
        <w:rPr>
          <w:rFonts w:eastAsia="HelveticaNeueLT Std" w:cs="HelveticaNeueLT Std"/>
        </w:rPr>
        <w:t xml:space="preserve"> a resultados de la actualización relativa a la amortización de capital de los Certificados Bursátiles, Serie Subordinada C del Fideicomiso Irrevocable No. F/1426.</w:t>
      </w:r>
      <w:r>
        <w:rPr>
          <w:rFonts w:cs="Arial"/>
        </w:rPr>
        <w:t xml:space="preserve">. </w:t>
      </w:r>
    </w:p>
    <w:p w14:paraId="746F6898" w14:textId="7BF9564C" w:rsidR="00465FAF" w:rsidRPr="00C2579F" w:rsidRDefault="00465FAF" w:rsidP="00465FAF">
      <w:pPr>
        <w:spacing w:after="0" w:line="276" w:lineRule="auto"/>
        <w:ind w:left="644" w:right="-1"/>
        <w:jc w:val="both"/>
        <w:rPr>
          <w:rFonts w:cs="Arial"/>
        </w:rPr>
      </w:pPr>
    </w:p>
    <w:p w14:paraId="710C92B8" w14:textId="2613A4DD" w:rsidR="00465FAF" w:rsidRDefault="00465FAF" w:rsidP="00450C2F">
      <w:pPr>
        <w:numPr>
          <w:ilvl w:val="0"/>
          <w:numId w:val="18"/>
        </w:numPr>
        <w:spacing w:after="0" w:line="276" w:lineRule="auto"/>
        <w:ind w:right="-1"/>
        <w:contextualSpacing/>
        <w:jc w:val="both"/>
        <w:rPr>
          <w:rFonts w:cs="Arial"/>
        </w:rPr>
      </w:pPr>
      <w:r w:rsidRPr="000E1289">
        <w:rPr>
          <w:rFonts w:cs="Arial"/>
          <w:b/>
        </w:rPr>
        <w:t>Otros Gastos y Pérdidas Extraordinarias</w:t>
      </w:r>
      <w:r w:rsidRPr="000E1289">
        <w:rPr>
          <w:rFonts w:cs="Arial"/>
        </w:rPr>
        <w:t>. - En esta partida se refleja la depreciación de bienes muebles e inmuebles</w:t>
      </w:r>
      <w:r>
        <w:rPr>
          <w:rFonts w:cs="Arial"/>
        </w:rPr>
        <w:t xml:space="preserve"> en el mes</w:t>
      </w:r>
      <w:r w:rsidRPr="000E1289">
        <w:rPr>
          <w:rFonts w:cs="Arial"/>
        </w:rPr>
        <w:t xml:space="preserve"> por la cantidad de </w:t>
      </w:r>
      <w:r w:rsidRPr="00F97F4F">
        <w:rPr>
          <w:rFonts w:cs="Arial"/>
        </w:rPr>
        <w:t>845,020.15</w:t>
      </w:r>
      <w:r w:rsidRPr="000E1289">
        <w:rPr>
          <w:rFonts w:cs="Arial"/>
        </w:rPr>
        <w:t>,</w:t>
      </w:r>
      <w:r>
        <w:rPr>
          <w:rFonts w:cs="Arial"/>
        </w:rPr>
        <w:t xml:space="preserve"> con un acumulado de </w:t>
      </w:r>
      <w:r w:rsidRPr="00B85F1F">
        <w:rPr>
          <w:rFonts w:cs="Arial"/>
        </w:rPr>
        <w:t>10</w:t>
      </w:r>
      <w:proofErr w:type="gramStart"/>
      <w:r>
        <w:rPr>
          <w:rFonts w:cs="Arial"/>
        </w:rPr>
        <w:t>,</w:t>
      </w:r>
      <w:r w:rsidRPr="00B85F1F">
        <w:rPr>
          <w:rFonts w:cs="Arial"/>
        </w:rPr>
        <w:t>417</w:t>
      </w:r>
      <w:r>
        <w:rPr>
          <w:rFonts w:cs="Arial"/>
        </w:rPr>
        <w:t>,</w:t>
      </w:r>
      <w:r w:rsidRPr="00B85F1F">
        <w:rPr>
          <w:rFonts w:cs="Arial"/>
        </w:rPr>
        <w:t>175.53</w:t>
      </w:r>
      <w:proofErr w:type="gramEnd"/>
      <w:r>
        <w:rPr>
          <w:rFonts w:cs="Arial"/>
        </w:rPr>
        <w:t>.</w:t>
      </w:r>
      <w:r w:rsidRPr="000E1289">
        <w:rPr>
          <w:rFonts w:cs="Arial"/>
        </w:rPr>
        <w:t xml:space="preserve"> </w:t>
      </w:r>
      <w:r>
        <w:rPr>
          <w:rFonts w:cs="Arial"/>
        </w:rPr>
        <w:t>A</w:t>
      </w:r>
      <w:r w:rsidRPr="000E1289">
        <w:rPr>
          <w:rFonts w:cs="Arial"/>
        </w:rPr>
        <w:t>sí mismo un importe de 2</w:t>
      </w:r>
      <w:proofErr w:type="gramStart"/>
      <w:r w:rsidRPr="000E1289">
        <w:rPr>
          <w:rFonts w:cs="Arial"/>
        </w:rPr>
        <w:t>,464,484.75</w:t>
      </w:r>
      <w:proofErr w:type="gramEnd"/>
      <w:r w:rsidRPr="000E1289">
        <w:rPr>
          <w:rFonts w:cs="Arial"/>
        </w:rPr>
        <w:t>, por la devolución de los remanentes del PAD del ejercicio 2019, al Gobierno del Estado de México.</w:t>
      </w:r>
      <w:r>
        <w:rPr>
          <w:rFonts w:cs="Arial"/>
        </w:rPr>
        <w:t xml:space="preserve"> Este Rubro presenta un saldo acumulado total por </w:t>
      </w:r>
      <w:r w:rsidRPr="00F97F4F">
        <w:rPr>
          <w:rFonts w:cs="Arial"/>
        </w:rPr>
        <w:t>1</w:t>
      </w:r>
      <w:r>
        <w:rPr>
          <w:rFonts w:cs="Arial"/>
        </w:rPr>
        <w:t>2</w:t>
      </w:r>
      <w:proofErr w:type="gramStart"/>
      <w:r w:rsidRPr="00F97F4F">
        <w:rPr>
          <w:rFonts w:cs="Arial"/>
        </w:rPr>
        <w:t>,</w:t>
      </w:r>
      <w:r>
        <w:rPr>
          <w:rFonts w:cs="Arial"/>
        </w:rPr>
        <w:t>881</w:t>
      </w:r>
      <w:r w:rsidRPr="00F97F4F">
        <w:rPr>
          <w:rFonts w:cs="Arial"/>
        </w:rPr>
        <w:t>,</w:t>
      </w:r>
      <w:r>
        <w:rPr>
          <w:rFonts w:cs="Arial"/>
        </w:rPr>
        <w:t>660</w:t>
      </w:r>
      <w:r w:rsidRPr="00F97F4F">
        <w:rPr>
          <w:rFonts w:cs="Arial"/>
        </w:rPr>
        <w:t>.</w:t>
      </w:r>
      <w:r w:rsidR="00DE1D43">
        <w:rPr>
          <w:rFonts w:cs="Arial"/>
        </w:rPr>
        <w:t>28</w:t>
      </w:r>
      <w:proofErr w:type="gramEnd"/>
      <w:r w:rsidR="00DE1D43">
        <w:rPr>
          <w:rFonts w:eastAsia="HelveticaNeueLT Std" w:cs="HelveticaNeueLT Std"/>
        </w:rPr>
        <w:t>.</w:t>
      </w:r>
    </w:p>
    <w:p w14:paraId="0A658539" w14:textId="77777777" w:rsidR="00465FAF" w:rsidRPr="000E1289" w:rsidRDefault="00465FAF" w:rsidP="00465FAF">
      <w:pPr>
        <w:spacing w:after="0" w:line="276" w:lineRule="auto"/>
        <w:ind w:right="-1"/>
        <w:jc w:val="both"/>
        <w:rPr>
          <w:rFonts w:cs="Arial"/>
        </w:rPr>
      </w:pPr>
    </w:p>
    <w:p w14:paraId="73B4903B" w14:textId="77777777" w:rsidR="00465FAF" w:rsidRPr="0096540A" w:rsidRDefault="00465FAF" w:rsidP="00465FAF">
      <w:pPr>
        <w:spacing w:after="0" w:line="276" w:lineRule="auto"/>
        <w:ind w:left="644" w:right="-1"/>
        <w:jc w:val="both"/>
        <w:rPr>
          <w:rFonts w:cs="Arial"/>
          <w:sz w:val="2"/>
        </w:rPr>
      </w:pPr>
    </w:p>
    <w:p w14:paraId="710E0DEF" w14:textId="77777777" w:rsidR="00465FAF" w:rsidRDefault="00465FAF" w:rsidP="00450C2F">
      <w:pPr>
        <w:numPr>
          <w:ilvl w:val="0"/>
          <w:numId w:val="18"/>
        </w:numPr>
        <w:spacing w:after="0" w:line="276" w:lineRule="auto"/>
        <w:ind w:right="-1"/>
        <w:contextualSpacing/>
        <w:jc w:val="both"/>
      </w:pPr>
      <w:r w:rsidRPr="00867EA8">
        <w:rPr>
          <w:rFonts w:cs="Arial"/>
          <w:b/>
        </w:rPr>
        <w:t>Inversión Pública</w:t>
      </w:r>
      <w:r w:rsidRPr="00867EA8">
        <w:rPr>
          <w:rFonts w:cs="Arial"/>
        </w:rPr>
        <w:t>. - Refleja</w:t>
      </w:r>
      <w:r>
        <w:rPr>
          <w:rFonts w:cs="Arial"/>
        </w:rPr>
        <w:t xml:space="preserve"> la afectación no capitalizable</w:t>
      </w:r>
      <w:r w:rsidRPr="00867EA8">
        <w:rPr>
          <w:rFonts w:cs="Arial"/>
        </w:rPr>
        <w:t xml:space="preserve"> correspondiente al</w:t>
      </w:r>
      <w:r>
        <w:rPr>
          <w:rFonts w:cs="Arial"/>
        </w:rPr>
        <w:t xml:space="preserve"> PAD, del</w:t>
      </w:r>
      <w:r w:rsidRPr="00867EA8">
        <w:rPr>
          <w:rFonts w:cs="Arial"/>
        </w:rPr>
        <w:t xml:space="preserve"> Programa </w:t>
      </w:r>
      <w:r>
        <w:rPr>
          <w:rFonts w:cs="Arial"/>
        </w:rPr>
        <w:t xml:space="preserve">de Regularización de Tenencia de la Tierra, por el importe devengado de </w:t>
      </w:r>
      <w:r w:rsidRPr="00B85F1F">
        <w:rPr>
          <w:rFonts w:cs="Arial"/>
        </w:rPr>
        <w:t>3</w:t>
      </w:r>
      <w:proofErr w:type="gramStart"/>
      <w:r>
        <w:rPr>
          <w:rFonts w:cs="Arial"/>
        </w:rPr>
        <w:t>,</w:t>
      </w:r>
      <w:r w:rsidRPr="00B85F1F">
        <w:rPr>
          <w:rFonts w:cs="Arial"/>
        </w:rPr>
        <w:t>989</w:t>
      </w:r>
      <w:r>
        <w:rPr>
          <w:rFonts w:cs="Arial"/>
        </w:rPr>
        <w:t>,</w:t>
      </w:r>
      <w:r w:rsidRPr="00B85F1F">
        <w:rPr>
          <w:rFonts w:cs="Arial"/>
        </w:rPr>
        <w:t>899.94</w:t>
      </w:r>
      <w:proofErr w:type="gramEnd"/>
      <w:r>
        <w:rPr>
          <w:rFonts w:cs="Arial"/>
        </w:rPr>
        <w:t xml:space="preserve">. Presenta un saldo acumulado devengado por </w:t>
      </w:r>
      <w:r w:rsidRPr="00B85F1F">
        <w:rPr>
          <w:rFonts w:cs="Arial"/>
        </w:rPr>
        <w:t>32</w:t>
      </w:r>
      <w:proofErr w:type="gramStart"/>
      <w:r>
        <w:rPr>
          <w:rFonts w:cs="Arial"/>
        </w:rPr>
        <w:t>,</w:t>
      </w:r>
      <w:r w:rsidRPr="00B85F1F">
        <w:rPr>
          <w:rFonts w:cs="Arial"/>
        </w:rPr>
        <w:t>865</w:t>
      </w:r>
      <w:r>
        <w:rPr>
          <w:rFonts w:cs="Arial"/>
        </w:rPr>
        <w:t>,</w:t>
      </w:r>
      <w:r w:rsidRPr="00B85F1F">
        <w:rPr>
          <w:rFonts w:cs="Arial"/>
        </w:rPr>
        <w:t>565.24</w:t>
      </w:r>
      <w:proofErr w:type="gramEnd"/>
      <w:r>
        <w:rPr>
          <w:rFonts w:cs="Arial"/>
        </w:rPr>
        <w:t xml:space="preserve">. </w:t>
      </w:r>
    </w:p>
    <w:p w14:paraId="0E7A226F" w14:textId="77777777" w:rsidR="00465FAF" w:rsidRDefault="00465FAF" w:rsidP="00465FAF">
      <w:pPr>
        <w:spacing w:after="0" w:line="276" w:lineRule="auto"/>
        <w:ind w:right="-1"/>
        <w:jc w:val="both"/>
        <w:rPr>
          <w:color w:val="FF0000"/>
        </w:rPr>
      </w:pPr>
    </w:p>
    <w:p w14:paraId="72BBB9A2" w14:textId="77777777" w:rsidR="00DB59EA" w:rsidRPr="00216EAB" w:rsidRDefault="00DB59EA" w:rsidP="00465FAF">
      <w:pPr>
        <w:spacing w:after="0" w:line="276" w:lineRule="auto"/>
        <w:ind w:right="-1"/>
        <w:jc w:val="both"/>
        <w:rPr>
          <w:color w:val="FF0000"/>
        </w:rPr>
      </w:pPr>
    </w:p>
    <w:p w14:paraId="7E87C41A" w14:textId="77777777" w:rsidR="00465FAF" w:rsidRPr="00DC0BE0" w:rsidRDefault="00465FAF" w:rsidP="00465FAF">
      <w:pPr>
        <w:numPr>
          <w:ilvl w:val="0"/>
          <w:numId w:val="6"/>
        </w:numPr>
        <w:spacing w:before="240" w:after="240" w:line="276" w:lineRule="auto"/>
        <w:ind w:right="-1"/>
        <w:contextualSpacing/>
        <w:outlineLvl w:val="0"/>
        <w:rPr>
          <w:rFonts w:eastAsia="Times New Roman" w:cs="Arial"/>
          <w:b/>
          <w:lang w:eastAsia="es-MX"/>
        </w:rPr>
      </w:pPr>
      <w:r w:rsidRPr="00DC0BE0">
        <w:rPr>
          <w:rFonts w:eastAsia="Times New Roman" w:cs="Arial"/>
          <w:b/>
          <w:lang w:eastAsia="es-MX"/>
        </w:rPr>
        <w:t>NOTAS AL ESTADO DE VARIACIONES EN LA HACIENDA PÚBLICA/PATRIMONIO</w:t>
      </w:r>
    </w:p>
    <w:p w14:paraId="397B1A19" w14:textId="77777777" w:rsidR="00465FAF" w:rsidRPr="0020562B" w:rsidRDefault="00465FAF" w:rsidP="00465FAF">
      <w:pPr>
        <w:spacing w:before="240" w:after="240" w:line="276" w:lineRule="auto"/>
        <w:ind w:left="1068" w:right="-1"/>
        <w:contextualSpacing/>
        <w:outlineLvl w:val="0"/>
        <w:rPr>
          <w:rFonts w:eastAsia="Times New Roman" w:cs="Arial"/>
          <w:b/>
          <w:lang w:eastAsia="es-MX"/>
        </w:rPr>
      </w:pPr>
    </w:p>
    <w:p w14:paraId="42A50647" w14:textId="77777777" w:rsidR="00465FAF" w:rsidRDefault="00465FAF" w:rsidP="00465FAF">
      <w:pPr>
        <w:spacing w:line="276" w:lineRule="auto"/>
        <w:ind w:right="-1"/>
        <w:jc w:val="both"/>
        <w:outlineLvl w:val="0"/>
        <w:rPr>
          <w:rFonts w:cs="Arial"/>
        </w:rPr>
      </w:pPr>
      <w:r w:rsidRPr="00DA5FD6">
        <w:rPr>
          <w:rFonts w:cs="Arial"/>
          <w:b/>
        </w:rPr>
        <w:t xml:space="preserve">Hacienda </w:t>
      </w:r>
      <w:r>
        <w:rPr>
          <w:rFonts w:cs="Arial"/>
          <w:b/>
        </w:rPr>
        <w:t>Pública/Patrimonio Contribuido</w:t>
      </w:r>
      <w:r w:rsidRPr="00DA5FD6">
        <w:rPr>
          <w:rFonts w:cs="Arial"/>
          <w:b/>
        </w:rPr>
        <w:t>. -</w:t>
      </w:r>
      <w:r w:rsidRPr="00DA5FD6">
        <w:rPr>
          <w:rFonts w:cs="Arial"/>
        </w:rPr>
        <w:t xml:space="preserve"> En el Estado de Variaciones en la Hacienda Pública, el patrimonio contribuido</w:t>
      </w:r>
      <w:r>
        <w:rPr>
          <w:rFonts w:cs="Arial"/>
        </w:rPr>
        <w:t xml:space="preserve"> neto de 2019</w:t>
      </w:r>
      <w:r w:rsidRPr="00DA5FD6">
        <w:rPr>
          <w:rFonts w:cs="Arial"/>
        </w:rPr>
        <w:t xml:space="preserve"> del Instituto </w:t>
      </w:r>
      <w:r>
        <w:rPr>
          <w:rFonts w:cs="Arial"/>
        </w:rPr>
        <w:t xml:space="preserve">por la cantidad de </w:t>
      </w:r>
      <w:r w:rsidRPr="000E1289">
        <w:rPr>
          <w:rFonts w:cs="Arial"/>
        </w:rPr>
        <w:t>2</w:t>
      </w:r>
      <w:proofErr w:type="gramStart"/>
      <w:r w:rsidRPr="000E1289">
        <w:rPr>
          <w:rFonts w:cs="Arial"/>
        </w:rPr>
        <w:t>,410,250.11</w:t>
      </w:r>
      <w:proofErr w:type="gramEnd"/>
      <w:r>
        <w:rPr>
          <w:rFonts w:cs="Arial"/>
        </w:rPr>
        <w:t xml:space="preserve"> </w:t>
      </w:r>
      <w:r w:rsidRPr="00DA5FD6">
        <w:rPr>
          <w:rFonts w:cs="Arial"/>
        </w:rPr>
        <w:t xml:space="preserve">se </w:t>
      </w:r>
      <w:r>
        <w:rPr>
          <w:rFonts w:cs="Arial"/>
        </w:rPr>
        <w:t>conserva</w:t>
      </w:r>
      <w:r w:rsidRPr="00DA5FD6">
        <w:rPr>
          <w:rFonts w:cs="Arial"/>
        </w:rPr>
        <w:t xml:space="preserve"> por las aportaciones de</w:t>
      </w:r>
      <w:r>
        <w:rPr>
          <w:rFonts w:cs="Arial"/>
        </w:rPr>
        <w:t>l Gobierno del Estado de México.</w:t>
      </w:r>
    </w:p>
    <w:p w14:paraId="4FEE996C" w14:textId="079C5C03" w:rsidR="00DB59EA" w:rsidRDefault="00465FAF" w:rsidP="00CA4557">
      <w:pPr>
        <w:spacing w:line="276" w:lineRule="auto"/>
        <w:ind w:right="-1"/>
        <w:jc w:val="both"/>
        <w:rPr>
          <w:rFonts w:cs="Arial"/>
        </w:rPr>
      </w:pPr>
      <w:r w:rsidRPr="00963F7E">
        <w:rPr>
          <w:rFonts w:cs="Arial"/>
          <w:b/>
        </w:rPr>
        <w:t>Hacienda Pública / Patrimonio Generado de Ejercicios Anteriores. -</w:t>
      </w:r>
      <w:r>
        <w:rPr>
          <w:rFonts w:cs="Arial"/>
          <w:b/>
        </w:rPr>
        <w:t xml:space="preserve"> </w:t>
      </w:r>
      <w:r>
        <w:rPr>
          <w:rFonts w:cs="Arial"/>
        </w:rPr>
        <w:t>En este mes se detecta que</w:t>
      </w:r>
      <w:r w:rsidR="00E26C16">
        <w:rPr>
          <w:rFonts w:cs="Arial"/>
        </w:rPr>
        <w:t xml:space="preserve"> los</w:t>
      </w:r>
      <w:r>
        <w:rPr>
          <w:rFonts w:cs="Arial"/>
        </w:rPr>
        <w:t xml:space="preserve"> </w:t>
      </w:r>
      <w:r w:rsidR="00E26C16">
        <w:rPr>
          <w:rFonts w:cs="Arial"/>
        </w:rPr>
        <w:t xml:space="preserve">Resultados de Ejercicios Anteriores se afectaron por </w:t>
      </w:r>
      <w:r w:rsidR="00E26C16" w:rsidRPr="00E26C16">
        <w:rPr>
          <w:rFonts w:cs="Arial"/>
        </w:rPr>
        <w:t>1</w:t>
      </w:r>
      <w:proofErr w:type="gramStart"/>
      <w:r w:rsidR="00E26C16" w:rsidRPr="00E26C16">
        <w:rPr>
          <w:rFonts w:cs="Arial"/>
        </w:rPr>
        <w:t>,050,949,308.45</w:t>
      </w:r>
      <w:proofErr w:type="gramEnd"/>
      <w:r w:rsidR="00E26C16">
        <w:rPr>
          <w:rFonts w:cs="Arial"/>
        </w:rPr>
        <w:t xml:space="preserve">, </w:t>
      </w:r>
      <w:r w:rsidR="00CA4557">
        <w:rPr>
          <w:rFonts w:cs="Arial"/>
        </w:rPr>
        <w:t xml:space="preserve">derivado </w:t>
      </w:r>
      <w:r w:rsidR="00CA4557" w:rsidRPr="001362C9">
        <w:rPr>
          <w:rFonts w:cs="Arial"/>
        </w:rPr>
        <w:t>de la actualización de la amortización de capital de los Certificados Bursátiles de la Serie Subordinada C</w:t>
      </w:r>
      <w:r w:rsidR="00CA4557">
        <w:rPr>
          <w:rFonts w:cs="Arial"/>
        </w:rPr>
        <w:t xml:space="preserve"> </w:t>
      </w:r>
      <w:r w:rsidR="00CA4557" w:rsidRPr="001362C9">
        <w:rPr>
          <w:rFonts w:cs="Arial"/>
        </w:rPr>
        <w:t>del Fideicomiso Irrevocable No. F/1426</w:t>
      </w:r>
      <w:r w:rsidR="00CA4557">
        <w:rPr>
          <w:rFonts w:cs="Arial"/>
        </w:rPr>
        <w:t>, la cual se encuentra valuada en UDIS</w:t>
      </w:r>
      <w:r w:rsidR="00CA4557" w:rsidRPr="001362C9">
        <w:rPr>
          <w:rFonts w:cs="Arial"/>
        </w:rPr>
        <w:t>.</w:t>
      </w:r>
    </w:p>
    <w:p w14:paraId="1482A334" w14:textId="77777777" w:rsidR="00DB59EA" w:rsidRDefault="00DB59EA">
      <w:pPr>
        <w:spacing w:line="259" w:lineRule="auto"/>
        <w:rPr>
          <w:rFonts w:cs="Arial"/>
        </w:rPr>
      </w:pPr>
      <w:r>
        <w:rPr>
          <w:rFonts w:cs="Arial"/>
        </w:rPr>
        <w:br w:type="page"/>
      </w:r>
    </w:p>
    <w:p w14:paraId="23F541A7" w14:textId="77777777" w:rsidR="00DB59EA" w:rsidRPr="00DB59EA" w:rsidRDefault="00465FAF" w:rsidP="00DB59EA">
      <w:pPr>
        <w:jc w:val="both"/>
        <w:rPr>
          <w:rFonts w:eastAsia="Times New Roman" w:cs="Arial"/>
          <w:lang w:eastAsia="es-MX"/>
        </w:rPr>
      </w:pPr>
      <w:r w:rsidRPr="00DA5FD6">
        <w:rPr>
          <w:rFonts w:cs="Arial"/>
          <w:b/>
        </w:rPr>
        <w:t>Resultado del Ejercicio: (Ahorro/Desahorro). -</w:t>
      </w:r>
      <w:r w:rsidRPr="00DA5FD6">
        <w:rPr>
          <w:rFonts w:cs="Arial"/>
        </w:rPr>
        <w:t xml:space="preserve"> Se observa en la Hacienda Pública/Patrimonio Generado del Ejercicio, un </w:t>
      </w:r>
      <w:r>
        <w:rPr>
          <w:rFonts w:cs="Arial"/>
        </w:rPr>
        <w:t xml:space="preserve">ahorro por </w:t>
      </w:r>
      <w:r w:rsidR="001362C9" w:rsidRPr="001362C9">
        <w:rPr>
          <w:rFonts w:cs="Arial"/>
        </w:rPr>
        <w:t>959</w:t>
      </w:r>
      <w:proofErr w:type="gramStart"/>
      <w:r w:rsidR="001362C9" w:rsidRPr="001362C9">
        <w:rPr>
          <w:rFonts w:cs="Arial"/>
        </w:rPr>
        <w:t>,666,764.49</w:t>
      </w:r>
      <w:proofErr w:type="gramEnd"/>
      <w:r w:rsidR="00AA191B" w:rsidRPr="000F2F11">
        <w:rPr>
          <w:rFonts w:cs="Arial"/>
        </w:rPr>
        <w:t xml:space="preserve">, </w:t>
      </w:r>
      <w:r w:rsidR="001362C9" w:rsidRPr="001362C9">
        <w:rPr>
          <w:rFonts w:cs="Arial"/>
        </w:rPr>
        <w:t>debido principalmente a</w:t>
      </w:r>
      <w:r w:rsidR="00DB59EA" w:rsidRPr="00DB59EA">
        <w:rPr>
          <w:rFonts w:cs="Arial"/>
        </w:rPr>
        <w:t xml:space="preserve"> </w:t>
      </w:r>
      <w:r w:rsidR="00DB59EA">
        <w:rPr>
          <w:rFonts w:cs="Arial"/>
        </w:rPr>
        <w:t>que los ingresos se ven disminuidos por</w:t>
      </w:r>
      <w:r w:rsidR="001362C9" w:rsidRPr="001362C9">
        <w:rPr>
          <w:rFonts w:cs="Arial"/>
        </w:rPr>
        <w:t xml:space="preserve"> la aplicación de Otros Gastos de la Deuda</w:t>
      </w:r>
      <w:r w:rsidR="00E26C16">
        <w:rPr>
          <w:rFonts w:cs="Arial"/>
        </w:rPr>
        <w:t xml:space="preserve"> pública</w:t>
      </w:r>
      <w:r w:rsidR="001362C9" w:rsidRPr="001362C9">
        <w:rPr>
          <w:rFonts w:cs="Arial"/>
        </w:rPr>
        <w:t>, por</w:t>
      </w:r>
      <w:r w:rsidR="00E26C16">
        <w:rPr>
          <w:rFonts w:cs="Arial"/>
        </w:rPr>
        <w:t xml:space="preserve"> la cantidad de </w:t>
      </w:r>
      <w:r w:rsidR="00E26C16" w:rsidRPr="00E26C16">
        <w:rPr>
          <w:rFonts w:cs="Arial"/>
        </w:rPr>
        <w:t>101,554,415.01</w:t>
      </w:r>
      <w:r w:rsidR="00E26C16">
        <w:rPr>
          <w:rFonts w:cs="Arial"/>
        </w:rPr>
        <w:t xml:space="preserve">, </w:t>
      </w:r>
      <w:r w:rsidR="00DB59EA" w:rsidRPr="00DB59EA">
        <w:rPr>
          <w:rFonts w:eastAsia="Times New Roman" w:cs="Arial"/>
          <w:lang w:eastAsia="es-MX"/>
        </w:rPr>
        <w:t>por el registro contable de la valuación de los Certificados Bursátiles de la Serie Subordinada C del Fideicomiso Irrevocable No. F/1426, relativa a este ejercicio de la amortización de capital.</w:t>
      </w:r>
    </w:p>
    <w:p w14:paraId="57F765A3" w14:textId="77777777" w:rsidR="00465FAF" w:rsidRDefault="00465FAF" w:rsidP="00F51AB4">
      <w:pPr>
        <w:numPr>
          <w:ilvl w:val="0"/>
          <w:numId w:val="6"/>
        </w:numPr>
        <w:spacing w:before="240" w:after="240" w:line="276" w:lineRule="auto"/>
        <w:ind w:right="-1"/>
        <w:contextualSpacing/>
        <w:outlineLvl w:val="0"/>
        <w:rPr>
          <w:rFonts w:eastAsia="Times New Roman" w:cs="Arial"/>
          <w:b/>
          <w:lang w:eastAsia="es-MX"/>
        </w:rPr>
      </w:pPr>
      <w:r w:rsidRPr="00C1138F">
        <w:rPr>
          <w:rFonts w:eastAsia="Times New Roman" w:cs="Arial"/>
          <w:b/>
          <w:lang w:eastAsia="es-MX"/>
        </w:rPr>
        <w:t>NOTAS AL ESTADO DE FLUJOS DE EFECTIVO</w:t>
      </w:r>
    </w:p>
    <w:p w14:paraId="4903047E" w14:textId="77777777" w:rsidR="00F51AB4" w:rsidRPr="00C1138F" w:rsidRDefault="00F51AB4" w:rsidP="00F51AB4">
      <w:pPr>
        <w:spacing w:before="240" w:after="240" w:line="276" w:lineRule="auto"/>
        <w:ind w:right="-1"/>
        <w:contextualSpacing/>
        <w:outlineLvl w:val="0"/>
        <w:rPr>
          <w:rFonts w:eastAsia="Times New Roman" w:cs="Arial"/>
          <w:b/>
          <w:lang w:eastAsia="es-MX"/>
        </w:rPr>
      </w:pPr>
    </w:p>
    <w:p w14:paraId="13D02D4B" w14:textId="77777777" w:rsidR="00465FAF" w:rsidRDefault="00465FAF" w:rsidP="00465FAF">
      <w:pPr>
        <w:spacing w:line="276" w:lineRule="auto"/>
        <w:ind w:right="-1"/>
        <w:jc w:val="both"/>
        <w:rPr>
          <w:rFonts w:cs="Arial"/>
        </w:rPr>
      </w:pPr>
      <w:r w:rsidRPr="00C1138F">
        <w:rPr>
          <w:rFonts w:cs="Arial"/>
        </w:rPr>
        <w:t>En este Estado se observa lo siguiente:</w:t>
      </w:r>
    </w:p>
    <w:p w14:paraId="34664FB8" w14:textId="77777777" w:rsidR="00465FAF" w:rsidRDefault="00465FAF" w:rsidP="00465FAF">
      <w:pPr>
        <w:spacing w:line="276" w:lineRule="auto"/>
        <w:ind w:right="-1"/>
        <w:jc w:val="center"/>
        <w:rPr>
          <w:rFonts w:cs="Arial"/>
        </w:rPr>
      </w:pPr>
      <w:r w:rsidRPr="00962EF0">
        <w:rPr>
          <w:noProof/>
          <w:lang w:eastAsia="es-MX"/>
        </w:rPr>
        <w:drawing>
          <wp:inline distT="0" distB="0" distL="0" distR="0" wp14:anchorId="1DA012A5" wp14:editId="3D64390A">
            <wp:extent cx="4475508" cy="1395069"/>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2935" cy="1409852"/>
                    </a:xfrm>
                    <a:prstGeom prst="rect">
                      <a:avLst/>
                    </a:prstGeom>
                    <a:noFill/>
                    <a:ln>
                      <a:noFill/>
                    </a:ln>
                  </pic:spPr>
                </pic:pic>
              </a:graphicData>
            </a:graphic>
          </wp:inline>
        </w:drawing>
      </w:r>
    </w:p>
    <w:p w14:paraId="540D0588" w14:textId="77777777" w:rsidR="00465FAF" w:rsidRPr="00CA4557" w:rsidRDefault="00465FAF" w:rsidP="00465FAF">
      <w:pPr>
        <w:spacing w:line="276" w:lineRule="auto"/>
        <w:ind w:right="-1"/>
        <w:jc w:val="both"/>
        <w:rPr>
          <w:highlight w:val="yellow"/>
        </w:rPr>
      </w:pPr>
      <w:r w:rsidRPr="00C1138F">
        <w:t xml:space="preserve">La Conciliación </w:t>
      </w:r>
      <w:r w:rsidRPr="001061D6">
        <w:t>de los Flujos de Efectivo Netos de las Actividades de Operación y la cuenta de Ahorro/Desahorro antes de Rubros Extraordinarios, queda como sigue:</w:t>
      </w:r>
    </w:p>
    <w:p w14:paraId="129A1B62" w14:textId="3D8CB88C" w:rsidR="00465FAF" w:rsidRPr="003B1938" w:rsidRDefault="00890130" w:rsidP="00465FAF">
      <w:pPr>
        <w:spacing w:line="276" w:lineRule="auto"/>
        <w:ind w:right="-1"/>
        <w:jc w:val="center"/>
      </w:pPr>
      <w:r w:rsidRPr="00890130">
        <w:rPr>
          <w:noProof/>
          <w:lang w:eastAsia="es-MX"/>
        </w:rPr>
        <w:drawing>
          <wp:inline distT="0" distB="0" distL="0" distR="0" wp14:anchorId="21AFEA5B" wp14:editId="42A13576">
            <wp:extent cx="5043170" cy="3269615"/>
            <wp:effectExtent l="0" t="0" r="508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3170" cy="3269615"/>
                    </a:xfrm>
                    <a:prstGeom prst="rect">
                      <a:avLst/>
                    </a:prstGeom>
                    <a:noFill/>
                    <a:ln>
                      <a:noFill/>
                    </a:ln>
                  </pic:spPr>
                </pic:pic>
              </a:graphicData>
            </a:graphic>
          </wp:inline>
        </w:drawing>
      </w:r>
    </w:p>
    <w:p w14:paraId="3D19446F" w14:textId="77777777" w:rsidR="00465FAF" w:rsidRDefault="00465FAF" w:rsidP="00465FAF">
      <w:pPr>
        <w:spacing w:line="276" w:lineRule="auto"/>
        <w:ind w:right="-1"/>
        <w:jc w:val="both"/>
        <w:rPr>
          <w:rFonts w:cs="Arial"/>
        </w:rPr>
      </w:pPr>
      <w:r w:rsidRPr="00C1138F">
        <w:rPr>
          <w:rFonts w:cs="Arial"/>
        </w:rPr>
        <w:t xml:space="preserve">El efectivo y equivalentes en este mes para que el Instituto de la Función Registral del Estado de México cubra sus obligaciones de pago, fue de </w:t>
      </w:r>
      <w:r>
        <w:rPr>
          <w:rFonts w:cs="Arial"/>
        </w:rPr>
        <w:t>358</w:t>
      </w:r>
      <w:proofErr w:type="gramStart"/>
      <w:r>
        <w:rPr>
          <w:rFonts w:cs="Arial"/>
        </w:rPr>
        <w:t>,466,739.93</w:t>
      </w:r>
      <w:proofErr w:type="gramEnd"/>
      <w:r>
        <w:rPr>
          <w:rFonts w:cs="Arial"/>
        </w:rPr>
        <w:t>.</w:t>
      </w:r>
    </w:p>
    <w:p w14:paraId="32E4F9CA" w14:textId="48ED1058" w:rsidR="008641A6" w:rsidRPr="00F51AB4" w:rsidRDefault="008641A6" w:rsidP="001061D6">
      <w:pPr>
        <w:spacing w:line="259" w:lineRule="auto"/>
        <w:rPr>
          <w:rFonts w:eastAsia="Calibri" w:cs="Arial"/>
          <w:b/>
        </w:rPr>
      </w:pPr>
      <w:r>
        <w:rPr>
          <w:rFonts w:cs="Arial"/>
        </w:rPr>
        <w:br w:type="page"/>
      </w:r>
      <w:r w:rsidRPr="00C24A06">
        <w:rPr>
          <w:rFonts w:cs="Arial"/>
          <w:b/>
        </w:rPr>
        <w:t>CONCILIACIÓN ENTRE LOS INGRESOS PRESUPUESTARIOS Y CONTABLES, ASÍ COMO ENTRE LOS EGRESOS PRESUPUESTARIOS Y LOS GASTOS CONTABLES</w:t>
      </w:r>
    </w:p>
    <w:p w14:paraId="154F97AC" w14:textId="77777777" w:rsidR="00F51AB4" w:rsidRPr="00C24A06" w:rsidRDefault="00F51AB4" w:rsidP="00F51AB4">
      <w:pPr>
        <w:spacing w:before="240" w:after="240" w:line="276" w:lineRule="auto"/>
        <w:ind w:right="-1"/>
        <w:contextualSpacing/>
        <w:outlineLvl w:val="0"/>
        <w:rPr>
          <w:rFonts w:eastAsia="Calibri" w:cs="Arial"/>
          <w:b/>
        </w:rPr>
      </w:pPr>
    </w:p>
    <w:p w14:paraId="297A5A6E" w14:textId="51A1928A" w:rsidR="008641A6" w:rsidRPr="00E06B03" w:rsidRDefault="003527BF" w:rsidP="008641A6">
      <w:pPr>
        <w:jc w:val="center"/>
      </w:pPr>
      <w:r>
        <w:rPr>
          <w:noProof/>
          <w:lang w:eastAsia="es-MX"/>
        </w:rPr>
        <w:drawing>
          <wp:inline distT="0" distB="0" distL="0" distR="0" wp14:anchorId="3D39E565" wp14:editId="036EEDB3">
            <wp:extent cx="6279515" cy="3858895"/>
            <wp:effectExtent l="0" t="0" r="698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9515" cy="3858895"/>
                    </a:xfrm>
                    <a:prstGeom prst="rect">
                      <a:avLst/>
                    </a:prstGeom>
                    <a:noFill/>
                  </pic:spPr>
                </pic:pic>
              </a:graphicData>
            </a:graphic>
          </wp:inline>
        </w:drawing>
      </w:r>
    </w:p>
    <w:p w14:paraId="55EC0999" w14:textId="77777777" w:rsidR="008641A6" w:rsidRPr="00E06B03" w:rsidRDefault="008641A6" w:rsidP="008641A6">
      <w:pPr>
        <w:spacing w:after="0" w:line="276" w:lineRule="auto"/>
        <w:ind w:right="-1"/>
        <w:rPr>
          <w:noProof/>
          <w:lang w:eastAsia="es-MX"/>
        </w:rPr>
      </w:pPr>
    </w:p>
    <w:p w14:paraId="5B39120A" w14:textId="2D683FC9" w:rsidR="003527BF" w:rsidRDefault="008641A6" w:rsidP="003527BF">
      <w:pPr>
        <w:tabs>
          <w:tab w:val="left" w:pos="1545"/>
        </w:tabs>
        <w:spacing w:line="276" w:lineRule="auto"/>
        <w:jc w:val="both"/>
        <w:rPr>
          <w:rFonts w:cs="Arial"/>
        </w:rPr>
      </w:pPr>
      <w:r w:rsidRPr="00E06B03">
        <w:rPr>
          <w:rFonts w:cs="Arial"/>
          <w:b/>
        </w:rPr>
        <w:t>Conciliación entre los Ingresos Presupuestarios y Contables</w:t>
      </w:r>
      <w:r w:rsidRPr="00E06B03">
        <w:rPr>
          <w:rFonts w:cs="Arial"/>
        </w:rPr>
        <w:t xml:space="preserve">.- </w:t>
      </w:r>
      <w:r w:rsidR="003527BF" w:rsidRPr="003527BF">
        <w:rPr>
          <w:rFonts w:cs="Arial"/>
        </w:rPr>
        <w:t xml:space="preserve">En el renglón de Otros Ingresos Presupuestarios no Contables por $474,869,740.46 se integran de; $458,093,768.75 para el pago de Amortización de Capital de los Certificados Bursátiles Series "A" , "B" y subordinada "C", correspondientes al presente ejercicio del 2020,  los $6,230,000.00 de </w:t>
      </w:r>
      <w:proofErr w:type="spellStart"/>
      <w:r w:rsidR="003527BF" w:rsidRPr="003527BF">
        <w:rPr>
          <w:rFonts w:cs="Arial"/>
        </w:rPr>
        <w:t>de</w:t>
      </w:r>
      <w:proofErr w:type="spellEnd"/>
      <w:r w:rsidR="003527BF" w:rsidRPr="003527BF">
        <w:rPr>
          <w:rFonts w:cs="Arial"/>
        </w:rPr>
        <w:t xml:space="preserve"> Ingresos por Disponibilidades Presupuestarias Entidades Públicas y $10,545,971.71 Pasivos Derivados de Erogaciones Devengadas y Pendientes.</w:t>
      </w:r>
    </w:p>
    <w:p w14:paraId="1363D0D9" w14:textId="77777777" w:rsidR="003527BF" w:rsidRDefault="003527BF">
      <w:pPr>
        <w:spacing w:line="259" w:lineRule="auto"/>
        <w:rPr>
          <w:rFonts w:cs="Arial"/>
        </w:rPr>
      </w:pPr>
      <w:r>
        <w:rPr>
          <w:rFonts w:cs="Arial"/>
        </w:rPr>
        <w:br w:type="page"/>
      </w:r>
    </w:p>
    <w:p w14:paraId="43000F78" w14:textId="3E1CABE4" w:rsidR="008641A6" w:rsidRPr="00E06B03" w:rsidRDefault="003527BF" w:rsidP="008641A6">
      <w:pPr>
        <w:rPr>
          <w:rFonts w:cs="Arial"/>
        </w:rPr>
      </w:pPr>
      <w:r>
        <w:rPr>
          <w:rFonts w:cs="Arial"/>
          <w:noProof/>
          <w:lang w:eastAsia="es-MX"/>
        </w:rPr>
        <w:drawing>
          <wp:inline distT="0" distB="0" distL="0" distR="0" wp14:anchorId="0E9F3D42" wp14:editId="0AE63F72">
            <wp:extent cx="6389370" cy="57003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9370" cy="5700395"/>
                    </a:xfrm>
                    <a:prstGeom prst="rect">
                      <a:avLst/>
                    </a:prstGeom>
                    <a:noFill/>
                  </pic:spPr>
                </pic:pic>
              </a:graphicData>
            </a:graphic>
          </wp:inline>
        </w:drawing>
      </w:r>
    </w:p>
    <w:p w14:paraId="01B30A1F" w14:textId="77777777" w:rsidR="00E3427F" w:rsidRDefault="00E3427F" w:rsidP="00E3427F">
      <w:pPr>
        <w:tabs>
          <w:tab w:val="left" w:pos="1215"/>
        </w:tabs>
        <w:jc w:val="both"/>
        <w:rPr>
          <w:rFonts w:cs="Arial"/>
        </w:rPr>
      </w:pPr>
      <w:r w:rsidRPr="00E4694C">
        <w:rPr>
          <w:rFonts w:cs="Arial"/>
          <w:b/>
        </w:rPr>
        <w:t>Conciliación entre los Egreso</w:t>
      </w:r>
      <w:r>
        <w:rPr>
          <w:rFonts w:cs="Arial"/>
          <w:b/>
        </w:rPr>
        <w:t>s Presupuestarios y los Gastos C</w:t>
      </w:r>
      <w:r w:rsidRPr="00E4694C">
        <w:rPr>
          <w:rFonts w:cs="Arial"/>
          <w:b/>
        </w:rPr>
        <w:t>ontables</w:t>
      </w:r>
      <w:r>
        <w:rPr>
          <w:rFonts w:cs="Arial"/>
        </w:rPr>
        <w:t>.-</w:t>
      </w:r>
      <w:r w:rsidRPr="00177121">
        <w:rPr>
          <w:rFonts w:cs="Arial"/>
        </w:rPr>
        <w:t xml:space="preserve"> </w:t>
      </w:r>
      <w:r w:rsidRPr="00FA2DAC">
        <w:rPr>
          <w:rFonts w:cs="Arial"/>
        </w:rPr>
        <w:t xml:space="preserve">El renglón de Otros Egresos Presupuestales No Contables por 910,538,009.02, se integran de: 718,625,336.65, de las Transferencias al Fideicomiso de Cobranza y 188,837,626.24 de Transferencias internas otorgadas a fideicomisos </w:t>
      </w:r>
      <w:proofErr w:type="spellStart"/>
      <w:r w:rsidRPr="00FA2DAC">
        <w:rPr>
          <w:rFonts w:cs="Arial"/>
        </w:rPr>
        <w:t>publicos</w:t>
      </w:r>
      <w:proofErr w:type="spellEnd"/>
      <w:r w:rsidRPr="00FA2DAC">
        <w:rPr>
          <w:rFonts w:cs="Arial"/>
        </w:rPr>
        <w:t xml:space="preserve"> financieros para el pago de bono de la Serie Subordinada C, así como 3,075,046.13 del saldo de los recursos por el Programa de Acciones para el Desarrollo (PAD), Programa “Regularización Tenencia de la Tierra”. En el rubro de Otros Gastos Contables No Presupuestales el importe de 2,464,484.75 por la transferencia al GEM, de los remanentes del Programa de Regularización de Tenencia de la Tierra 2019, que incluye los intereses generados.</w:t>
      </w:r>
    </w:p>
    <w:p w14:paraId="4C980347" w14:textId="77777777" w:rsidR="008641A6" w:rsidRPr="00E32E09" w:rsidRDefault="008641A6" w:rsidP="008641A6">
      <w:pPr>
        <w:spacing w:line="259" w:lineRule="auto"/>
      </w:pPr>
    </w:p>
    <w:p w14:paraId="43F5A4D2" w14:textId="77777777" w:rsidR="00AE0682" w:rsidRPr="003E7D79" w:rsidRDefault="00AE0682" w:rsidP="00AE0682">
      <w:pPr>
        <w:jc w:val="both"/>
        <w:rPr>
          <w:rFonts w:cs="Arial"/>
          <w:highlight w:val="yellow"/>
        </w:rPr>
      </w:pPr>
    </w:p>
    <w:p w14:paraId="41C0EFCB" w14:textId="77777777" w:rsidR="00AE0682" w:rsidRPr="003C2837" w:rsidRDefault="00AE0682" w:rsidP="00AE0682">
      <w:pPr>
        <w:numPr>
          <w:ilvl w:val="0"/>
          <w:numId w:val="50"/>
        </w:numPr>
        <w:tabs>
          <w:tab w:val="left" w:pos="3836"/>
        </w:tabs>
        <w:spacing w:after="0" w:line="276" w:lineRule="auto"/>
        <w:ind w:right="-1"/>
        <w:contextualSpacing/>
        <w:outlineLvl w:val="0"/>
        <w:rPr>
          <w:rFonts w:eastAsia="Times New Roman" w:cs="Arial"/>
          <w:b/>
          <w:lang w:eastAsia="es-MX"/>
        </w:rPr>
      </w:pPr>
      <w:r w:rsidRPr="003C2837">
        <w:rPr>
          <w:rFonts w:eastAsia="Times New Roman" w:cs="Arial"/>
          <w:b/>
          <w:lang w:eastAsia="es-MX"/>
        </w:rPr>
        <w:t>NOTAS DE MEMORIA (CUENTAS DE ORDEN)</w:t>
      </w:r>
    </w:p>
    <w:p w14:paraId="21BC20FB" w14:textId="77777777" w:rsidR="00AE0682" w:rsidRPr="003C2837" w:rsidRDefault="00AE0682" w:rsidP="00AE0682">
      <w:pPr>
        <w:tabs>
          <w:tab w:val="left" w:pos="3836"/>
        </w:tabs>
        <w:spacing w:after="0" w:line="276" w:lineRule="auto"/>
        <w:ind w:left="714" w:right="-1"/>
        <w:contextualSpacing/>
        <w:outlineLvl w:val="0"/>
        <w:rPr>
          <w:rFonts w:eastAsia="Times New Roman" w:cs="Arial"/>
          <w:b/>
          <w:lang w:eastAsia="es-MX"/>
        </w:rPr>
      </w:pPr>
    </w:p>
    <w:p w14:paraId="4949F5AE" w14:textId="77777777" w:rsidR="00AE0682" w:rsidRDefault="00AE0682" w:rsidP="00AE0682">
      <w:pPr>
        <w:tabs>
          <w:tab w:val="left" w:pos="8064"/>
        </w:tabs>
        <w:spacing w:line="276" w:lineRule="auto"/>
        <w:ind w:right="-1"/>
        <w:jc w:val="both"/>
        <w:outlineLvl w:val="0"/>
        <w:rPr>
          <w:rFonts w:cs="Arial"/>
        </w:rPr>
      </w:pPr>
      <w:r w:rsidRPr="003C2837">
        <w:rPr>
          <w:rFonts w:cs="Arial"/>
        </w:rPr>
        <w:t>Las Cuentas de Orden Contables y Presupuestarias se integran de la siguiente forma:</w:t>
      </w:r>
    </w:p>
    <w:p w14:paraId="3562EC67" w14:textId="77777777" w:rsidR="00AE0682" w:rsidRDefault="00AE0682" w:rsidP="00AE0682">
      <w:pPr>
        <w:tabs>
          <w:tab w:val="left" w:pos="8064"/>
        </w:tabs>
        <w:spacing w:line="276" w:lineRule="auto"/>
        <w:ind w:right="-1"/>
        <w:jc w:val="both"/>
        <w:outlineLvl w:val="0"/>
        <w:rPr>
          <w:rFonts w:cs="Arial"/>
        </w:rPr>
      </w:pPr>
      <w:r w:rsidRPr="009448E3">
        <w:rPr>
          <w:noProof/>
          <w:lang w:eastAsia="es-MX"/>
        </w:rPr>
        <w:drawing>
          <wp:inline distT="0" distB="0" distL="0" distR="0" wp14:anchorId="5D93A451" wp14:editId="0413A2CD">
            <wp:extent cx="6387389" cy="12496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3924" cy="1252915"/>
                    </a:xfrm>
                    <a:prstGeom prst="rect">
                      <a:avLst/>
                    </a:prstGeom>
                    <a:noFill/>
                    <a:ln>
                      <a:noFill/>
                    </a:ln>
                  </pic:spPr>
                </pic:pic>
              </a:graphicData>
            </a:graphic>
          </wp:inline>
        </w:drawing>
      </w:r>
    </w:p>
    <w:p w14:paraId="2F13FD3E" w14:textId="77777777" w:rsidR="00AE0682" w:rsidRDefault="00AE0682" w:rsidP="00AE0682">
      <w:pPr>
        <w:tabs>
          <w:tab w:val="left" w:pos="2552"/>
          <w:tab w:val="left" w:pos="8064"/>
        </w:tabs>
        <w:spacing w:line="276" w:lineRule="auto"/>
        <w:ind w:right="-1"/>
        <w:jc w:val="both"/>
        <w:outlineLvl w:val="0"/>
        <w:rPr>
          <w:rFonts w:cs="Arial"/>
        </w:rPr>
      </w:pPr>
      <w:r w:rsidRPr="006E6A68">
        <w:rPr>
          <w:noProof/>
          <w:lang w:eastAsia="es-MX"/>
        </w:rPr>
        <w:drawing>
          <wp:inline distT="0" distB="0" distL="0" distR="0" wp14:anchorId="0059511E" wp14:editId="7D8999AD">
            <wp:extent cx="6389370" cy="45935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9370" cy="4593525"/>
                    </a:xfrm>
                    <a:prstGeom prst="rect">
                      <a:avLst/>
                    </a:prstGeom>
                    <a:noFill/>
                    <a:ln>
                      <a:noFill/>
                    </a:ln>
                  </pic:spPr>
                </pic:pic>
              </a:graphicData>
            </a:graphic>
          </wp:inline>
        </w:drawing>
      </w:r>
    </w:p>
    <w:p w14:paraId="2CE6F47D" w14:textId="77777777" w:rsidR="00AE0682" w:rsidRDefault="00AE0682" w:rsidP="00AE0682">
      <w:pPr>
        <w:tabs>
          <w:tab w:val="left" w:pos="1843"/>
          <w:tab w:val="left" w:pos="2410"/>
          <w:tab w:val="left" w:pos="2694"/>
          <w:tab w:val="left" w:pos="8064"/>
        </w:tabs>
        <w:spacing w:line="276" w:lineRule="auto"/>
        <w:ind w:right="-1"/>
        <w:jc w:val="both"/>
        <w:outlineLvl w:val="0"/>
        <w:rPr>
          <w:rFonts w:cs="Arial"/>
        </w:rPr>
      </w:pPr>
    </w:p>
    <w:p w14:paraId="333E2565" w14:textId="77777777" w:rsidR="00AE0682" w:rsidRDefault="00AE0682" w:rsidP="00AE0682">
      <w:pPr>
        <w:tabs>
          <w:tab w:val="left" w:pos="8064"/>
        </w:tabs>
        <w:spacing w:line="276" w:lineRule="auto"/>
        <w:ind w:right="-1"/>
        <w:jc w:val="both"/>
        <w:outlineLvl w:val="0"/>
        <w:rPr>
          <w:rFonts w:cs="Arial"/>
        </w:rPr>
      </w:pPr>
    </w:p>
    <w:p w14:paraId="722D6031" w14:textId="77777777" w:rsidR="00AE0682" w:rsidRPr="003C2837" w:rsidRDefault="00AE0682" w:rsidP="00AE0682">
      <w:pPr>
        <w:tabs>
          <w:tab w:val="left" w:pos="8652"/>
        </w:tabs>
        <w:spacing w:line="276" w:lineRule="auto"/>
        <w:ind w:right="-1"/>
        <w:jc w:val="both"/>
        <w:outlineLvl w:val="0"/>
        <w:rPr>
          <w:rFonts w:cs="Arial"/>
        </w:rPr>
      </w:pPr>
      <w:r w:rsidRPr="003C2837">
        <w:rPr>
          <w:rFonts w:cs="Arial"/>
        </w:rPr>
        <w:t xml:space="preserve">La comunicación de la asignación del </w:t>
      </w:r>
      <w:r w:rsidRPr="00B90DB9">
        <w:rPr>
          <w:rFonts w:cs="Arial"/>
        </w:rPr>
        <w:t>Presupuesto Autorizado para el Ejercicio Fiscal 2020</w:t>
      </w:r>
      <w:r w:rsidRPr="003C2837">
        <w:rPr>
          <w:rFonts w:cs="Arial"/>
        </w:rPr>
        <w:t>, se realizó mediante oficio No. 20704001L-0041/2020, de fecha 21 de enero de 2020, emitido por la Secretaría de Finanzas, con el cual se aprueba la asignación presupuestal autorizada por la LX Legislatura local al Instituto de la Función Registral del Estado de México, que asciende a la cantidad de 2</w:t>
      </w:r>
      <w:proofErr w:type="gramStart"/>
      <w:r w:rsidRPr="003C2837">
        <w:rPr>
          <w:rFonts w:cs="Arial"/>
        </w:rPr>
        <w:t>,921,299,039.00</w:t>
      </w:r>
      <w:proofErr w:type="gramEnd"/>
      <w:r w:rsidRPr="003C2837">
        <w:rPr>
          <w:rFonts w:cs="Arial"/>
          <w:b/>
        </w:rPr>
        <w:t xml:space="preserve">, </w:t>
      </w:r>
      <w:r w:rsidRPr="003C2837">
        <w:rPr>
          <w:rFonts w:cs="Arial"/>
        </w:rPr>
        <w:t>distribuida de la siguiente manera:</w:t>
      </w:r>
    </w:p>
    <w:p w14:paraId="51D02319" w14:textId="77777777" w:rsidR="00AE0682" w:rsidRPr="003C2837" w:rsidRDefault="00AE0682" w:rsidP="00AE0682">
      <w:pPr>
        <w:tabs>
          <w:tab w:val="left" w:pos="8652"/>
        </w:tabs>
        <w:spacing w:line="276" w:lineRule="auto"/>
        <w:ind w:right="-1"/>
        <w:jc w:val="center"/>
        <w:outlineLvl w:val="0"/>
        <w:rPr>
          <w:rFonts w:cs="Arial"/>
        </w:rPr>
      </w:pPr>
      <w:r w:rsidRPr="003C2837">
        <w:rPr>
          <w:noProof/>
          <w:lang w:eastAsia="es-MX"/>
        </w:rPr>
        <w:drawing>
          <wp:inline distT="0" distB="0" distL="0" distR="0" wp14:anchorId="22D98161" wp14:editId="0D452DF3">
            <wp:extent cx="5020945" cy="1744980"/>
            <wp:effectExtent l="0" t="0" r="8255"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853" cy="1754679"/>
                    </a:xfrm>
                    <a:prstGeom prst="rect">
                      <a:avLst/>
                    </a:prstGeom>
                    <a:noFill/>
                    <a:ln>
                      <a:noFill/>
                    </a:ln>
                  </pic:spPr>
                </pic:pic>
              </a:graphicData>
            </a:graphic>
          </wp:inline>
        </w:drawing>
      </w:r>
    </w:p>
    <w:p w14:paraId="38DF541E" w14:textId="77777777" w:rsidR="00AE0682" w:rsidRPr="003C2837" w:rsidRDefault="00AE0682" w:rsidP="00AE0682">
      <w:pPr>
        <w:spacing w:line="276" w:lineRule="auto"/>
        <w:ind w:right="-1"/>
        <w:jc w:val="both"/>
        <w:outlineLvl w:val="0"/>
        <w:rPr>
          <w:rFonts w:cs="Arial"/>
        </w:rPr>
      </w:pPr>
      <w:r w:rsidRPr="003C2837">
        <w:rPr>
          <w:rFonts w:cs="Arial"/>
        </w:rPr>
        <w:t>Se tuvo una asignación presupuestal de 35</w:t>
      </w:r>
      <w:proofErr w:type="gramStart"/>
      <w:r w:rsidRPr="003C2837">
        <w:rPr>
          <w:rFonts w:cs="Arial"/>
        </w:rPr>
        <w:t>,940,611.37</w:t>
      </w:r>
      <w:proofErr w:type="gramEnd"/>
      <w:r w:rsidRPr="003C2837">
        <w:rPr>
          <w:rFonts w:cs="Arial"/>
        </w:rPr>
        <w:t xml:space="preserve">, autorizada con el oficio </w:t>
      </w:r>
      <w:r w:rsidRPr="00B90DB9">
        <w:rPr>
          <w:rFonts w:cs="Arial"/>
        </w:rPr>
        <w:t>No. 20704000L-APAD-0001/20,</w:t>
      </w:r>
      <w:r w:rsidRPr="003C2837">
        <w:rPr>
          <w:rFonts w:cs="Arial"/>
        </w:rPr>
        <w:t xml:space="preserve"> del 8 de enero de 2020, signado por el Subsecretario de Planeación y Presupuesto, para el Programa de Acciones para el Desarrollo (PAD), requeridos para continuar con el Programa de Regularización de Tenencia de la Tierra en el Estado de México, como sigue:</w:t>
      </w:r>
    </w:p>
    <w:p w14:paraId="6AAADB29" w14:textId="77777777" w:rsidR="00AE0682" w:rsidRDefault="00AE0682" w:rsidP="00AE0682">
      <w:pPr>
        <w:spacing w:line="276" w:lineRule="auto"/>
        <w:ind w:right="-1"/>
        <w:jc w:val="both"/>
        <w:outlineLvl w:val="0"/>
        <w:rPr>
          <w:rFonts w:cs="Arial"/>
        </w:rPr>
      </w:pPr>
      <w:r w:rsidRPr="003C2837">
        <w:rPr>
          <w:rFonts w:cs="Arial"/>
        </w:rPr>
        <w:t xml:space="preserve">                  </w:t>
      </w:r>
      <w:r w:rsidRPr="003C2837">
        <w:rPr>
          <w:noProof/>
          <w:lang w:eastAsia="es-MX"/>
        </w:rPr>
        <w:drawing>
          <wp:inline distT="0" distB="0" distL="0" distR="0" wp14:anchorId="3200703C" wp14:editId="55DE8709">
            <wp:extent cx="5058410" cy="1851660"/>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1381" cy="1863729"/>
                    </a:xfrm>
                    <a:prstGeom prst="rect">
                      <a:avLst/>
                    </a:prstGeom>
                    <a:noFill/>
                    <a:ln>
                      <a:noFill/>
                    </a:ln>
                  </pic:spPr>
                </pic:pic>
              </a:graphicData>
            </a:graphic>
          </wp:inline>
        </w:drawing>
      </w:r>
    </w:p>
    <w:p w14:paraId="37A6B30C" w14:textId="77777777" w:rsidR="00AE0682" w:rsidRDefault="00AE0682" w:rsidP="00AE0682">
      <w:pPr>
        <w:spacing w:line="276" w:lineRule="auto"/>
        <w:ind w:right="-1"/>
        <w:jc w:val="both"/>
        <w:outlineLvl w:val="0"/>
        <w:rPr>
          <w:rFonts w:cs="Arial"/>
        </w:rPr>
      </w:pPr>
    </w:p>
    <w:p w14:paraId="112FB691" w14:textId="77777777" w:rsidR="00AE0682" w:rsidRDefault="00AE0682" w:rsidP="00AE0682">
      <w:pPr>
        <w:spacing w:line="276" w:lineRule="auto"/>
        <w:ind w:right="-1"/>
        <w:jc w:val="both"/>
        <w:outlineLvl w:val="0"/>
        <w:rPr>
          <w:rFonts w:cs="Arial"/>
        </w:rPr>
      </w:pPr>
    </w:p>
    <w:p w14:paraId="6E7B9F08" w14:textId="77777777" w:rsidR="00AE0682" w:rsidRDefault="00AE0682" w:rsidP="00AE0682">
      <w:pPr>
        <w:spacing w:line="276" w:lineRule="auto"/>
        <w:ind w:right="-1"/>
        <w:jc w:val="both"/>
        <w:outlineLvl w:val="0"/>
        <w:rPr>
          <w:rFonts w:cs="Arial"/>
        </w:rPr>
      </w:pPr>
    </w:p>
    <w:p w14:paraId="1790E541" w14:textId="77777777" w:rsidR="00AE0682" w:rsidRDefault="00AE0682" w:rsidP="00AE0682">
      <w:pPr>
        <w:spacing w:line="276" w:lineRule="auto"/>
        <w:ind w:right="-1"/>
        <w:jc w:val="both"/>
        <w:outlineLvl w:val="0"/>
        <w:rPr>
          <w:rFonts w:cs="Arial"/>
        </w:rPr>
      </w:pPr>
    </w:p>
    <w:p w14:paraId="2CB79F18" w14:textId="77777777" w:rsidR="00AE0682" w:rsidRDefault="00AE0682" w:rsidP="00AE0682">
      <w:pPr>
        <w:spacing w:line="276" w:lineRule="auto"/>
        <w:ind w:right="-1"/>
        <w:jc w:val="both"/>
        <w:outlineLvl w:val="0"/>
        <w:rPr>
          <w:rFonts w:cs="Arial"/>
        </w:rPr>
      </w:pPr>
    </w:p>
    <w:p w14:paraId="1B5F2334" w14:textId="77777777" w:rsidR="00AE0682" w:rsidRPr="003C2837" w:rsidRDefault="00AE0682" w:rsidP="00AE0682">
      <w:pPr>
        <w:spacing w:line="276" w:lineRule="auto"/>
        <w:ind w:right="-1"/>
        <w:jc w:val="both"/>
        <w:outlineLvl w:val="0"/>
        <w:rPr>
          <w:rFonts w:cs="Arial"/>
        </w:rPr>
      </w:pPr>
    </w:p>
    <w:p w14:paraId="2BD6404F" w14:textId="77777777" w:rsidR="00AE0682" w:rsidRDefault="00AE0682" w:rsidP="00AE0682">
      <w:pPr>
        <w:tabs>
          <w:tab w:val="left" w:pos="488"/>
          <w:tab w:val="right" w:pos="10063"/>
        </w:tabs>
        <w:spacing w:line="276" w:lineRule="auto"/>
        <w:ind w:right="-1"/>
        <w:outlineLvl w:val="0"/>
      </w:pPr>
      <w:r w:rsidRPr="003C2837">
        <w:t>El presupuesto se ha modificado para el Ejercicio 2020, de acuerdo con las siguientes adecuaciones</w:t>
      </w:r>
    </w:p>
    <w:p w14:paraId="556DD5F0" w14:textId="77777777" w:rsidR="00AE0682" w:rsidRDefault="00AE0682" w:rsidP="00AE0682">
      <w:pPr>
        <w:tabs>
          <w:tab w:val="left" w:pos="488"/>
          <w:tab w:val="right" w:pos="10063"/>
        </w:tabs>
        <w:spacing w:line="276" w:lineRule="auto"/>
        <w:ind w:right="-1"/>
        <w:outlineLvl w:val="0"/>
      </w:pPr>
      <w:r w:rsidRPr="009448E3">
        <w:rPr>
          <w:noProof/>
          <w:lang w:eastAsia="es-MX"/>
        </w:rPr>
        <w:drawing>
          <wp:inline distT="0" distB="0" distL="0" distR="0" wp14:anchorId="54EF4AEC" wp14:editId="7B1A13BA">
            <wp:extent cx="6389370" cy="2563953"/>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9370" cy="2563953"/>
                    </a:xfrm>
                    <a:prstGeom prst="rect">
                      <a:avLst/>
                    </a:prstGeom>
                    <a:noFill/>
                    <a:ln>
                      <a:noFill/>
                    </a:ln>
                  </pic:spPr>
                </pic:pic>
              </a:graphicData>
            </a:graphic>
          </wp:inline>
        </w:drawing>
      </w:r>
    </w:p>
    <w:p w14:paraId="71B53DB6" w14:textId="77777777" w:rsidR="00AE0682" w:rsidRDefault="00AE0682" w:rsidP="00AE0682">
      <w:pPr>
        <w:spacing w:line="259" w:lineRule="auto"/>
        <w:rPr>
          <w:b/>
        </w:rPr>
      </w:pPr>
      <w:r w:rsidRPr="004B2812">
        <w:rPr>
          <w:b/>
        </w:rPr>
        <w:t>Estado Comparativo del Ejercicio del Presupuesto de Egresos:</w:t>
      </w:r>
    </w:p>
    <w:p w14:paraId="510D740A" w14:textId="77777777" w:rsidR="00AE0682" w:rsidRDefault="00AE0682" w:rsidP="00AE0682">
      <w:pPr>
        <w:spacing w:line="259" w:lineRule="auto"/>
        <w:rPr>
          <w:b/>
        </w:rPr>
      </w:pPr>
      <w:r w:rsidRPr="006E6A68">
        <w:rPr>
          <w:noProof/>
          <w:lang w:eastAsia="es-MX"/>
        </w:rPr>
        <w:drawing>
          <wp:inline distT="0" distB="0" distL="0" distR="0" wp14:anchorId="3273B82A" wp14:editId="1C6CE4D3">
            <wp:extent cx="6388100" cy="2034540"/>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4609" cy="2036613"/>
                    </a:xfrm>
                    <a:prstGeom prst="rect">
                      <a:avLst/>
                    </a:prstGeom>
                    <a:noFill/>
                    <a:ln>
                      <a:noFill/>
                    </a:ln>
                  </pic:spPr>
                </pic:pic>
              </a:graphicData>
            </a:graphic>
          </wp:inline>
        </w:drawing>
      </w:r>
    </w:p>
    <w:p w14:paraId="0C298677" w14:textId="77777777" w:rsidR="00AE0682" w:rsidRPr="00EC6A9E" w:rsidRDefault="00AE0682" w:rsidP="00AE0682">
      <w:pPr>
        <w:tabs>
          <w:tab w:val="left" w:pos="488"/>
        </w:tabs>
        <w:spacing w:line="276" w:lineRule="auto"/>
        <w:ind w:right="-1"/>
        <w:jc w:val="both"/>
        <w:outlineLvl w:val="0"/>
        <w:rPr>
          <w:rFonts w:cs="Arial"/>
        </w:rPr>
      </w:pPr>
      <w:r w:rsidRPr="00EC6A9E">
        <w:rPr>
          <w:rFonts w:cs="Arial"/>
        </w:rPr>
        <w:t xml:space="preserve">El presupuesto de </w:t>
      </w:r>
      <w:r w:rsidRPr="000239D3">
        <w:rPr>
          <w:rFonts w:cs="Arial"/>
        </w:rPr>
        <w:t>egresos aprobado anual fue</w:t>
      </w:r>
      <w:r w:rsidRPr="00EC6A9E">
        <w:rPr>
          <w:rFonts w:cs="Arial"/>
        </w:rPr>
        <w:t xml:space="preserve"> de 2,921,299,039.00, el presu</w:t>
      </w:r>
      <w:r>
        <w:rPr>
          <w:rFonts w:cs="Arial"/>
        </w:rPr>
        <w:t>puesto modificado al mes es de 3,082,143,682.38</w:t>
      </w:r>
      <w:r w:rsidRPr="00EC6A9E">
        <w:rPr>
          <w:rFonts w:cs="Arial"/>
        </w:rPr>
        <w:t xml:space="preserve"> y se ha ejercido al mes que se analiza la cantidad de </w:t>
      </w:r>
      <w:r>
        <w:rPr>
          <w:rFonts w:cs="Arial"/>
        </w:rPr>
        <w:t>2,105,316,283.06</w:t>
      </w:r>
      <w:r w:rsidRPr="00EC6A9E">
        <w:rPr>
          <w:rFonts w:cs="Arial"/>
        </w:rPr>
        <w:t xml:space="preserve">, por lo tanto, se observa una variación absoluta contra el presupuesto modificado autorizado de </w:t>
      </w:r>
      <w:r>
        <w:rPr>
          <w:rFonts w:cs="Arial"/>
        </w:rPr>
        <w:t>976,827,399.32</w:t>
      </w:r>
      <w:r w:rsidRPr="00EC6A9E">
        <w:rPr>
          <w:rFonts w:cs="Arial"/>
        </w:rPr>
        <w:t>,</w:t>
      </w:r>
      <w:r>
        <w:rPr>
          <w:rFonts w:cs="Arial"/>
        </w:rPr>
        <w:t xml:space="preserve"> que representa el 135 por ciento,</w:t>
      </w:r>
      <w:r w:rsidRPr="00EC6A9E">
        <w:rPr>
          <w:rFonts w:cs="Arial"/>
        </w:rPr>
        <w:t xml:space="preserve"> principalmente por lo siguiente:</w:t>
      </w:r>
    </w:p>
    <w:p w14:paraId="30184D1C" w14:textId="77777777" w:rsidR="00AE0682" w:rsidRDefault="00AE0682" w:rsidP="00AE0682">
      <w:pPr>
        <w:spacing w:line="276" w:lineRule="auto"/>
        <w:ind w:right="-1"/>
        <w:jc w:val="both"/>
        <w:rPr>
          <w:rFonts w:cs="Arial"/>
        </w:rPr>
      </w:pPr>
      <w:r w:rsidRPr="009E6C86">
        <w:rPr>
          <w:rFonts w:cs="Arial"/>
          <w:b/>
        </w:rPr>
        <w:t>En el Capítulo 1000 “Servicios Personales</w:t>
      </w:r>
      <w:r w:rsidRPr="009E6C86">
        <w:rPr>
          <w:rFonts w:cs="Arial"/>
        </w:rPr>
        <w:t>”.</w:t>
      </w:r>
      <w:r w:rsidRPr="009E6C86">
        <w:rPr>
          <w:rFonts w:cs="Arial"/>
          <w:b/>
        </w:rPr>
        <w:t xml:space="preserve"> –</w:t>
      </w:r>
      <w:r w:rsidRPr="009E6C86">
        <w:rPr>
          <w:rFonts w:cs="Arial"/>
        </w:rPr>
        <w:t xml:space="preserve"> </w:t>
      </w:r>
      <w:r>
        <w:rPr>
          <w:rFonts w:cs="Arial"/>
        </w:rPr>
        <w:t>La variación relativa es del 3.0</w:t>
      </w:r>
      <w:r w:rsidRPr="009E6C86">
        <w:rPr>
          <w:rFonts w:cs="Arial"/>
        </w:rPr>
        <w:t xml:space="preserve"> por ciento y </w:t>
      </w:r>
      <w:r w:rsidRPr="000B7170">
        <w:rPr>
          <w:rFonts w:cs="Arial"/>
        </w:rPr>
        <w:t>obedece a los movimientos de personal por bajas de servidores públicos, ya sea por liquidaciones, finiquitos y juicios laborales, cuyas plazas se encontraban presupuestadas con el rango máximo, adicionalmente a que el presupuesto autorizado por la Secretaría de Finanzas es superior al Costo de la Plantilla</w:t>
      </w:r>
      <w:r>
        <w:rPr>
          <w:rFonts w:cs="Arial"/>
        </w:rPr>
        <w:t xml:space="preserve"> de Personal</w:t>
      </w:r>
      <w:r w:rsidRPr="000B7170">
        <w:rPr>
          <w:rFonts w:cs="Arial"/>
        </w:rPr>
        <w:t xml:space="preserve"> de este Instituto y por consiguiente impacta en el subejercicio acumulado.</w:t>
      </w:r>
    </w:p>
    <w:p w14:paraId="2F5308C2" w14:textId="77777777" w:rsidR="00AE0682" w:rsidRDefault="00AE0682" w:rsidP="00AE0682">
      <w:pPr>
        <w:spacing w:line="276" w:lineRule="auto"/>
        <w:ind w:right="-1"/>
        <w:jc w:val="both"/>
        <w:rPr>
          <w:rFonts w:cs="Arial"/>
          <w:b/>
        </w:rPr>
      </w:pPr>
    </w:p>
    <w:p w14:paraId="1F83CF4C" w14:textId="77777777" w:rsidR="00AE0682" w:rsidRPr="009C070A" w:rsidRDefault="00AE0682" w:rsidP="00AE0682">
      <w:pPr>
        <w:spacing w:line="276" w:lineRule="auto"/>
        <w:ind w:right="-1"/>
        <w:jc w:val="both"/>
        <w:rPr>
          <w:rFonts w:cs="Arial"/>
        </w:rPr>
      </w:pPr>
      <w:r w:rsidRPr="009E6C86">
        <w:rPr>
          <w:rFonts w:cs="Arial"/>
          <w:b/>
        </w:rPr>
        <w:t>En el Capítulo 2000 “Materiales y Suministros”.-</w:t>
      </w:r>
      <w:r>
        <w:rPr>
          <w:rFonts w:cs="Arial"/>
        </w:rPr>
        <w:t xml:space="preserve"> La variación relativa es del 17</w:t>
      </w:r>
      <w:r w:rsidRPr="009E6C86">
        <w:rPr>
          <w:rFonts w:cs="Arial"/>
        </w:rPr>
        <w:t xml:space="preserve"> por ciento, </w:t>
      </w:r>
      <w:r w:rsidRPr="009C070A">
        <w:rPr>
          <w:rFonts w:cs="Arial"/>
        </w:rPr>
        <w:t>obedece a que no se obtuvieron los dictámenes de procedencia de manera oportuna, lo cual imposibilitó la substanciación de los procedimientos para llevar a cabo la adquisición de diversos materiales y suministros que satisficieran las necesidades del Instituto. Así mismo, las adquisiciones que sí pudieron realizarse fueron substanciadas y contratadas a un menor precio de lo presupuestado, y por consiguiente impacta en el subejercicio acumulado, lo cual es considerada como un ahorro.</w:t>
      </w:r>
    </w:p>
    <w:p w14:paraId="1EB461C4" w14:textId="77777777" w:rsidR="00AE0682" w:rsidRDefault="00AE0682" w:rsidP="00AE0682">
      <w:pPr>
        <w:spacing w:line="276" w:lineRule="auto"/>
        <w:ind w:right="-1"/>
        <w:jc w:val="both"/>
        <w:rPr>
          <w:rFonts w:cs="Arial"/>
        </w:rPr>
      </w:pPr>
      <w:r w:rsidRPr="009C070A">
        <w:rPr>
          <w:rFonts w:cs="Arial"/>
        </w:rPr>
        <w:t xml:space="preserve">Adicional a lo anterior y derivado de la situación que impera nuestro país y el mundo, frente a la pandemia generada por el SARS-2 </w:t>
      </w:r>
      <w:proofErr w:type="spellStart"/>
      <w:r w:rsidRPr="009C070A">
        <w:rPr>
          <w:rFonts w:cs="Arial"/>
        </w:rPr>
        <w:t>Covid</w:t>
      </w:r>
      <w:proofErr w:type="spellEnd"/>
      <w:r w:rsidRPr="009C070A">
        <w:rPr>
          <w:rFonts w:cs="Arial"/>
        </w:rPr>
        <w:t xml:space="preserve"> 19, el Gobierno de México ha ordenado permanecer en casa (cuarentena) a efecto de evitar contagio y propagación de mayores casos de contracción del virus, generó una desaceleración del gasto público de este Instituto.</w:t>
      </w:r>
    </w:p>
    <w:p w14:paraId="091756CD" w14:textId="77777777" w:rsidR="00AE0682" w:rsidRPr="009C070A" w:rsidRDefault="00AE0682" w:rsidP="00AE0682">
      <w:pPr>
        <w:spacing w:line="276" w:lineRule="auto"/>
        <w:ind w:right="-1"/>
        <w:jc w:val="both"/>
        <w:rPr>
          <w:rFonts w:cs="Arial"/>
        </w:rPr>
      </w:pPr>
      <w:r w:rsidRPr="009E6C86">
        <w:rPr>
          <w:rFonts w:cs="Arial"/>
          <w:b/>
        </w:rPr>
        <w:t>En el Capítulo 3000 “Servicios Generales”. -</w:t>
      </w:r>
      <w:r w:rsidRPr="009E6C86">
        <w:rPr>
          <w:rFonts w:cs="Arial"/>
        </w:rPr>
        <w:t xml:space="preserve"> La variación </w:t>
      </w:r>
      <w:r>
        <w:rPr>
          <w:rFonts w:cs="Arial"/>
        </w:rPr>
        <w:t>relativa</w:t>
      </w:r>
      <w:r w:rsidRPr="009E6C86">
        <w:rPr>
          <w:rFonts w:cs="Arial"/>
        </w:rPr>
        <w:t xml:space="preserve"> es del </w:t>
      </w:r>
      <w:r>
        <w:rPr>
          <w:rFonts w:cs="Arial"/>
        </w:rPr>
        <w:t>28</w:t>
      </w:r>
      <w:r w:rsidRPr="009E6C86">
        <w:rPr>
          <w:rFonts w:cs="Arial"/>
        </w:rPr>
        <w:t xml:space="preserve"> por ciento, </w:t>
      </w:r>
      <w:r w:rsidRPr="009C070A">
        <w:rPr>
          <w:rFonts w:cs="Arial"/>
        </w:rPr>
        <w:t>obedece a que no se obtuvieron los dictámenes de procedencia de manera oportuna, lo cual imposibilitó la substanciación de los procedimientos para llevar a cabo la contratación de diversos servicios que satisficieran las necesidades del Instituto. Así mismo, las adquisiciones que sí pudieron realizarse fueron substanciadas y contratadas a un menor precio de lo presupuestado, y por consiguiente impacta en el subejercicio acumulado, lo cual es considerada como un ahorro.</w:t>
      </w:r>
    </w:p>
    <w:p w14:paraId="5F69AB98" w14:textId="77777777" w:rsidR="00AE0682" w:rsidRPr="009E6C86" w:rsidRDefault="00AE0682" w:rsidP="00AE0682">
      <w:pPr>
        <w:spacing w:line="276" w:lineRule="auto"/>
        <w:ind w:right="-1"/>
        <w:jc w:val="both"/>
        <w:rPr>
          <w:rFonts w:cs="Arial"/>
        </w:rPr>
      </w:pPr>
      <w:r w:rsidRPr="009C070A">
        <w:rPr>
          <w:rFonts w:cs="Arial"/>
        </w:rPr>
        <w:t xml:space="preserve">Adicional a lo anterior y derivado de la situación que impera nuestro país y el mundo, frente a la pandemia generada por el SARS-2 </w:t>
      </w:r>
      <w:proofErr w:type="spellStart"/>
      <w:r w:rsidRPr="009C070A">
        <w:rPr>
          <w:rFonts w:cs="Arial"/>
        </w:rPr>
        <w:t>Covid</w:t>
      </w:r>
      <w:proofErr w:type="spellEnd"/>
      <w:r w:rsidRPr="009C070A">
        <w:rPr>
          <w:rFonts w:cs="Arial"/>
        </w:rPr>
        <w:t xml:space="preserve"> 19, el Gobierno de México ha ordenado permanecer en casa (cuarentena) a efecto de evitar contagio y propagación de mayores casos de contracción del virus, generó una desaceleración del gasto público de este Instituto.</w:t>
      </w:r>
    </w:p>
    <w:p w14:paraId="73E8DE1A" w14:textId="77777777" w:rsidR="00AE0682" w:rsidRDefault="00AE0682" w:rsidP="00AE0682">
      <w:pPr>
        <w:spacing w:line="276" w:lineRule="auto"/>
        <w:ind w:right="-1"/>
        <w:jc w:val="both"/>
        <w:rPr>
          <w:rFonts w:cs="Arial"/>
        </w:rPr>
      </w:pPr>
      <w:r w:rsidRPr="009E6C86">
        <w:rPr>
          <w:rFonts w:cs="Arial"/>
          <w:b/>
        </w:rPr>
        <w:t xml:space="preserve">En el Capítulo 4000 “Transferencias, Asignaciones, Subsidios y Otras Ayudas”.- </w:t>
      </w:r>
      <w:r w:rsidRPr="009E6C86">
        <w:rPr>
          <w:rFonts w:cs="Arial"/>
        </w:rPr>
        <w:t xml:space="preserve">La variación </w:t>
      </w:r>
      <w:r>
        <w:rPr>
          <w:rFonts w:cs="Arial"/>
        </w:rPr>
        <w:t>relativa</w:t>
      </w:r>
      <w:r w:rsidRPr="009E6C86">
        <w:rPr>
          <w:rFonts w:cs="Arial"/>
        </w:rPr>
        <w:t xml:space="preserve"> es del </w:t>
      </w:r>
      <w:r>
        <w:rPr>
          <w:rFonts w:cs="Arial"/>
        </w:rPr>
        <w:t>50</w:t>
      </w:r>
      <w:r w:rsidRPr="009E6C86">
        <w:rPr>
          <w:rFonts w:cs="Arial"/>
        </w:rPr>
        <w:t xml:space="preserve"> por ciento, en el capítulo </w:t>
      </w:r>
      <w:r w:rsidRPr="00D47B7B">
        <w:rPr>
          <w:rFonts w:cs="Arial"/>
        </w:rPr>
        <w:t xml:space="preserve">“Transferencias, asignaciones, subsidios y otras ayudas”, </w:t>
      </w:r>
      <w:r w:rsidRPr="009C070A">
        <w:rPr>
          <w:rFonts w:cs="Arial"/>
        </w:rPr>
        <w:t>resulta de la diferencia entre los ingresos transferidos al Fiduciario durante el mes y el importe presupuestado para el concepto en cita, así como, de los recursos presupuestados para el registro contable – presupuestal de los remanentes que serían enviados al Gobierno del Estado de México, recursos que permanecen en las arcas de este Instituto, bajo el designio de apalancar el pago futuro y próximo de los bonos correspondientes a los certificados bursátiles fiduciarios series “A”, “B” y “C”, en el caso de que la fiduciaria “Nacional Financiera” así lo determine.</w:t>
      </w:r>
    </w:p>
    <w:p w14:paraId="479D7D43" w14:textId="77777777" w:rsidR="00AE0682" w:rsidRPr="009C070A" w:rsidRDefault="00AE0682" w:rsidP="00AE0682">
      <w:pPr>
        <w:spacing w:line="276" w:lineRule="auto"/>
        <w:ind w:right="-1"/>
        <w:jc w:val="both"/>
        <w:rPr>
          <w:rFonts w:cs="Arial"/>
        </w:rPr>
      </w:pPr>
      <w:r w:rsidRPr="009E6C86">
        <w:rPr>
          <w:rFonts w:cs="Arial"/>
          <w:b/>
        </w:rPr>
        <w:t xml:space="preserve">En el Capítulo 5000 “Bienes Muebles, Inmuebles e Intangibles”.- </w:t>
      </w:r>
      <w:r w:rsidRPr="009E6C86">
        <w:rPr>
          <w:rFonts w:cs="Arial"/>
        </w:rPr>
        <w:t xml:space="preserve">La variación </w:t>
      </w:r>
      <w:r>
        <w:rPr>
          <w:rFonts w:cs="Arial"/>
        </w:rPr>
        <w:t>relativa es del 35</w:t>
      </w:r>
      <w:r w:rsidRPr="009E6C86">
        <w:rPr>
          <w:rFonts w:cs="Arial"/>
        </w:rPr>
        <w:t xml:space="preserve"> por ciento, </w:t>
      </w:r>
      <w:r w:rsidRPr="009C070A">
        <w:rPr>
          <w:rFonts w:cs="Arial"/>
        </w:rPr>
        <w:t>obedece a que no se obtuvieron los dictámenes de procedencia de manera oportuna, lo cual imposibilitó la substanciación de los procedimientos para llevar a cabo la adquisición de infraestructura tecnológica que satisficieran las necesidades del Instituto. Así mismo, las adquisiciones que sí pudieron realizarse fueron substanciadas y contratadas a un menor precio de lo presupuestado, y por consiguiente impacta en el subejercicio acumulado, lo cual es considerada como un ahorro.</w:t>
      </w:r>
    </w:p>
    <w:p w14:paraId="7FDB49E1" w14:textId="77777777" w:rsidR="00AE0682" w:rsidRDefault="00AE0682" w:rsidP="00AE0682">
      <w:pPr>
        <w:spacing w:line="276" w:lineRule="auto"/>
        <w:ind w:right="-1"/>
        <w:jc w:val="both"/>
        <w:rPr>
          <w:rFonts w:cs="Arial"/>
        </w:rPr>
      </w:pPr>
      <w:r w:rsidRPr="009C070A">
        <w:rPr>
          <w:rFonts w:cs="Arial"/>
        </w:rPr>
        <w:t xml:space="preserve">Adicional a lo anterior y derivado de la situación que impera nuestro país y el mundo, frente a la pandemia generada por el SARS-2 </w:t>
      </w:r>
      <w:proofErr w:type="spellStart"/>
      <w:r w:rsidRPr="009C070A">
        <w:rPr>
          <w:rFonts w:cs="Arial"/>
        </w:rPr>
        <w:t>Covid</w:t>
      </w:r>
      <w:proofErr w:type="spellEnd"/>
      <w:r w:rsidRPr="009C070A">
        <w:rPr>
          <w:rFonts w:cs="Arial"/>
        </w:rPr>
        <w:t xml:space="preserve"> 19, el Gobierno de México ha ordenado permanecer en casa (cuarentena) a efecto de evitar contagio y propagación de mayores casos de contracción del virus, generó una desaceleración del gasto público de este Instituto.</w:t>
      </w:r>
    </w:p>
    <w:p w14:paraId="1AAE3513" w14:textId="77777777" w:rsidR="00AE0682" w:rsidRPr="008D7E53" w:rsidRDefault="00AE0682" w:rsidP="00AE0682">
      <w:pPr>
        <w:spacing w:line="276" w:lineRule="auto"/>
        <w:ind w:right="-1"/>
        <w:jc w:val="both"/>
      </w:pPr>
      <w:r w:rsidRPr="009E6C86">
        <w:rPr>
          <w:rFonts w:cs="Arial"/>
          <w:b/>
        </w:rPr>
        <w:t xml:space="preserve">En el Capítulo 9000 “Deuda Pública”.- </w:t>
      </w:r>
      <w:r>
        <w:rPr>
          <w:rFonts w:cs="Arial"/>
        </w:rPr>
        <w:t xml:space="preserve">La variación relativa es del 2 </w:t>
      </w:r>
      <w:r w:rsidRPr="009E6C86">
        <w:rPr>
          <w:rFonts w:cs="Arial"/>
        </w:rPr>
        <w:t xml:space="preserve">por ciento, en el capítulo de “Deuda Pública”, </w:t>
      </w:r>
      <w:r w:rsidRPr="009C070A">
        <w:rPr>
          <w:rFonts w:cs="Arial"/>
        </w:rPr>
        <w:t xml:space="preserve">deriva del remanente del pago de los cupones de los Certificados Bursátiles Fiduciarios Series “A”, “B” y "C" correspondiente al segundo semestre del año en curso, por lo que dicho subejercicio debe considerarse como una economía una vez cumplidas con las obligaciones </w:t>
      </w:r>
      <w:r>
        <w:rPr>
          <w:rFonts w:cs="Arial"/>
        </w:rPr>
        <w:t>c</w:t>
      </w:r>
      <w:r w:rsidRPr="009C070A">
        <w:rPr>
          <w:rFonts w:cs="Arial"/>
        </w:rPr>
        <w:t>ontractuales de</w:t>
      </w:r>
      <w:r>
        <w:rPr>
          <w:rFonts w:cs="Arial"/>
        </w:rPr>
        <w:t xml:space="preserve"> </w:t>
      </w:r>
      <w:r w:rsidRPr="009C070A">
        <w:rPr>
          <w:rFonts w:cs="Arial"/>
        </w:rPr>
        <w:t>l</w:t>
      </w:r>
      <w:r>
        <w:rPr>
          <w:rFonts w:cs="Arial"/>
        </w:rPr>
        <w:t>os</w:t>
      </w:r>
      <w:r w:rsidRPr="009C070A">
        <w:rPr>
          <w:rFonts w:cs="Arial"/>
        </w:rPr>
        <w:t xml:space="preserve"> </w:t>
      </w:r>
      <w:r>
        <w:rPr>
          <w:rFonts w:cs="Arial"/>
        </w:rPr>
        <w:t>F</w:t>
      </w:r>
      <w:r w:rsidRPr="009C070A">
        <w:rPr>
          <w:rFonts w:cs="Arial"/>
        </w:rPr>
        <w:t xml:space="preserve">ideicomisos </w:t>
      </w:r>
      <w:r>
        <w:rPr>
          <w:rFonts w:cs="Arial"/>
        </w:rPr>
        <w:t>I</w:t>
      </w:r>
      <w:r w:rsidRPr="009C070A">
        <w:rPr>
          <w:rFonts w:cs="Arial"/>
        </w:rPr>
        <w:t xml:space="preserve">rrevocables números 80615 y F/1426. Adicionalmente los remanentes derivados </w:t>
      </w:r>
      <w:proofErr w:type="spellStart"/>
      <w:r w:rsidRPr="009C070A">
        <w:rPr>
          <w:rFonts w:cs="Arial"/>
        </w:rPr>
        <w:t>dal</w:t>
      </w:r>
      <w:proofErr w:type="spellEnd"/>
      <w:r w:rsidRPr="009C070A">
        <w:rPr>
          <w:rFonts w:cs="Arial"/>
        </w:rPr>
        <w:t xml:space="preserve"> pago de </w:t>
      </w:r>
      <w:r w:rsidRPr="008F126C">
        <w:rPr>
          <w:rFonts w:cs="Arial"/>
        </w:rPr>
        <w:t xml:space="preserve">ADEFAS </w:t>
      </w:r>
      <w:r w:rsidRPr="009C070A">
        <w:rPr>
          <w:rFonts w:cs="Arial"/>
        </w:rPr>
        <w:t>que se consideran como economías, toda vez que algunos proveedores fueron sancionados por incumplimientos en los contratos y a la petición de la cancelación de dichos remanentes la Dirección General de Planeación y Gasto Público, determinó acceder de modo desfavorable sobre dicha adecuación presupuestal.</w:t>
      </w:r>
    </w:p>
    <w:p w14:paraId="2836E8F4" w14:textId="77777777" w:rsidR="00AE0682" w:rsidRPr="008D7E53" w:rsidRDefault="00AE0682" w:rsidP="00AE0682">
      <w:pPr>
        <w:spacing w:line="276" w:lineRule="auto"/>
        <w:ind w:right="-1"/>
        <w:jc w:val="both"/>
      </w:pPr>
    </w:p>
    <w:p w14:paraId="4BBAF97E" w14:textId="77777777" w:rsidR="008641A6" w:rsidRPr="008641A6" w:rsidRDefault="008641A6" w:rsidP="008641A6">
      <w:pPr>
        <w:numPr>
          <w:ilvl w:val="0"/>
          <w:numId w:val="5"/>
        </w:numPr>
        <w:tabs>
          <w:tab w:val="left" w:pos="3836"/>
        </w:tabs>
        <w:spacing w:after="0" w:line="276" w:lineRule="auto"/>
        <w:ind w:right="-1"/>
        <w:contextualSpacing/>
        <w:outlineLvl w:val="0"/>
        <w:rPr>
          <w:rFonts w:eastAsia="Times New Roman" w:cs="Arial"/>
          <w:b/>
          <w:lang w:eastAsia="es-MX"/>
        </w:rPr>
      </w:pPr>
      <w:r w:rsidRPr="008641A6">
        <w:rPr>
          <w:rFonts w:eastAsia="Times New Roman" w:cs="Arial"/>
          <w:b/>
          <w:lang w:eastAsia="es-MX"/>
        </w:rPr>
        <w:t>NOTAS DE GESTIÓN ADMINISTRATIVA</w:t>
      </w:r>
    </w:p>
    <w:p w14:paraId="5F022AFE" w14:textId="77777777" w:rsidR="008641A6" w:rsidRPr="008641A6" w:rsidRDefault="008641A6" w:rsidP="008641A6">
      <w:pPr>
        <w:tabs>
          <w:tab w:val="left" w:pos="3836"/>
        </w:tabs>
        <w:spacing w:after="0" w:line="276" w:lineRule="auto"/>
        <w:ind w:left="720" w:right="-1"/>
        <w:contextualSpacing/>
        <w:outlineLvl w:val="0"/>
        <w:rPr>
          <w:rFonts w:eastAsia="Times New Roman" w:cs="Arial"/>
          <w:b/>
          <w:lang w:eastAsia="es-MX"/>
        </w:rPr>
      </w:pPr>
    </w:p>
    <w:p w14:paraId="71383267" w14:textId="77777777" w:rsidR="008641A6" w:rsidRPr="008641A6" w:rsidRDefault="008641A6" w:rsidP="008641A6">
      <w:pPr>
        <w:spacing w:line="276" w:lineRule="auto"/>
        <w:ind w:right="-1"/>
        <w:jc w:val="both"/>
      </w:pPr>
      <w:r w:rsidRPr="008641A6">
        <w:t>El objetivo del presente documento es la revelación del contexto y de los aspectos económico-financieros más importantes que influyeron en las decisiones del período, y que se consideraron en la elaboración de los estados financieros para la mayor comprensión de los mismos y sus particularidades. Los Estados Financieros del IFREM, proveen de información financiera a los principales usuarios de la misma, a saber, al H. Congreso Local, Entes Fiscalizadores y a los ciudadanos.</w:t>
      </w:r>
    </w:p>
    <w:p w14:paraId="13F29B59" w14:textId="77777777" w:rsidR="008641A6" w:rsidRPr="008641A6" w:rsidRDefault="008641A6" w:rsidP="008641A6">
      <w:pPr>
        <w:spacing w:line="276" w:lineRule="auto"/>
        <w:ind w:right="-1"/>
        <w:jc w:val="both"/>
        <w:rPr>
          <w:sz w:val="2"/>
        </w:rPr>
      </w:pPr>
    </w:p>
    <w:p w14:paraId="5D3E579C" w14:textId="77777777" w:rsidR="008641A6" w:rsidRPr="008641A6" w:rsidRDefault="008641A6" w:rsidP="008641A6">
      <w:pPr>
        <w:spacing w:line="276" w:lineRule="auto"/>
        <w:ind w:right="-1"/>
        <w:jc w:val="both"/>
      </w:pPr>
      <w:r w:rsidRPr="008641A6">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3BB3D0F1" w14:textId="77777777" w:rsidR="008641A6" w:rsidRPr="008641A6" w:rsidRDefault="008641A6" w:rsidP="008641A6">
      <w:pPr>
        <w:numPr>
          <w:ilvl w:val="0"/>
          <w:numId w:val="9"/>
        </w:numPr>
        <w:spacing w:after="0" w:line="276" w:lineRule="auto"/>
        <w:ind w:left="851" w:right="-1"/>
        <w:contextualSpacing/>
        <w:rPr>
          <w:rFonts w:eastAsia="Times New Roman" w:cs="Arial"/>
          <w:b/>
          <w:lang w:eastAsia="es-MX"/>
        </w:rPr>
      </w:pPr>
      <w:r w:rsidRPr="008641A6">
        <w:rPr>
          <w:rFonts w:eastAsia="Times New Roman" w:cs="Times New Roman"/>
          <w:b/>
          <w:lang w:eastAsia="es-MX"/>
        </w:rPr>
        <w:t>Introducción</w:t>
      </w:r>
    </w:p>
    <w:p w14:paraId="7C637C26" w14:textId="77777777" w:rsidR="008641A6" w:rsidRPr="008641A6" w:rsidRDefault="008641A6" w:rsidP="008641A6">
      <w:pPr>
        <w:spacing w:before="240" w:line="276" w:lineRule="auto"/>
        <w:ind w:right="-1"/>
        <w:jc w:val="both"/>
      </w:pPr>
      <w:r w:rsidRPr="008641A6">
        <w:t>La dinámica de la Administración Pública Estatal hace necesario modernizar las estructuras de organización, a fin de dotarlas de mayor capacidad de respuesta en el desarrollo de los planes y programas de gobierno que garanticen la certeza y seguridad jurídica de los inmuebles.</w:t>
      </w:r>
    </w:p>
    <w:p w14:paraId="0F9EAC67" w14:textId="77777777" w:rsidR="008641A6" w:rsidRPr="008641A6" w:rsidRDefault="008641A6" w:rsidP="008641A6">
      <w:pPr>
        <w:spacing w:line="276" w:lineRule="auto"/>
        <w:ind w:right="-1"/>
        <w:jc w:val="both"/>
      </w:pPr>
      <w:r w:rsidRPr="008641A6">
        <w:t>En este sentido, la visión del Gobierno del Estado en la modernización del Registro Público de la Propiedad, es garantizar la publicidad de los derechos susceptibles de inscripción, otorgar mayor seguridad pública sobre la propiedad inmobiliaria y facilitar los trámites relacionados con la operación de predios, a fin de dar mayor fluidez a las operaciones del mercado inmobiliario, impulsar el uso de créditos hipotecarios y apoyar la competitividad y el crecimiento económico de la entidad.</w:t>
      </w:r>
    </w:p>
    <w:p w14:paraId="5548A2CA" w14:textId="77777777" w:rsidR="008641A6" w:rsidRPr="008641A6" w:rsidRDefault="008641A6" w:rsidP="008641A6">
      <w:pPr>
        <w:spacing w:line="276" w:lineRule="auto"/>
        <w:ind w:right="-1"/>
        <w:jc w:val="both"/>
      </w:pPr>
      <w:r w:rsidRPr="008641A6">
        <w:t>Con la modernización del Registro Público de la Propiedad se fortalece la soberanía del Estado de México y se afianzan los principios en los que esta institución funda y motiva su actividad dentro del quehacer público. Asimismo, se promueve la inversión, se fomenta la construcción y la adquisición de vivienda y, por ende, se fortalecen los cimientos para el crecimiento económico del Estado.</w:t>
      </w:r>
    </w:p>
    <w:p w14:paraId="5E9A0223" w14:textId="77777777" w:rsidR="008641A6" w:rsidRPr="008641A6" w:rsidRDefault="008641A6" w:rsidP="008641A6">
      <w:pPr>
        <w:spacing w:line="276" w:lineRule="auto"/>
        <w:ind w:right="-1"/>
        <w:jc w:val="both"/>
      </w:pPr>
      <w:r w:rsidRPr="008641A6">
        <w:t>El objetivo principal del Instituto es llevar a cabo la función registral del Estado de México en los términos de la Ley Registral para el Estado de México, Reglamento de la Ley Registral para el Estado de México, la Ley que crea este Organismo y su Reglamento Interior, así como en ordenamientos legales aplicables, en los cuales mandata que su objeto es de interés general, beneficio colectivo y para la prestación de un servicio público. Los Derechos por la prestación de los servicios se encuentran establecidos en la Ley de Ingresos del Estado de México para el ejercicio fiscal correspondiente, en el Código Financiero del Estado de México y Municipios.</w:t>
      </w:r>
    </w:p>
    <w:p w14:paraId="5550E1FD" w14:textId="77777777" w:rsidR="008641A6" w:rsidRPr="008641A6" w:rsidRDefault="008641A6" w:rsidP="008641A6">
      <w:pPr>
        <w:numPr>
          <w:ilvl w:val="0"/>
          <w:numId w:val="9"/>
        </w:numPr>
        <w:spacing w:after="0" w:line="276" w:lineRule="auto"/>
        <w:ind w:left="851" w:right="-1"/>
        <w:contextualSpacing/>
        <w:rPr>
          <w:rFonts w:eastAsia="Times New Roman" w:cs="Times New Roman"/>
          <w:b/>
          <w:lang w:eastAsia="es-MX"/>
        </w:rPr>
      </w:pPr>
      <w:r w:rsidRPr="008641A6">
        <w:rPr>
          <w:rFonts w:eastAsia="Times New Roman" w:cs="Times New Roman"/>
          <w:b/>
          <w:lang w:eastAsia="es-MX"/>
        </w:rPr>
        <w:t>Panorama Económico y Financiero</w:t>
      </w:r>
    </w:p>
    <w:p w14:paraId="1AFA889F" w14:textId="77777777" w:rsidR="008641A6" w:rsidRPr="008641A6" w:rsidRDefault="008641A6" w:rsidP="008641A6">
      <w:pPr>
        <w:spacing w:after="0" w:line="276" w:lineRule="auto"/>
        <w:ind w:left="851" w:right="-1"/>
        <w:contextualSpacing/>
        <w:rPr>
          <w:rFonts w:eastAsia="Times New Roman" w:cs="Times New Roman"/>
          <w:b/>
          <w:lang w:eastAsia="es-MX"/>
        </w:rPr>
      </w:pPr>
    </w:p>
    <w:p w14:paraId="1857E9D8" w14:textId="77777777" w:rsidR="007C701B" w:rsidRDefault="008641A6" w:rsidP="007C701B">
      <w:pPr>
        <w:spacing w:after="101" w:line="276" w:lineRule="auto"/>
        <w:ind w:right="-1"/>
        <w:jc w:val="both"/>
        <w:rPr>
          <w:rFonts w:eastAsia="Times New Roman" w:cs="Arial"/>
          <w:lang w:val="es-ES" w:eastAsia="es-ES"/>
        </w:rPr>
      </w:pPr>
      <w:r w:rsidRPr="008641A6">
        <w:rPr>
          <w:rFonts w:eastAsia="Times New Roman" w:cs="Arial"/>
          <w:lang w:val="es-ES" w:eastAsia="es-ES"/>
        </w:rPr>
        <w:t>Se informa sobre las principales condiciones económico-financieras bajo las cuales el Instituto de la Función Registral del Estado de México estuvo operando; las cuales influyeron en la toma de decisiones de la administración pública.</w:t>
      </w:r>
    </w:p>
    <w:p w14:paraId="7FB2D224" w14:textId="77777777" w:rsidR="008641A6" w:rsidRPr="007F69A9" w:rsidRDefault="008641A6" w:rsidP="004B276F">
      <w:pPr>
        <w:numPr>
          <w:ilvl w:val="0"/>
          <w:numId w:val="9"/>
        </w:numPr>
        <w:spacing w:after="0" w:line="276" w:lineRule="auto"/>
        <w:ind w:left="851" w:right="-1"/>
        <w:contextualSpacing/>
        <w:rPr>
          <w:rFonts w:eastAsia="Times New Roman" w:cs="Times New Roman"/>
          <w:b/>
          <w:lang w:eastAsia="es-MX"/>
        </w:rPr>
      </w:pPr>
      <w:r w:rsidRPr="007F69A9">
        <w:rPr>
          <w:rFonts w:eastAsia="Times New Roman" w:cs="Times New Roman"/>
          <w:b/>
          <w:lang w:eastAsia="es-MX"/>
        </w:rPr>
        <w:t>Autorización e Historia</w:t>
      </w:r>
    </w:p>
    <w:p w14:paraId="0A34A4A5" w14:textId="77777777" w:rsidR="008641A6" w:rsidRPr="008641A6" w:rsidRDefault="008641A6" w:rsidP="008641A6">
      <w:pPr>
        <w:spacing w:after="0" w:line="276" w:lineRule="auto"/>
        <w:ind w:right="-1"/>
        <w:contextualSpacing/>
        <w:rPr>
          <w:rFonts w:eastAsia="Times New Roman" w:cs="Times New Roman"/>
          <w:b/>
          <w:sz w:val="10"/>
          <w:lang w:eastAsia="es-MX"/>
        </w:rPr>
      </w:pPr>
    </w:p>
    <w:p w14:paraId="209D0145" w14:textId="77777777" w:rsidR="008641A6" w:rsidRPr="008641A6" w:rsidRDefault="008641A6" w:rsidP="008641A6">
      <w:pPr>
        <w:spacing w:line="276" w:lineRule="auto"/>
        <w:ind w:right="-1"/>
        <w:jc w:val="both"/>
      </w:pPr>
      <w:r w:rsidRPr="008641A6">
        <w:t>El 3 de diciembre de 2007 se publicó en el periódico oficial "Gaceta del Gobierno", el Decreto No. 90 de la "LVI" Legislatura del Estado de México, mediante el cual se expide la Ley que crea el Organismo Público Descentralizado denominado Instituto de la Función Registral del Estado de México, con personalidad jurídica y patrimonio propios, sectorizado a la Secretaria General de Gobierno, el cual tenía por objeto llevar a cabo la función registral del Estado de México en los términos del Código Civil del Estado de México, del Reglamento del Registro Público de la Propiedad del Estado de México, de su Reglamento Interior, y demás ordenamientos legales aplicables.</w:t>
      </w:r>
    </w:p>
    <w:p w14:paraId="424677CD" w14:textId="77777777" w:rsidR="008641A6" w:rsidRPr="008641A6" w:rsidRDefault="008641A6" w:rsidP="008641A6">
      <w:pPr>
        <w:spacing w:line="276" w:lineRule="auto"/>
        <w:ind w:right="-1"/>
        <w:jc w:val="both"/>
      </w:pPr>
      <w:r w:rsidRPr="008641A6">
        <w:t>Cabe señalar que hasta diciembre de 2007 la función registral era atendida por la Dirección General del Registro Público de la Propiedad, adscrita a la Secretaría General de Gobierno; sin embargo, con la entrada en vigor, el 2 de enero de 2008, de la Ley que Crea el Instituto de la Función Registral del Estado de México, los recursos humanos, materiales y financieros con los que venía operando esa unidad administrativa fueron transferidos al citado organismo descentralizado.</w:t>
      </w:r>
    </w:p>
    <w:p w14:paraId="246ED51B" w14:textId="77777777" w:rsidR="008641A6" w:rsidRPr="008641A6" w:rsidRDefault="008641A6" w:rsidP="008641A6">
      <w:pPr>
        <w:spacing w:line="276" w:lineRule="auto"/>
        <w:ind w:right="-1"/>
        <w:jc w:val="both"/>
      </w:pPr>
      <w:r w:rsidRPr="008641A6">
        <w:t>Asimismo, se subrogaron al Instituto de la Función Registral del Estado de México, los derechos y obligaciones de la Dirección General del Registro Público de la Propiedad de la Secretaría General de Gobierno.</w:t>
      </w:r>
    </w:p>
    <w:p w14:paraId="4AF23A49" w14:textId="77777777" w:rsidR="008641A6" w:rsidRPr="008641A6" w:rsidRDefault="008641A6" w:rsidP="008641A6">
      <w:pPr>
        <w:spacing w:line="276" w:lineRule="auto"/>
        <w:ind w:right="-1"/>
        <w:jc w:val="both"/>
      </w:pPr>
      <w:r w:rsidRPr="008641A6">
        <w:t>A fin de dar cumplimiento al objeto y atribuciones conferidas al Instituto de la Función Registral del Estado de México, establecidas en su ley de creación, y con el propósito de fortalecer al organismo, la Secretaría de Finanzas autorizó su estructura de organización en abril de 2008, la cual se integró por 31 unidades administrativas (una dirección general, cuatro unidades staff, tres direcciones de área, ocho subdirecciones y 15 departamentos), así como 19 unidades administrativas desconcentradas (Oficinas Regístrales).</w:t>
      </w:r>
    </w:p>
    <w:p w14:paraId="49B2D551" w14:textId="77777777" w:rsidR="008641A6" w:rsidRPr="008641A6" w:rsidRDefault="008641A6" w:rsidP="008641A6">
      <w:pPr>
        <w:spacing w:line="276" w:lineRule="auto"/>
        <w:ind w:right="-1"/>
        <w:jc w:val="both"/>
      </w:pPr>
      <w:r w:rsidRPr="008641A6">
        <w:t>El 3 de abril de 2008 fue publicado en el periódico oficial "Gaceta del Gobierno" el Reglamento Interior del Instituto de la Función Registral del Estado de México, el cual definió el ámbito de competencia de sus unidades administrativas básicas y estableció la distribución del trabajo para dar cumplimiento a su objeto.</w:t>
      </w:r>
    </w:p>
    <w:p w14:paraId="6CAE533F" w14:textId="77777777" w:rsidR="008641A6" w:rsidRPr="008641A6" w:rsidRDefault="008641A6" w:rsidP="008641A6">
      <w:pPr>
        <w:spacing w:line="276" w:lineRule="auto"/>
        <w:ind w:right="-1"/>
        <w:jc w:val="both"/>
      </w:pPr>
      <w:r w:rsidRPr="008641A6">
        <w:t>Posteriormente, el 9 de enero de 2009 se publicó en el periódico oficial "Gaceta del Gobierno" el Acuerdo por el que se reforma el Reglamento Interior del Instituto de la Función Registral del Estado de México, con la finalidad de reubicar las Oficinas Registrales del Distrito Judicial de Tlalnepantla en aquellos municipios, que por sus características de desarrollo, impulso económico, población, servicios, tráfico inmobiliario, infraestructura y demás circunstancias, permitieran acercar los servicios que proporciona el Instituto a los lugares en los que se generaba una mayor demanda. Por ello, se modificaron las denominaciones de las Oficinas Registrales de Tlalnepantla I, por Tlalnepantla; Tlalnepantla II, por Naucalpan; y Tlalnepantla III, por Ecatepec, estableciendo en cada una de ellas la circunscripción territorial que les corresponde. El 19 de diciembre de 2012, se publicó en el periódico oficial "Gaceta del Gobierno" el Decreto mediante el cual, se creó la Consejería Jurídica del Ejecutivo Estatal como la dependencia encargada de planear, programar, dirigir, resolver, controlar y evaluar las funciones del registro civil, del notariado, las relativas a la demarcación y conservación de los límites del Estado y sus municipios, de la función registral, de los asuntos religiosos, administración de la publicación del periódico oficial "Gaceta del Gobierno", las relativas al reconocimiento, promoción, atención y defensa, de los derechos humanos desde el Poder Ejecutivo, de información de los ordenamientos legales y de coordinarse con los responsables de las unidades de asuntos jurídicos de cada dependencia de la Administración Pública Estatal.</w:t>
      </w:r>
    </w:p>
    <w:p w14:paraId="76BC9B62" w14:textId="77777777" w:rsidR="008641A6" w:rsidRPr="008641A6" w:rsidRDefault="008641A6" w:rsidP="008641A6">
      <w:pPr>
        <w:spacing w:line="276" w:lineRule="auto"/>
        <w:ind w:right="-1"/>
        <w:jc w:val="both"/>
      </w:pPr>
      <w:r w:rsidRPr="008641A6">
        <w:t>Derivado de lo anterior, el 25 de febrero de 2013 se publicó en el periódico oficial "Gaceta del Gobierno" la reforma a los artículos 1, 5 en su fracción I; 11 en su fracción 1, y 12 en su fracción III de la Ley que Crea el Organismo Público Descentralizado denominado Instituto de la Función Registral del Estado de México, con la finalidad de re-sectorizar al citado organismo de la Secretaría General de Gobierno a la Consejería Jurídica del Ejecutivo Estatal.</w:t>
      </w:r>
    </w:p>
    <w:p w14:paraId="3CA1F66A" w14:textId="77777777" w:rsidR="008641A6" w:rsidRPr="008641A6" w:rsidRDefault="008641A6" w:rsidP="008641A6">
      <w:pPr>
        <w:spacing w:line="276" w:lineRule="auto"/>
        <w:ind w:right="-1"/>
        <w:jc w:val="both"/>
      </w:pPr>
      <w:r w:rsidRPr="008641A6">
        <w:t>El 16 de mayo de 2013, se publicó en el periódico oficial "Gaceta del Gobierno" el Acuerdo por el que se reforman y derogan diversas disposiciones del Reglamento Interior del Instituto de la Función Registral del Estado de México, con el objeto de adecuar su funcionamiento.</w:t>
      </w:r>
    </w:p>
    <w:p w14:paraId="2C770512" w14:textId="77777777" w:rsidR="008641A6" w:rsidRPr="008641A6" w:rsidRDefault="008641A6" w:rsidP="008641A6">
      <w:pPr>
        <w:spacing w:line="276" w:lineRule="auto"/>
        <w:ind w:right="-1"/>
        <w:jc w:val="both"/>
      </w:pPr>
      <w:r w:rsidRPr="008641A6">
        <w:t>El 13 de septiembre de 2017, se publicó en el periódico oficial "Gaceta del Gobierno" el Decreto No. 244 por el que se reforman diversas disposiciones, entre otras, la Ley que Crea el Organismo Público Descentralizado denominado Instituto de la Función Registral del Estado de México, con la finalidad, de transformar la Consejería Jurídica del Ejecutivo Estatal en la Secretaría de Justicia y Derechos Humanos, con la finalidad de diseñar y coordinar la política jurídica y de acceso a la justicia del Poder ejecutivo retomando las funciones de la Consejería Jurídica del Ejecutivo Estatal.</w:t>
      </w:r>
    </w:p>
    <w:p w14:paraId="6D0A3EBB" w14:textId="77777777" w:rsidR="008641A6" w:rsidRPr="008641A6" w:rsidRDefault="008641A6" w:rsidP="008641A6">
      <w:pPr>
        <w:spacing w:line="276" w:lineRule="auto"/>
        <w:ind w:left="360" w:right="-1"/>
        <w:jc w:val="both"/>
        <w:rPr>
          <w:b/>
        </w:rPr>
      </w:pPr>
      <w:r w:rsidRPr="008641A6">
        <w:rPr>
          <w:b/>
        </w:rPr>
        <w:t>4.</w:t>
      </w:r>
      <w:r w:rsidRPr="008641A6">
        <w:rPr>
          <w:b/>
        </w:rPr>
        <w:tab/>
        <w:t>Organización y Objeto Social</w:t>
      </w:r>
    </w:p>
    <w:p w14:paraId="3D1578CE" w14:textId="77777777" w:rsidR="008641A6" w:rsidRPr="008641A6" w:rsidRDefault="008641A6" w:rsidP="008641A6">
      <w:pPr>
        <w:spacing w:after="0" w:line="276" w:lineRule="auto"/>
        <w:ind w:right="-1"/>
        <w:jc w:val="both"/>
        <w:rPr>
          <w:rFonts w:eastAsia="Times New Roman" w:cs="Arial"/>
          <w:lang w:val="es-ES" w:eastAsia="es-ES"/>
        </w:rPr>
      </w:pPr>
      <w:r w:rsidRPr="008641A6">
        <w:rPr>
          <w:rFonts w:eastAsia="Times New Roman" w:cs="Arial"/>
          <w:lang w:val="es-ES" w:eastAsia="es-ES"/>
        </w:rPr>
        <w:t>La máxima autoridad del Instituto de la Función Registral del Estado de México, está a cargo del Consejo Directivo. La administración del Instituto de la Función Registral del Estado de México, está a cargo de un Director General, quien es nombrado y removido por el Gobernador del Estado a propuesta del Presidente del Consejo Directivo. Su objetivo es llevar a cabo la función registral del Estado de México en los términos de la Ley Registral para el Estado de México, Reglamento de la Ley Registral para el Estado de México y los Derechos por la prestación de los servicios se encuentran establecidos en la Ley de Ingresos del Estado de México para el ejercicio fiscal correspondiente, en el Código Financiero del Estado de México y Municipios, la Ley que crea este Organismo y su Reglamento Interior, así como en ordenamientos legales aplicables, su objeto es de interés general, beneficio colectivo y para la prestación de un servicio público.</w:t>
      </w:r>
    </w:p>
    <w:p w14:paraId="7BC84DD3" w14:textId="77777777" w:rsidR="008641A6" w:rsidRPr="008641A6" w:rsidRDefault="008641A6" w:rsidP="008641A6">
      <w:pPr>
        <w:spacing w:line="276" w:lineRule="auto"/>
        <w:ind w:right="-1"/>
        <w:jc w:val="both"/>
      </w:pPr>
      <w:r w:rsidRPr="008641A6">
        <w:t xml:space="preserve">Actualmente, el Instituto de la Función Registral del Estado de México cuenta con una estructura orgánica autorizada por la Secretaría de Finanzas en mayo de 2013 integrada por 50 unidades administrativas (una Dirección General, cinco Direcciones de Área, nueve Subdirecciones y 35 Departamentos). El organigrama se puede consultar en la siguiente liga: </w:t>
      </w:r>
      <w:hyperlink r:id="rId22" w:history="1">
        <w:r w:rsidRPr="008641A6">
          <w:rPr>
            <w:color w:val="0000FF"/>
            <w:u w:val="single"/>
          </w:rPr>
          <w:t>http://ifrem.edomex.gob.mx/organigrama</w:t>
        </w:r>
      </w:hyperlink>
      <w:r w:rsidRPr="008641A6">
        <w:t>.</w:t>
      </w:r>
    </w:p>
    <w:p w14:paraId="4E5E936F" w14:textId="77777777" w:rsidR="008641A6" w:rsidRPr="008641A6" w:rsidRDefault="008641A6" w:rsidP="00AE0682">
      <w:pPr>
        <w:spacing w:line="276" w:lineRule="auto"/>
        <w:ind w:right="-1"/>
        <w:jc w:val="both"/>
        <w:rPr>
          <w:rFonts w:eastAsia="Times New Roman" w:cs="Arial"/>
          <w:lang w:val="es-ES" w:eastAsia="es-ES"/>
        </w:rPr>
      </w:pPr>
      <w:r w:rsidRPr="008641A6">
        <w:t xml:space="preserve"> </w:t>
      </w:r>
      <w:r w:rsidRPr="008641A6">
        <w:rPr>
          <w:rFonts w:eastAsia="Times New Roman" w:cs="Arial"/>
          <w:lang w:val="es-ES" w:eastAsia="es-ES"/>
        </w:rPr>
        <w:t>El Instituto,</w:t>
      </w:r>
      <w:r w:rsidRPr="008641A6">
        <w:rPr>
          <w:rFonts w:eastAsia="Times New Roman" w:cs="CenturyGothic"/>
          <w:lang w:val="es-ES" w:eastAsia="es-ES"/>
        </w:rPr>
        <w:t xml:space="preserve"> p</w:t>
      </w:r>
      <w:r w:rsidRPr="008641A6">
        <w:rPr>
          <w:rFonts w:eastAsia="Times New Roman" w:cs="Arial"/>
          <w:lang w:val="es-ES" w:eastAsia="es-ES"/>
        </w:rPr>
        <w:t>ara el cumplimiento de su objeto, tendrá las atribuciones que se mencionan en su Decreto de creación publicado en el periódico oficial Gaceta del Gobierno.</w:t>
      </w:r>
    </w:p>
    <w:p w14:paraId="1D4AE5DD" w14:textId="43FAA44E" w:rsidR="008641A6" w:rsidRPr="008641A6" w:rsidRDefault="00AB4DBC" w:rsidP="00AE0682">
      <w:pPr>
        <w:spacing w:line="259" w:lineRule="auto"/>
        <w:jc w:val="both"/>
        <w:rPr>
          <w:rFonts w:eastAsia="Times New Roman" w:cs="Arial"/>
          <w:lang w:val="es-ES" w:eastAsia="es-ES"/>
        </w:rPr>
      </w:pPr>
      <w:r w:rsidRPr="00AB4DBC">
        <w:rPr>
          <w:rFonts w:eastAsia="Times New Roman" w:cs="Arial"/>
          <w:lang w:val="es-ES" w:eastAsia="es-ES"/>
        </w:rPr>
        <w:t>El Manual Único de Contabilidad Gubernamental para las Dependencias y Entidades Públicas del Gobierno y Municipios del Estado de México no considera provisiones para contingencias por las eventuales indemnizaciones y compensaciones que tenga que pagar a su personal incluso a favor de terceros, como lo indican los lineamientos establecidos por la NIF D-3 “Beneficios a los empleados”.  El Instituto como patrón sustituto del personal que laboró hasta el 31 de diciembre de 2007, en la Dirección de Registro Público de la Propiedad y del Comercio asumió los derechos laborales devengados de los trabajadores contratados y del personal, sin embargo, por así  sugerirlo el Despacho de Auditores Externos, la administración del Instituto estima que de presentarse esta obligación al 31 de diciembre de 2020 el pasivo ascendería a $118 millones.</w:t>
      </w:r>
    </w:p>
    <w:p w14:paraId="5D610F46" w14:textId="77777777" w:rsidR="008641A6" w:rsidRPr="008641A6" w:rsidRDefault="008641A6" w:rsidP="008641A6">
      <w:pPr>
        <w:numPr>
          <w:ilvl w:val="0"/>
          <w:numId w:val="10"/>
        </w:numPr>
        <w:spacing w:after="240" w:line="276" w:lineRule="auto"/>
        <w:ind w:right="-1"/>
        <w:contextualSpacing/>
        <w:jc w:val="both"/>
        <w:rPr>
          <w:rFonts w:eastAsia="Times New Roman" w:cs="Times New Roman"/>
          <w:lang w:eastAsia="es-MX"/>
        </w:rPr>
      </w:pPr>
      <w:r w:rsidRPr="008641A6">
        <w:rPr>
          <w:rFonts w:eastAsia="Times New Roman" w:cs="Times New Roman"/>
          <w:b/>
          <w:lang w:eastAsia="es-MX"/>
        </w:rPr>
        <w:t>Bases de preparación de los Estados Financieros</w:t>
      </w:r>
    </w:p>
    <w:p w14:paraId="6F93CEE9" w14:textId="77777777" w:rsidR="008641A6" w:rsidRPr="008641A6" w:rsidRDefault="008641A6" w:rsidP="008641A6">
      <w:pPr>
        <w:spacing w:after="240" w:line="276" w:lineRule="auto"/>
        <w:ind w:left="284" w:right="-1"/>
        <w:contextualSpacing/>
        <w:jc w:val="both"/>
        <w:rPr>
          <w:rFonts w:eastAsia="Times New Roman" w:cs="Times New Roman"/>
          <w:sz w:val="6"/>
          <w:lang w:eastAsia="es-MX"/>
        </w:rPr>
      </w:pPr>
    </w:p>
    <w:p w14:paraId="1475C2B9" w14:textId="1C2B2828" w:rsidR="008641A6" w:rsidRPr="008641A6" w:rsidRDefault="008641A6" w:rsidP="008641A6">
      <w:pPr>
        <w:spacing w:after="101" w:line="276" w:lineRule="auto"/>
        <w:ind w:right="-1"/>
        <w:jc w:val="both"/>
        <w:rPr>
          <w:rFonts w:eastAsia="Times New Roman" w:cs="Arial"/>
          <w:lang w:val="es-ES" w:eastAsia="es-ES"/>
        </w:rPr>
      </w:pPr>
      <w:r w:rsidRPr="008641A6">
        <w:rPr>
          <w:rFonts w:eastAsia="Times New Roman" w:cs="Arial"/>
          <w:lang w:val="es-ES" w:eastAsia="es-ES"/>
        </w:rPr>
        <w:t xml:space="preserve">Los Estados Financieros que se acompañan, fueron preparados observando la normatividad emitida por el CONAC y las disposiciones legales aplicables, con base en el Manual Único de Contabilidad Gubernamental para las Dependencias y Entidades del Gobierno y Municipios del Estado de México, </w:t>
      </w:r>
      <w:r w:rsidR="002647BE">
        <w:rPr>
          <w:rFonts w:eastAsia="Times New Roman" w:cs="Arial"/>
          <w:lang w:val="es-ES" w:eastAsia="es-ES"/>
        </w:rPr>
        <w:t>vigente</w:t>
      </w:r>
      <w:r w:rsidRPr="008641A6">
        <w:rPr>
          <w:rFonts w:eastAsia="Times New Roman" w:cs="Arial"/>
          <w:lang w:val="es-ES" w:eastAsia="es-ES"/>
        </w:rPr>
        <w:t xml:space="preserve"> para el presente ejercicio fiscal, aplicable a los Organismos Auxiliares del Gobierno del Estado de México, para efectos de la Ley para la Coordinación y Control de Organismos Auxiliares.</w:t>
      </w:r>
    </w:p>
    <w:p w14:paraId="04BBF346" w14:textId="77777777" w:rsidR="008641A6" w:rsidRPr="008641A6" w:rsidRDefault="008641A6" w:rsidP="008641A6">
      <w:pPr>
        <w:spacing w:line="276" w:lineRule="auto"/>
        <w:ind w:right="-1"/>
        <w:jc w:val="both"/>
      </w:pPr>
      <w:r w:rsidRPr="008641A6">
        <w:t xml:space="preserve">Con base en dicho manual en este ejercicio se han realizado las </w:t>
      </w:r>
      <w:r w:rsidRPr="008641A6">
        <w:rPr>
          <w:rFonts w:eastAsia="Times New Roman" w:cs="Arial"/>
          <w:lang w:val="es-ES" w:eastAsia="es-ES"/>
        </w:rPr>
        <w:t>adecuaciones</w:t>
      </w:r>
      <w:r w:rsidRPr="008641A6">
        <w:t xml:space="preserve"> de presentación necesarias para estas notas. Así mismo </w:t>
      </w:r>
      <w:r w:rsidRPr="008641A6">
        <w:rPr>
          <w:rFonts w:cs="Arial"/>
          <w:lang w:eastAsia="es-MX"/>
        </w:rPr>
        <w:t>la información se elaboró conforme a las normas, criterios y principios técnicos y las disposiciones legales aplicables, obedeciendo a las mejores prácticas contables,</w:t>
      </w:r>
      <w:r w:rsidRPr="008641A6">
        <w:t xml:space="preserve"> se incluye lo correspondiente a las normas y lineamientos </w:t>
      </w:r>
      <w:r w:rsidRPr="008641A6">
        <w:rPr>
          <w:rFonts w:cs="Arial"/>
          <w:lang w:eastAsia="es-MX"/>
        </w:rPr>
        <w:t xml:space="preserve">emitidos por </w:t>
      </w:r>
      <w:r w:rsidRPr="008641A6">
        <w:t>el Consejo Nacional de Armonización Contable (CONAC)</w:t>
      </w:r>
      <w:r w:rsidRPr="008641A6">
        <w:rPr>
          <w:rFonts w:cs="Arial"/>
          <w:lang w:eastAsia="es-MX"/>
        </w:rPr>
        <w:t>;</w:t>
      </w:r>
      <w:r w:rsidRPr="008641A6">
        <w:t xml:space="preserve"> publicados el 13 de octubre de 2014, en el periódico oficial del Gobierno del Estado de México, denominado “Gaceta del Gobierno”.</w:t>
      </w:r>
    </w:p>
    <w:p w14:paraId="39708385" w14:textId="77777777" w:rsidR="008641A6" w:rsidRPr="008641A6" w:rsidRDefault="008641A6" w:rsidP="008641A6">
      <w:pPr>
        <w:autoSpaceDE w:val="0"/>
        <w:autoSpaceDN w:val="0"/>
        <w:adjustRightInd w:val="0"/>
        <w:spacing w:line="276" w:lineRule="auto"/>
        <w:ind w:right="-1"/>
        <w:jc w:val="both"/>
      </w:pPr>
      <w:r w:rsidRPr="008641A6">
        <w:t>El 24 de abril de 2016 se publicó en el Diario Oficial de la Federación la Ley de Disciplina Financiera de las Entidades Federativas y los Municipios, cuyo objeto es establecer los criterios generales de responsabilidad hacendaria y financiera que regirán a las Entidades Federativas y los Municipios, así como a sus respectivos Entes Públicos, para un manejo sostenible de sus finanzas públicas, en donde el IFREM se sujetará a lo que dispone y administrará sus recursos con base en los principios de legalidad, honestidad, eficacia, eficiencia, economía, racionalidad, austeridad, transparencia, control y rendición de cuentas.</w:t>
      </w:r>
    </w:p>
    <w:p w14:paraId="2C725CE9" w14:textId="77777777" w:rsidR="008641A6" w:rsidRPr="008641A6" w:rsidRDefault="008641A6" w:rsidP="008641A6">
      <w:pPr>
        <w:autoSpaceDE w:val="0"/>
        <w:autoSpaceDN w:val="0"/>
        <w:adjustRightInd w:val="0"/>
        <w:spacing w:line="276" w:lineRule="auto"/>
        <w:ind w:right="-1"/>
        <w:jc w:val="both"/>
        <w:rPr>
          <w:b/>
          <w:bCs/>
        </w:rPr>
      </w:pPr>
      <w:r w:rsidRPr="008641A6">
        <w:t>El 26 de octubre de 2018, el Consejo Nacional de Armonización Contable con fundamento en los artículos 6, 7, 9 y 14 de la Ley General de Contabilidad Gubernamental, aprobó los siguientes: “</w:t>
      </w:r>
      <w:r w:rsidRPr="008641A6">
        <w:rPr>
          <w:b/>
          <w:bCs/>
        </w:rPr>
        <w:t xml:space="preserve">Acuerdo por el que se reforman y adicionan las Normas y Metodología para la Determinación de los Momentos Contables de los Ingresos”, </w:t>
      </w:r>
      <w:r w:rsidRPr="008641A6">
        <w:rPr>
          <w:bCs/>
        </w:rPr>
        <w:t>así como</w:t>
      </w:r>
      <w:r w:rsidRPr="008641A6">
        <w:rPr>
          <w:b/>
          <w:bCs/>
        </w:rPr>
        <w:t xml:space="preserve">; el Acuerdo por el que se reforma y adiciona el Manual de Contabilidad Gubernamental. </w:t>
      </w:r>
      <w:r w:rsidRPr="008641A6">
        <w:rPr>
          <w:b/>
          <w:bCs/>
          <w:i/>
          <w:sz w:val="22"/>
        </w:rPr>
        <w:t>“</w:t>
      </w:r>
      <w:r w:rsidRPr="008641A6">
        <w:rPr>
          <w:i/>
          <w:sz w:val="18"/>
          <w:szCs w:val="16"/>
        </w:rPr>
        <w:t>En el Manual de Contabilidad Gubernamental se modifica todo lo relacionado al Ingreso, en el Capítulo III Plan de Cuentas, reformas y adiciones en los apartados “Estructura del Plan de Cuentas”, “Contenido del Plan de Cuentas” y “Definiciones del Plan de Cuentas” relacionadas con el Genero 4000 Ingresos y Otros Beneficios; en el Capítulo V Modelo de Asientos para el Registro Contable, reformas y adiciones en modelos de asientos y registros relacionadas con el Ingreso; en el Capítulo VI Guías Contabilizadoras, reformas y adiciones en guías contabilizadoras y registros contables y presupuestarios relacionadas con el Ingreso; en el Capítulo VII De los Estados e Informes Contables, Presupuestarios, Programáticos y de los Indicadores de Postura Fiscal, reformas y adiciones en el “Estado de Actividades”, en el “Estado de Flujos de Efectivo”, en “Notas a los Estados Financieros” y en el “Estado Analítico de Ingresos” relacionadas con el Ingreso; en el Anexo I Matrices de Conversión, reformas y adiciones en tipos y cuentas relacionadas con el Ingreso en las matrices “B.1 Matriz Ingresos Devengados” y “B.2 Matriz Ingresos Recaudados”, así como reforma de la matriz “B.2.2 Matriz de recaudado de ingresos sin devengado previo de ingresos” por la matriz “B.3 Matriz de Ingresos Devengados y Recaudados Simultáneos”; y adición de consideración en el punto 4 en “Notas a los Estados Financieros” en apartado b) NOTAS DE MEMORIA (CUENTAS DE ORDEN) y reforma segundo párrafo de la Finalidad del “Estado Analítico de Ingresos”, respecto al avance que se registra en las cuentas de orden presupuestarias previo al cierre presupuestario de cada periodo que se reporte”:</w:t>
      </w:r>
      <w:r w:rsidRPr="008641A6">
        <w:rPr>
          <w:b/>
          <w:bCs/>
        </w:rPr>
        <w:t>“</w:t>
      </w:r>
    </w:p>
    <w:p w14:paraId="222D1569" w14:textId="77777777" w:rsidR="002E6B08" w:rsidRDefault="008641A6" w:rsidP="002E6B08">
      <w:pPr>
        <w:autoSpaceDE w:val="0"/>
        <w:autoSpaceDN w:val="0"/>
        <w:adjustRightInd w:val="0"/>
        <w:spacing w:line="276" w:lineRule="auto"/>
        <w:ind w:right="-1"/>
        <w:jc w:val="both"/>
        <w:rPr>
          <w:i/>
          <w:sz w:val="18"/>
          <w:szCs w:val="16"/>
        </w:rPr>
      </w:pPr>
      <w:r w:rsidRPr="008641A6">
        <w:rPr>
          <w:b/>
          <w:bCs/>
        </w:rPr>
        <w:t xml:space="preserve">Acuerdo por el que se reforman los Criterios para la elaboración y presentación homogénea de la información financiera y de los formatos a que hace referencia la Ley de Disciplina Financiera de las Entidades Federativas y los Municipios </w:t>
      </w:r>
      <w:r w:rsidRPr="008641A6">
        <w:rPr>
          <w:rFonts w:eastAsia="Times New Roman" w:cs="Times New Roman"/>
          <w:b/>
          <w:lang w:eastAsia="es-MX"/>
        </w:rPr>
        <w:t>Políticas de Contabilidad Significativas”.</w:t>
      </w:r>
      <w:r w:rsidRPr="008641A6">
        <w:rPr>
          <w:rFonts w:cs="Arial"/>
          <w:color w:val="000000"/>
          <w:sz w:val="16"/>
          <w:szCs w:val="16"/>
        </w:rPr>
        <w:t xml:space="preserve"> </w:t>
      </w:r>
      <w:r w:rsidRPr="008641A6">
        <w:rPr>
          <w:i/>
          <w:sz w:val="18"/>
          <w:szCs w:val="16"/>
        </w:rPr>
        <w:t>Se reforman en los formatos 5 Estado Analítico de Ingresos Detallado – LDF, 7 a) Proyecciones de Ingresos – LDF y 7 c) Resultados de Ingresos – LDF, los incisos G y J de “Ingresos de Libre Disposición” y el inciso D de las “Transferencias Federales Etiquetadas”.</w:t>
      </w:r>
    </w:p>
    <w:p w14:paraId="79C6F14C" w14:textId="77FB9CDC" w:rsidR="008641A6" w:rsidRPr="008641A6" w:rsidRDefault="008641A6" w:rsidP="002E6B08">
      <w:pPr>
        <w:autoSpaceDE w:val="0"/>
        <w:autoSpaceDN w:val="0"/>
        <w:adjustRightInd w:val="0"/>
        <w:spacing w:line="276" w:lineRule="auto"/>
        <w:ind w:right="-1"/>
        <w:jc w:val="both"/>
        <w:rPr>
          <w:i/>
          <w:sz w:val="18"/>
          <w:szCs w:val="16"/>
        </w:rPr>
      </w:pPr>
      <w:r w:rsidRPr="008641A6">
        <w:rPr>
          <w:rFonts w:cs="Arial"/>
          <w:b/>
          <w:bCs/>
        </w:rPr>
        <w:t xml:space="preserve">“Acuerdo por el que se reforma y adiciona el Formato de Conciliación entre los Ingresos Presupuestarios y Contables, así como entre los Egresos Presupuestarios y los Gastos Contables”. </w:t>
      </w:r>
      <w:r w:rsidRPr="008641A6">
        <w:rPr>
          <w:i/>
          <w:sz w:val="18"/>
          <w:szCs w:val="16"/>
        </w:rPr>
        <w:t>“Se reforma el párrafo de Ámbito de Aplicación; en los puntos de Precisiones a los formatos de Conciliación de Ingresos y de Conciliación de Egresos – Gastos se adiciona inciso e), numeración en todos los conceptos, fórmulas en los principales numerales y notas al pie; en la Conciliación entre los Ingresos Presupuestarios y Contables, se reforma el punto 1 Ingresos Presupuestarios por 1. Total de Ingresos Presupuestarios, en el punto 2. Más Ingresos Contables No Presupuestarios, se adiciona el concepto de “Ingresos Financieros”, en el punto 3. Menos Ingresos Presupuestarios No Contables, se reforma el concepto “Aprovechamientos de Capital” por “Aprovechamientos Patrimoniales”; en la Conciliación entre los Egresos Presupuestarios y los Gastos Contables, en los puntos 2. Menos Egresos Presupuestarios No Contables y 3. Más Gastos Contables No Presupuestarios, se reforma el concepto “presupuestales” por “presupuestarios”, en el punto 2. Menos Egresos Presupuestarios No Contables, se adicionan los conceptos de “Materias Primas y Materiales de Producción y Comercialización”, “Materiales y Suministros”, “Obra Pública en Bienes de Dominio Público” y “Concesión de Préstamos”; y adicionalmente se agrega un instructivo de llenado que contiene las referencias para identificar los conceptos que se vinculan a los estados financieros de donde se obtienen cifras”.</w:t>
      </w:r>
    </w:p>
    <w:p w14:paraId="6023D948" w14:textId="77777777" w:rsidR="008641A6" w:rsidRPr="008641A6" w:rsidRDefault="008641A6" w:rsidP="008641A6">
      <w:pPr>
        <w:spacing w:line="259" w:lineRule="auto"/>
        <w:jc w:val="both"/>
        <w:rPr>
          <w:i/>
          <w:sz w:val="18"/>
          <w:szCs w:val="16"/>
        </w:rPr>
      </w:pPr>
      <w:r w:rsidRPr="008641A6">
        <w:rPr>
          <w:rFonts w:cs="Arial"/>
          <w:b/>
          <w:bCs/>
        </w:rPr>
        <w:t>“Acuerdo por el que se reforma el Clasificador por Rubros de Ingresos”. “</w:t>
      </w:r>
      <w:r w:rsidRPr="008641A6">
        <w:rPr>
          <w:i/>
          <w:sz w:val="18"/>
          <w:szCs w:val="16"/>
        </w:rPr>
        <w:t>Se reforman el párrafo sexto de antecedentes y el párrafo catorce del punto A. ASPECTOS GENERALES”.</w:t>
      </w:r>
    </w:p>
    <w:p w14:paraId="5A5395EB" w14:textId="77777777" w:rsidR="008641A6" w:rsidRPr="008641A6" w:rsidRDefault="008641A6" w:rsidP="008641A6">
      <w:pPr>
        <w:spacing w:after="0" w:line="276" w:lineRule="auto"/>
        <w:ind w:right="-1"/>
        <w:jc w:val="both"/>
        <w:rPr>
          <w:rFonts w:cs="Arial"/>
        </w:rPr>
      </w:pPr>
      <w:r w:rsidRPr="008641A6">
        <w:rPr>
          <w:rFonts w:cs="Arial"/>
        </w:rPr>
        <w:t>Cabe mencionar que, en cumplimiento a los acuerdos referidos anteriormente, a partir de marzo de 2019, se envía la información en pesos, en los formatos del CONAC, con la finalidad de facilitar la fiscalización de los activos, pasivos, ingresos, egresos y, en general, que posibilite medir la eficacia del gasto público y contener las medidas de control interno que permitan verificar el registro de la totalidad de las operaciones financieras.</w:t>
      </w:r>
    </w:p>
    <w:p w14:paraId="53AB2E63" w14:textId="77777777" w:rsidR="008641A6" w:rsidRPr="002E6B08" w:rsidRDefault="008641A6" w:rsidP="008641A6">
      <w:pPr>
        <w:spacing w:after="0" w:line="276" w:lineRule="auto"/>
        <w:ind w:right="-1"/>
        <w:jc w:val="both"/>
        <w:rPr>
          <w:rFonts w:cs="Arial"/>
          <w:sz w:val="10"/>
        </w:rPr>
      </w:pPr>
    </w:p>
    <w:p w14:paraId="691F79E2" w14:textId="77777777" w:rsidR="008641A6" w:rsidRPr="008641A6" w:rsidRDefault="008641A6" w:rsidP="008641A6">
      <w:pPr>
        <w:numPr>
          <w:ilvl w:val="0"/>
          <w:numId w:val="10"/>
        </w:numPr>
        <w:autoSpaceDE w:val="0"/>
        <w:autoSpaceDN w:val="0"/>
        <w:adjustRightInd w:val="0"/>
        <w:spacing w:after="240" w:line="276" w:lineRule="auto"/>
        <w:ind w:left="284" w:right="-1" w:firstLine="0"/>
        <w:contextualSpacing/>
        <w:jc w:val="both"/>
        <w:rPr>
          <w:rFonts w:eastAsia="Times New Roman" w:cs="Times New Roman"/>
          <w:lang w:eastAsia="es-MX"/>
        </w:rPr>
      </w:pPr>
      <w:r w:rsidRPr="008641A6">
        <w:rPr>
          <w:rFonts w:eastAsia="Times New Roman" w:cs="Times New Roman"/>
          <w:b/>
          <w:lang w:eastAsia="es-MX"/>
        </w:rPr>
        <w:t>Políticas de Contabilidad Significativas</w:t>
      </w:r>
    </w:p>
    <w:p w14:paraId="7793BED8" w14:textId="77777777" w:rsidR="008641A6" w:rsidRPr="002E6B08" w:rsidRDefault="008641A6" w:rsidP="008641A6">
      <w:pPr>
        <w:autoSpaceDE w:val="0"/>
        <w:autoSpaceDN w:val="0"/>
        <w:adjustRightInd w:val="0"/>
        <w:spacing w:after="240" w:line="276" w:lineRule="auto"/>
        <w:ind w:left="284" w:right="-1"/>
        <w:contextualSpacing/>
        <w:jc w:val="both"/>
        <w:rPr>
          <w:rFonts w:eastAsia="Times New Roman" w:cs="Times New Roman"/>
          <w:sz w:val="10"/>
          <w:lang w:eastAsia="es-MX"/>
        </w:rPr>
      </w:pPr>
    </w:p>
    <w:p w14:paraId="7A0D6C4F" w14:textId="77777777" w:rsidR="008641A6" w:rsidRPr="008641A6" w:rsidRDefault="008641A6" w:rsidP="008641A6">
      <w:pPr>
        <w:numPr>
          <w:ilvl w:val="0"/>
          <w:numId w:val="24"/>
        </w:numPr>
        <w:spacing w:before="240" w:line="276" w:lineRule="auto"/>
        <w:jc w:val="both"/>
        <w:rPr>
          <w:rFonts w:cs="Arial"/>
        </w:rPr>
      </w:pPr>
      <w:r w:rsidRPr="008641A6">
        <w:rPr>
          <w:rFonts w:cs="Arial"/>
        </w:rPr>
        <w:t>Los Estados Financieros se preparan tomando como base los Postulados Básicos de Contabilidad Gubernamental.</w:t>
      </w:r>
    </w:p>
    <w:p w14:paraId="70011F0A" w14:textId="77777777" w:rsidR="008641A6" w:rsidRPr="008641A6" w:rsidRDefault="008641A6" w:rsidP="008641A6">
      <w:pPr>
        <w:numPr>
          <w:ilvl w:val="0"/>
          <w:numId w:val="24"/>
        </w:numPr>
        <w:spacing w:line="259" w:lineRule="auto"/>
        <w:ind w:right="-1"/>
        <w:jc w:val="both"/>
        <w:rPr>
          <w:rFonts w:cs="Arial"/>
        </w:rPr>
      </w:pPr>
      <w:r w:rsidRPr="008641A6">
        <w:rPr>
          <w:rFonts w:cs="Arial"/>
        </w:rPr>
        <w:t>La información contable básica está conformada por el Estado de Situación Financiera, el Estado de Actividades para Entidades con fines no lucrativos, el Estado de Flujos de Efectivo, Estado de Variaciones en la Hacienda Pública/Patrimonio, Estado Analítico del Activo, así como sus notas que son parte integrante de los mismos; también se integra por los estados complementarios, como la Disponibilidad del Flujo de Efectivo, la Evolución e Integración de la Deuda y el Estado de Cambios en el Capital de Trabajo.</w:t>
      </w:r>
    </w:p>
    <w:p w14:paraId="7610A4B6" w14:textId="77777777" w:rsidR="008641A6" w:rsidRPr="008641A6" w:rsidRDefault="008641A6" w:rsidP="008641A6">
      <w:pPr>
        <w:numPr>
          <w:ilvl w:val="0"/>
          <w:numId w:val="24"/>
        </w:numPr>
        <w:spacing w:line="276" w:lineRule="auto"/>
        <w:ind w:right="-1"/>
        <w:jc w:val="both"/>
        <w:rPr>
          <w:rFonts w:cs="Arial"/>
        </w:rPr>
      </w:pPr>
      <w:r w:rsidRPr="008641A6">
        <w:rPr>
          <w:rFonts w:cs="Arial"/>
        </w:rPr>
        <w:t>La información presupuestal se integra por el Estado de Ingresos y Egresos, el Estado Comparativo de Ingresos, el Estado Comparativo de Egresos, el Estado de Avance Presupuestal de Ingresos y el Estado de Avance Presupuestal de Egresos, así como los complementarios que detallan los ingresos y egresos por cada concepto.</w:t>
      </w:r>
    </w:p>
    <w:p w14:paraId="778BD17A" w14:textId="77777777" w:rsidR="008641A6" w:rsidRPr="008641A6" w:rsidRDefault="008641A6" w:rsidP="008641A6">
      <w:pPr>
        <w:numPr>
          <w:ilvl w:val="0"/>
          <w:numId w:val="24"/>
        </w:numPr>
        <w:spacing w:line="276" w:lineRule="auto"/>
        <w:ind w:right="-1"/>
        <w:jc w:val="both"/>
        <w:rPr>
          <w:rFonts w:cs="Arial"/>
        </w:rPr>
      </w:pPr>
      <w:r w:rsidRPr="008641A6">
        <w:rPr>
          <w:rFonts w:cs="Arial"/>
        </w:rPr>
        <w:t>La información de obra pública se clasifica en Obras en Proceso y Gasto Ejercido; y Obras Concluidas y su Costo. Así como la información de la nómina: Plantilla de personal.</w:t>
      </w:r>
    </w:p>
    <w:p w14:paraId="49F01CCC" w14:textId="77777777" w:rsidR="008641A6" w:rsidRPr="008641A6" w:rsidRDefault="008641A6" w:rsidP="008641A6">
      <w:pPr>
        <w:numPr>
          <w:ilvl w:val="0"/>
          <w:numId w:val="24"/>
        </w:numPr>
        <w:spacing w:line="276" w:lineRule="auto"/>
        <w:ind w:right="-1"/>
        <w:jc w:val="both"/>
        <w:rPr>
          <w:rFonts w:cs="Arial"/>
        </w:rPr>
      </w:pPr>
      <w:r w:rsidRPr="008641A6">
        <w:rPr>
          <w:rFonts w:cs="Arial"/>
        </w:rPr>
        <w:t>Respecto a la clasificación del pasivo, se considerará a corto plazo el que vence dentro del ejercicio fiscal correspondiente y, a largo plazo el que venza en ejercicios fiscales posteriores al que corresponda la información.</w:t>
      </w:r>
    </w:p>
    <w:p w14:paraId="1B8D921B" w14:textId="77777777" w:rsidR="008641A6" w:rsidRPr="008641A6" w:rsidRDefault="008641A6" w:rsidP="008641A6">
      <w:pPr>
        <w:numPr>
          <w:ilvl w:val="0"/>
          <w:numId w:val="24"/>
        </w:numPr>
        <w:spacing w:line="276" w:lineRule="auto"/>
        <w:ind w:right="-1"/>
        <w:jc w:val="both"/>
        <w:rPr>
          <w:rFonts w:cs="Arial"/>
        </w:rPr>
      </w:pPr>
      <w:r w:rsidRPr="008641A6">
        <w:rPr>
          <w:rFonts w:cs="Arial"/>
        </w:rPr>
        <w:t>Las inversiones en valores negociables, se encuentran representados por depósitos bancarios e inversiones de renta fija a corto plazo, se registran a su valor de mercado (valor de la inversión, más el rendimiento acumulado). Los rendimientos generados se reconocen en resultados conforme se realizan, en los que siempre se deberá considerar el valor invertido más los rendimientos generados.</w:t>
      </w:r>
    </w:p>
    <w:p w14:paraId="212AE10A" w14:textId="77777777" w:rsidR="008641A6" w:rsidRPr="008641A6" w:rsidRDefault="008641A6" w:rsidP="008641A6">
      <w:pPr>
        <w:numPr>
          <w:ilvl w:val="0"/>
          <w:numId w:val="24"/>
        </w:numPr>
        <w:spacing w:line="276" w:lineRule="auto"/>
        <w:ind w:right="-1"/>
        <w:jc w:val="both"/>
        <w:rPr>
          <w:rFonts w:cs="Arial"/>
        </w:rPr>
      </w:pPr>
      <w:r w:rsidRPr="008641A6">
        <w:rPr>
          <w:rFonts w:cs="Arial"/>
        </w:rPr>
        <w:t>Los bienes muebles se registran a su costo de adquisición, incluyendo el Impuesto al Valor Agregado (IVA). La depreciación se calcula a partir del mes siguiente al de su adquisición, aplicando las tasas establecidas en el Manual Único de Contabilidad Gubernamental para las Dependencias y Entidades del Gobierno y Municipios del Estado de México.</w:t>
      </w:r>
    </w:p>
    <w:p w14:paraId="0507FE33" w14:textId="77777777" w:rsidR="008641A6" w:rsidRPr="008641A6" w:rsidRDefault="008641A6" w:rsidP="008641A6">
      <w:pPr>
        <w:numPr>
          <w:ilvl w:val="0"/>
          <w:numId w:val="24"/>
        </w:numPr>
        <w:spacing w:line="276" w:lineRule="auto"/>
        <w:ind w:right="-1"/>
        <w:jc w:val="both"/>
        <w:rPr>
          <w:rFonts w:cs="Arial"/>
        </w:rPr>
      </w:pPr>
      <w:r w:rsidRPr="008641A6">
        <w:rPr>
          <w:rFonts w:cs="Arial"/>
        </w:rPr>
        <w:t>Las cuentas por cobrar representan la comprobación de los anticipos para gastos otorgados a los servidores públicos del Instituto o a terceros para cumplir con actividades de programas específicos, así como saldos que deberán ser comprobados o reintegrados conforme a la normatividad establecida.</w:t>
      </w:r>
    </w:p>
    <w:p w14:paraId="1EAF9B88" w14:textId="77777777" w:rsidR="008641A6" w:rsidRPr="008641A6" w:rsidRDefault="008641A6" w:rsidP="008641A6">
      <w:pPr>
        <w:numPr>
          <w:ilvl w:val="0"/>
          <w:numId w:val="24"/>
        </w:numPr>
        <w:spacing w:line="276" w:lineRule="auto"/>
        <w:ind w:right="-1"/>
        <w:jc w:val="both"/>
        <w:rPr>
          <w:rFonts w:cs="Arial"/>
        </w:rPr>
      </w:pPr>
      <w:r w:rsidRPr="008641A6">
        <w:rPr>
          <w:rFonts w:cs="Arial"/>
        </w:rPr>
        <w:t>Los anticipos a proveedores y contratistas, son las cantidades de dinero entregadas a los proveedores de bienes o servicios y contratistas de obra pública y servicios relacionados con la misma con el fin de obtener una contraprestación pactada mediante contrato o convenio, las cuales deberán ser comprobadas o reintegradas conforme a la normatividad establecida. Si el tercero no diera cumplimiento a lo dispuesto en el contrato o convenio, el asunto se deberá turnar a las áreas jurídicas para su recuperación a través de las fianzas correspondientes.</w:t>
      </w:r>
    </w:p>
    <w:p w14:paraId="51EE824D" w14:textId="77777777" w:rsidR="008641A6" w:rsidRDefault="008641A6" w:rsidP="008641A6">
      <w:pPr>
        <w:numPr>
          <w:ilvl w:val="0"/>
          <w:numId w:val="24"/>
        </w:numPr>
        <w:spacing w:line="276" w:lineRule="auto"/>
        <w:ind w:right="-1"/>
        <w:jc w:val="both"/>
        <w:rPr>
          <w:rFonts w:cs="Arial"/>
        </w:rPr>
      </w:pPr>
      <w:r w:rsidRPr="008641A6">
        <w:rPr>
          <w:rFonts w:cs="Arial"/>
        </w:rPr>
        <w:t>Las existencias del almacén se valúan a costo promedio y se afectará tanto el resultado del ejercicio como el presupuesto de egresos en el momento en que el gasto se considere devengado, en términos de lo dispuesto por el Postulado Contable de Base de Registro, por otro lado, las existencias se controlarán en cuentas de orden.</w:t>
      </w:r>
    </w:p>
    <w:p w14:paraId="7D08C2ED" w14:textId="77777777" w:rsidR="008641A6" w:rsidRPr="008641A6" w:rsidRDefault="008641A6" w:rsidP="008641A6">
      <w:pPr>
        <w:numPr>
          <w:ilvl w:val="0"/>
          <w:numId w:val="12"/>
        </w:numPr>
        <w:spacing w:after="240" w:line="276" w:lineRule="auto"/>
        <w:ind w:right="-1"/>
        <w:contextualSpacing/>
        <w:jc w:val="both"/>
        <w:rPr>
          <w:rFonts w:eastAsia="Times New Roman" w:cs="Times New Roman"/>
          <w:b/>
          <w:lang w:eastAsia="es-MX"/>
        </w:rPr>
      </w:pPr>
      <w:r w:rsidRPr="008641A6">
        <w:rPr>
          <w:rFonts w:eastAsia="Times New Roman" w:cs="Times New Roman"/>
          <w:b/>
          <w:lang w:eastAsia="es-MX"/>
        </w:rPr>
        <w:t>Posición en Moneda Extranjera y Protección por Riesgo Cambiario</w:t>
      </w:r>
    </w:p>
    <w:p w14:paraId="542AF156" w14:textId="77777777" w:rsidR="008641A6" w:rsidRDefault="008641A6" w:rsidP="008641A6">
      <w:pPr>
        <w:spacing w:after="101" w:line="276" w:lineRule="auto"/>
        <w:ind w:right="-1"/>
        <w:jc w:val="both"/>
        <w:rPr>
          <w:rFonts w:eastAsia="Times New Roman" w:cs="Arial"/>
          <w:lang w:val="es-ES" w:eastAsia="es-ES"/>
        </w:rPr>
      </w:pPr>
      <w:r w:rsidRPr="008641A6">
        <w:rPr>
          <w:rFonts w:eastAsia="Times New Roman" w:cs="Arial"/>
          <w:lang w:val="es-ES" w:eastAsia="es-ES"/>
        </w:rPr>
        <w:t>Los estados financieros antes mencionados se presentan en moneda de informe peso mexicano, que es igual a la moneda de registro y a su moneda funcional, por lo tanto, este punto no es aplicable para la entidad.</w:t>
      </w:r>
    </w:p>
    <w:p w14:paraId="0ABD93F1" w14:textId="77777777" w:rsidR="002E6B08" w:rsidRDefault="002E6B08" w:rsidP="008641A6">
      <w:pPr>
        <w:spacing w:after="101" w:line="276" w:lineRule="auto"/>
        <w:ind w:right="-1"/>
        <w:jc w:val="both"/>
        <w:rPr>
          <w:rFonts w:eastAsia="Times New Roman" w:cs="Arial"/>
          <w:lang w:val="es-ES" w:eastAsia="es-ES"/>
        </w:rPr>
      </w:pPr>
    </w:p>
    <w:p w14:paraId="603840FC" w14:textId="77777777" w:rsidR="008641A6" w:rsidRPr="008641A6" w:rsidRDefault="008641A6" w:rsidP="008641A6">
      <w:pPr>
        <w:numPr>
          <w:ilvl w:val="0"/>
          <w:numId w:val="12"/>
        </w:numPr>
        <w:spacing w:after="101" w:line="276" w:lineRule="auto"/>
        <w:ind w:right="-1"/>
        <w:jc w:val="both"/>
        <w:rPr>
          <w:rFonts w:eastAsia="Times New Roman" w:cs="Arial"/>
          <w:b/>
          <w:lang w:val="es-ES" w:eastAsia="es-ES"/>
        </w:rPr>
      </w:pPr>
      <w:r w:rsidRPr="008641A6">
        <w:rPr>
          <w:rFonts w:eastAsia="Times New Roman" w:cs="Arial"/>
          <w:b/>
          <w:lang w:val="es-ES" w:eastAsia="es-ES"/>
        </w:rPr>
        <w:t>Reporte Analítico del Activo</w:t>
      </w:r>
    </w:p>
    <w:p w14:paraId="6921FBCE" w14:textId="77777777" w:rsidR="008641A6" w:rsidRPr="008641A6" w:rsidRDefault="008641A6" w:rsidP="008641A6">
      <w:pPr>
        <w:spacing w:after="0" w:line="240" w:lineRule="exact"/>
        <w:ind w:left="644"/>
        <w:jc w:val="both"/>
        <w:rPr>
          <w:rFonts w:eastAsia="Times New Roman" w:cs="Arial"/>
          <w:lang w:eastAsia="es-ES"/>
        </w:rPr>
      </w:pPr>
      <w:r w:rsidRPr="008641A6">
        <w:rPr>
          <w:rFonts w:eastAsia="Times New Roman" w:cs="Arial"/>
          <w:noProof/>
          <w:lang w:eastAsia="es-MX"/>
        </w:rPr>
        <mc:AlternateContent>
          <mc:Choice Requires="wpc">
            <w:drawing>
              <wp:anchor distT="0" distB="0" distL="114300" distR="114300" simplePos="0" relativeHeight="251659264" behindDoc="0" locked="0" layoutInCell="1" allowOverlap="1" wp14:anchorId="07EC642F" wp14:editId="12CC1FE4">
                <wp:simplePos x="0" y="0"/>
                <wp:positionH relativeFrom="column">
                  <wp:posOffset>-692150</wp:posOffset>
                </wp:positionH>
                <wp:positionV relativeFrom="paragraph">
                  <wp:posOffset>-7432040</wp:posOffset>
                </wp:positionV>
                <wp:extent cx="6467475" cy="1924685"/>
                <wp:effectExtent l="0" t="0" r="0" b="18415"/>
                <wp:wrapNone/>
                <wp:docPr id="516" name="Lienzo 4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86" name="Rectangle 439"/>
                        <wps:cNvSpPr>
                          <a:spLocks noChangeArrowheads="1"/>
                        </wps:cNvSpPr>
                        <wps:spPr bwMode="auto">
                          <a:xfrm>
                            <a:off x="6362700" y="18986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440"/>
                        <wps:cNvCnPr>
                          <a:cxnSpLocks noChangeShapeType="1"/>
                        </wps:cNvCnPr>
                        <wps:spPr bwMode="auto">
                          <a:xfrm>
                            <a:off x="6362700" y="3403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89" name="Rectangle 441"/>
                        <wps:cNvSpPr>
                          <a:spLocks noChangeArrowheads="1"/>
                        </wps:cNvSpPr>
                        <wps:spPr bwMode="auto">
                          <a:xfrm>
                            <a:off x="6362700" y="34036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442"/>
                        <wps:cNvCnPr>
                          <a:cxnSpLocks noChangeShapeType="1"/>
                        </wps:cNvCnPr>
                        <wps:spPr bwMode="auto">
                          <a:xfrm>
                            <a:off x="6362700" y="4972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1" name="Rectangle 443"/>
                        <wps:cNvSpPr>
                          <a:spLocks noChangeArrowheads="1"/>
                        </wps:cNvSpPr>
                        <wps:spPr bwMode="auto">
                          <a:xfrm>
                            <a:off x="6362700" y="497205"/>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444"/>
                        <wps:cNvCnPr>
                          <a:cxnSpLocks noChangeShapeType="1"/>
                        </wps:cNvCnPr>
                        <wps:spPr bwMode="auto">
                          <a:xfrm>
                            <a:off x="6362700" y="6216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3" name="Rectangle 445"/>
                        <wps:cNvSpPr>
                          <a:spLocks noChangeArrowheads="1"/>
                        </wps:cNvSpPr>
                        <wps:spPr bwMode="auto">
                          <a:xfrm>
                            <a:off x="6362700" y="621665"/>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446"/>
                        <wps:cNvCnPr>
                          <a:cxnSpLocks noChangeShapeType="1"/>
                        </wps:cNvCnPr>
                        <wps:spPr bwMode="auto">
                          <a:xfrm>
                            <a:off x="6362700" y="7334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5" name="Rectangle 447"/>
                        <wps:cNvSpPr>
                          <a:spLocks noChangeArrowheads="1"/>
                        </wps:cNvSpPr>
                        <wps:spPr bwMode="auto">
                          <a:xfrm>
                            <a:off x="6362700" y="73342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448"/>
                        <wps:cNvCnPr>
                          <a:cxnSpLocks noChangeShapeType="1"/>
                        </wps:cNvCnPr>
                        <wps:spPr bwMode="auto">
                          <a:xfrm>
                            <a:off x="6362700" y="8445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7" name="Rectangle 449"/>
                        <wps:cNvSpPr>
                          <a:spLocks noChangeArrowheads="1"/>
                        </wps:cNvSpPr>
                        <wps:spPr bwMode="auto">
                          <a:xfrm>
                            <a:off x="6362700" y="84455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450"/>
                        <wps:cNvCnPr>
                          <a:cxnSpLocks noChangeShapeType="1"/>
                        </wps:cNvCnPr>
                        <wps:spPr bwMode="auto">
                          <a:xfrm>
                            <a:off x="6362700" y="95567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9" name="Rectangle 451"/>
                        <wps:cNvSpPr>
                          <a:spLocks noChangeArrowheads="1"/>
                        </wps:cNvSpPr>
                        <wps:spPr bwMode="auto">
                          <a:xfrm>
                            <a:off x="6362700" y="955675"/>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Line 452"/>
                        <wps:cNvCnPr>
                          <a:cxnSpLocks noChangeShapeType="1"/>
                        </wps:cNvCnPr>
                        <wps:spPr bwMode="auto">
                          <a:xfrm>
                            <a:off x="6362700" y="106743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1" name="Rectangle 453"/>
                        <wps:cNvSpPr>
                          <a:spLocks noChangeArrowheads="1"/>
                        </wps:cNvSpPr>
                        <wps:spPr bwMode="auto">
                          <a:xfrm>
                            <a:off x="6362700" y="106743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454"/>
                        <wps:cNvCnPr>
                          <a:cxnSpLocks noChangeShapeType="1"/>
                        </wps:cNvCnPr>
                        <wps:spPr bwMode="auto">
                          <a:xfrm>
                            <a:off x="6362700" y="12376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3" name="Rectangle 455"/>
                        <wps:cNvSpPr>
                          <a:spLocks noChangeArrowheads="1"/>
                        </wps:cNvSpPr>
                        <wps:spPr bwMode="auto">
                          <a:xfrm>
                            <a:off x="6362700" y="123761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456"/>
                        <wps:cNvCnPr>
                          <a:cxnSpLocks noChangeShapeType="1"/>
                        </wps:cNvCnPr>
                        <wps:spPr bwMode="auto">
                          <a:xfrm>
                            <a:off x="6362700" y="13487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5" name="Rectangle 457"/>
                        <wps:cNvSpPr>
                          <a:spLocks noChangeArrowheads="1"/>
                        </wps:cNvSpPr>
                        <wps:spPr bwMode="auto">
                          <a:xfrm>
                            <a:off x="6362700" y="134874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458"/>
                        <wps:cNvCnPr>
                          <a:cxnSpLocks noChangeShapeType="1"/>
                        </wps:cNvCnPr>
                        <wps:spPr bwMode="auto">
                          <a:xfrm>
                            <a:off x="6362700" y="14598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7" name="Rectangle 459"/>
                        <wps:cNvSpPr>
                          <a:spLocks noChangeArrowheads="1"/>
                        </wps:cNvSpPr>
                        <wps:spPr bwMode="auto">
                          <a:xfrm>
                            <a:off x="6362700" y="1459865"/>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Line 460"/>
                        <wps:cNvCnPr>
                          <a:cxnSpLocks noChangeShapeType="1"/>
                        </wps:cNvCnPr>
                        <wps:spPr bwMode="auto">
                          <a:xfrm>
                            <a:off x="6362700" y="15716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9" name="Rectangle 461"/>
                        <wps:cNvSpPr>
                          <a:spLocks noChangeArrowheads="1"/>
                        </wps:cNvSpPr>
                        <wps:spPr bwMode="auto">
                          <a:xfrm>
                            <a:off x="6362700" y="157162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Line 462"/>
                        <wps:cNvCnPr>
                          <a:cxnSpLocks noChangeShapeType="1"/>
                        </wps:cNvCnPr>
                        <wps:spPr bwMode="auto">
                          <a:xfrm>
                            <a:off x="6362700" y="16827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1" name="Rectangle 463"/>
                        <wps:cNvSpPr>
                          <a:spLocks noChangeArrowheads="1"/>
                        </wps:cNvSpPr>
                        <wps:spPr bwMode="auto">
                          <a:xfrm>
                            <a:off x="6362700" y="168275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Line 464"/>
                        <wps:cNvCnPr>
                          <a:cxnSpLocks noChangeShapeType="1"/>
                        </wps:cNvCnPr>
                        <wps:spPr bwMode="auto">
                          <a:xfrm>
                            <a:off x="6362700" y="179387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3" name="Rectangle 465"/>
                        <wps:cNvSpPr>
                          <a:spLocks noChangeArrowheads="1"/>
                        </wps:cNvSpPr>
                        <wps:spPr bwMode="auto">
                          <a:xfrm>
                            <a:off x="6362700" y="179387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466"/>
                        <wps:cNvCnPr>
                          <a:cxnSpLocks noChangeShapeType="1"/>
                        </wps:cNvCnPr>
                        <wps:spPr bwMode="auto">
                          <a:xfrm>
                            <a:off x="6362700" y="191198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5" name="Rectangle 467"/>
                        <wps:cNvSpPr>
                          <a:spLocks noChangeArrowheads="1"/>
                        </wps:cNvSpPr>
                        <wps:spPr bwMode="auto">
                          <a:xfrm>
                            <a:off x="6362700" y="191198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A2D6FC" id="Lienzo 480" o:spid="_x0000_s1026" editas="canvas" style="position:absolute;margin-left:-54.5pt;margin-top:-585.2pt;width:509.25pt;height:151.55pt;z-index:251659264" coordsize="64674,19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674;height:19246;visibility:visible;mso-wrap-style:square">
                  <v:fill o:detectmouseclick="t"/>
                  <v:path o:connecttype="none"/>
                </v:shape>
                <v:rect id="Rectangle 439" o:spid="_x0000_s1028" style="position:absolute;left:63627;top:1898;width:6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" fillcolor="#d4d4d4" stroked="f"/>
                <v:line id="Line 440" o:spid="_x0000_s1029" style="position:absolute;visibility:visible;mso-wrap-style:square" from="63627,3403" to="63633,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" strokecolor="#d4d4d4" strokeweight="0"/>
                <v:rect id="Rectangle 441" o:spid="_x0000_s1030" style="position:absolute;left:63627;top:3403;width:6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" fillcolor="#d4d4d4" stroked="f"/>
                <v:line id="Line 442" o:spid="_x0000_s1031" style="position:absolute;visibility:visible;mso-wrap-style:square" from="63627,4972" to="63633,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" strokecolor="#d4d4d4" strokeweight="0"/>
                <v:rect id="Rectangle 443" o:spid="_x0000_s1032" style="position:absolute;left:63627;top:4972;width:63;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" fillcolor="#d4d4d4" stroked="f"/>
                <v:line id="Line 444" o:spid="_x0000_s1033" style="position:absolute;visibility:visible;mso-wrap-style:square" from="63627,6216" to="63633,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" strokecolor="#d4d4d4" strokeweight="0"/>
                <v:rect id="Rectangle 445" o:spid="_x0000_s1034" style="position:absolute;left:63627;top:6216;width:6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" fillcolor="#d4d4d4" stroked="f"/>
                <v:line id="Line 446" o:spid="_x0000_s1035" style="position:absolute;visibility:visible;mso-wrap-style:square" from="63627,7334" to="63633,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" strokecolor="#d4d4d4" strokeweight="0"/>
                <v:rect id="Rectangle 447" o:spid="_x0000_s1036" style="position:absolute;left:63627;top:7334;width:6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" fillcolor="#d4d4d4" stroked="f"/>
                <v:line id="Line 448" o:spid="_x0000_s1037" style="position:absolute;visibility:visible;mso-wrap-style:square" from="63627,8445" to="63633,8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" strokecolor="#d4d4d4" strokeweight="0"/>
                <v:rect id="Rectangle 449" o:spid="_x0000_s1038" style="position:absolute;left:63627;top:8445;width:6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" fillcolor="#d4d4d4" stroked="f"/>
                <v:line id="Line 450" o:spid="_x0000_s1039" style="position:absolute;visibility:visible;mso-wrap-style:square" from="63627,9556" to="63633,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" strokecolor="#d4d4d4" strokeweight="0"/>
                <v:rect id="Rectangle 451" o:spid="_x0000_s1040" style="position:absolute;left:63627;top:9556;width:6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" fillcolor="#d4d4d4" stroked="f"/>
                <v:line id="Line 452" o:spid="_x0000_s1041" style="position:absolute;visibility:visible;mso-wrap-style:square" from="63627,10674" to="63633,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" strokecolor="#d4d4d4" strokeweight="0"/>
                <v:rect id="Rectangle 453" o:spid="_x0000_s1042" style="position:absolute;left:63627;top:10674;width:6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" fillcolor="#d4d4d4" stroked="f"/>
                <v:line id="Line 454" o:spid="_x0000_s1043" style="position:absolute;visibility:visible;mso-wrap-style:square" from="63627,12376" to="63633,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" strokecolor="#d4d4d4" strokeweight="0"/>
                <v:rect id="Rectangle 455" o:spid="_x0000_s1044" style="position:absolute;left:63627;top:12376;width:6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" fillcolor="#d4d4d4" stroked="f"/>
                <v:line id="Line 456" o:spid="_x0000_s1045" style="position:absolute;visibility:visible;mso-wrap-style:square" from="63627,13487" to="63633,1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" strokecolor="#d4d4d4" strokeweight="0"/>
                <v:rect id="Rectangle 457" o:spid="_x0000_s1046" style="position:absolute;left:63627;top:13487;width:6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" fillcolor="#d4d4d4" stroked="f"/>
                <v:line id="Line 458" o:spid="_x0000_s1047" style="position:absolute;visibility:visible;mso-wrap-style:square" from="63627,14598" to="63633,1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" strokecolor="#d4d4d4" strokeweight="0"/>
                <v:rect id="Rectangle 459" o:spid="_x0000_s1048" style="position:absolute;left:63627;top:14598;width:6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" fillcolor="#d4d4d4" stroked="f"/>
                <v:line id="Line 460" o:spid="_x0000_s1049" style="position:absolute;visibility:visible;mso-wrap-style:square" from="63627,15716" to="63633,1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" strokecolor="#d4d4d4" strokeweight="0"/>
                <v:rect id="Rectangle 461" o:spid="_x0000_s1050" style="position:absolute;left:63627;top:15716;width:6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" fillcolor="#d4d4d4" stroked="f"/>
                <v:line id="Line 462" o:spid="_x0000_s1051" style="position:absolute;visibility:visible;mso-wrap-style:square" from="63627,16827" to="63633,16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" strokecolor="#d4d4d4" strokeweight="0"/>
                <v:rect id="Rectangle 463" o:spid="_x0000_s1052" style="position:absolute;left:63627;top:16827;width:6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" fillcolor="#d4d4d4" stroked="f"/>
                <v:line id="Line 464" o:spid="_x0000_s1053" style="position:absolute;visibility:visible;mso-wrap-style:square" from="63627,17938" to="63633,17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" strokecolor="#d4d4d4" strokeweight="0"/>
                <v:rect id="Rectangle 465" o:spid="_x0000_s1054" style="position:absolute;left:63627;top:17938;width:6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" fillcolor="#d4d4d4" stroked="f"/>
                <v:line id="Line 466" o:spid="_x0000_s1055" style="position:absolute;visibility:visible;mso-wrap-style:square" from="63627,19119" to="63633,19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" strokecolor="#d4d4d4" strokeweight="0"/>
                <v:rect id="Rectangle 467" o:spid="_x0000_s1056" style="position:absolute;left:63627;top:19119;width:6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" fillcolor="#d4d4d4" stroked="f"/>
              </v:group>
            </w:pict>
          </mc:Fallback>
        </mc:AlternateContent>
      </w:r>
      <w:r w:rsidRPr="008641A6">
        <w:rPr>
          <w:rFonts w:eastAsia="Times New Roman" w:cs="Arial"/>
          <w:lang w:eastAsia="es-ES"/>
        </w:rPr>
        <w:t>En el “</w:t>
      </w:r>
      <w:r w:rsidRPr="008641A6">
        <w:rPr>
          <w:rFonts w:eastAsia="Times New Roman" w:cs="Arial"/>
          <w:b/>
          <w:lang w:eastAsia="es-ES"/>
        </w:rPr>
        <w:t xml:space="preserve">Estado Analítico del Activo”, </w:t>
      </w:r>
      <w:r w:rsidRPr="008641A6">
        <w:rPr>
          <w:rFonts w:eastAsia="Times New Roman" w:cs="Arial"/>
          <w:lang w:eastAsia="es-ES"/>
        </w:rPr>
        <w:t>se observa el comportamiento de los fondos, valores y bienes identificados y cuantificados en términos monetarios, que dispone el Instituto para realizar sus actividades, los cuales fueron comentados en párrafos anteriores y los</w:t>
      </w:r>
      <w:r w:rsidRPr="008641A6">
        <w:rPr>
          <w:rFonts w:eastAsia="Times New Roman" w:cs="Arial"/>
          <w:b/>
          <w:lang w:eastAsia="es-ES"/>
        </w:rPr>
        <w:t xml:space="preserve"> bienes muebles e inmuebles, </w:t>
      </w:r>
      <w:r w:rsidRPr="008641A6">
        <w:rPr>
          <w:rFonts w:eastAsia="Times New Roman" w:cs="Arial"/>
          <w:lang w:eastAsia="es-ES"/>
        </w:rPr>
        <w:t>como</w:t>
      </w:r>
      <w:r w:rsidRPr="008641A6">
        <w:rPr>
          <w:rFonts w:eastAsia="Times New Roman" w:cs="Arial"/>
          <w:b/>
          <w:lang w:eastAsia="es-ES"/>
        </w:rPr>
        <w:t xml:space="preserve"> </w:t>
      </w:r>
      <w:r w:rsidRPr="008641A6">
        <w:rPr>
          <w:rFonts w:eastAsia="Times New Roman" w:cs="Arial"/>
          <w:lang w:eastAsia="es-ES"/>
        </w:rPr>
        <w:t>se detallan a continuación:</w:t>
      </w:r>
    </w:p>
    <w:p w14:paraId="57C5FC21" w14:textId="77777777" w:rsidR="008641A6" w:rsidRPr="008641A6" w:rsidRDefault="008641A6" w:rsidP="008641A6">
      <w:pPr>
        <w:spacing w:after="101" w:line="276" w:lineRule="auto"/>
        <w:ind w:right="-1"/>
        <w:jc w:val="center"/>
        <w:rPr>
          <w:rFonts w:eastAsia="Times New Roman" w:cs="Arial"/>
          <w:b/>
          <w:lang w:eastAsia="es-ES"/>
        </w:rPr>
      </w:pPr>
      <w:r w:rsidRPr="008641A6">
        <w:rPr>
          <w:rFonts w:ascii="Arial" w:eastAsia="Times New Roman" w:hAnsi="Arial" w:cs="Arial"/>
          <w:noProof/>
          <w:sz w:val="18"/>
          <w:lang w:eastAsia="es-MX"/>
        </w:rPr>
        <w:drawing>
          <wp:inline distT="0" distB="0" distL="0" distR="0" wp14:anchorId="3BF025E0" wp14:editId="229652C9">
            <wp:extent cx="4948042" cy="1789329"/>
            <wp:effectExtent l="0" t="0" r="508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6961" cy="1803403"/>
                    </a:xfrm>
                    <a:prstGeom prst="rect">
                      <a:avLst/>
                    </a:prstGeom>
                    <a:noFill/>
                    <a:ln>
                      <a:noFill/>
                    </a:ln>
                  </pic:spPr>
                </pic:pic>
              </a:graphicData>
            </a:graphic>
          </wp:inline>
        </w:drawing>
      </w:r>
    </w:p>
    <w:p w14:paraId="61666636" w14:textId="77777777" w:rsidR="008641A6" w:rsidRPr="008641A6" w:rsidRDefault="008641A6" w:rsidP="008641A6">
      <w:pPr>
        <w:spacing w:after="101" w:line="276" w:lineRule="auto"/>
        <w:ind w:right="-1"/>
        <w:jc w:val="both"/>
        <w:rPr>
          <w:rFonts w:eastAsia="Times New Roman" w:cs="Arial"/>
          <w:lang w:eastAsia="es-ES"/>
        </w:rPr>
      </w:pPr>
      <w:r w:rsidRPr="008641A6">
        <w:rPr>
          <w:rFonts w:eastAsia="Times New Roman" w:cs="Arial"/>
          <w:b/>
          <w:lang w:eastAsia="es-ES"/>
        </w:rPr>
        <w:t xml:space="preserve">Depreciación. - </w:t>
      </w:r>
      <w:r w:rsidRPr="008641A6">
        <w:rPr>
          <w:rFonts w:eastAsia="Times New Roman" w:cs="Arial"/>
          <w:lang w:eastAsia="es-ES"/>
        </w:rPr>
        <w:t>Se calcula por el método de línea recta a partir del mes siguiente al de su adquisición, aplicando los porcentajes siguientes:</w:t>
      </w:r>
    </w:p>
    <w:tbl>
      <w:tblPr>
        <w:tblStyle w:val="Tablaconcuadrcula"/>
        <w:tblW w:w="0" w:type="auto"/>
        <w:tblInd w:w="1134" w:type="dxa"/>
        <w:tblLook w:val="04A0" w:firstRow="1" w:lastRow="0" w:firstColumn="1" w:lastColumn="0" w:noHBand="0" w:noVBand="1"/>
      </w:tblPr>
      <w:tblGrid>
        <w:gridCol w:w="4815"/>
        <w:gridCol w:w="2755"/>
      </w:tblGrid>
      <w:tr w:rsidR="008641A6" w:rsidRPr="008641A6" w14:paraId="4F41DDE7" w14:textId="77777777" w:rsidTr="009668CF">
        <w:trPr>
          <w:trHeight w:val="872"/>
        </w:trPr>
        <w:tc>
          <w:tcPr>
            <w:tcW w:w="4815" w:type="dxa"/>
          </w:tcPr>
          <w:p w14:paraId="306C18DC" w14:textId="77777777" w:rsidR="008641A6" w:rsidRPr="008641A6" w:rsidRDefault="008641A6" w:rsidP="008641A6">
            <w:pPr>
              <w:spacing w:line="276" w:lineRule="auto"/>
              <w:ind w:right="-1"/>
              <w:jc w:val="both"/>
              <w:rPr>
                <w:rFonts w:ascii="HelveticaNeueLT Std" w:eastAsia="Times New Roman" w:hAnsi="HelveticaNeueLT Std"/>
                <w:b/>
                <w:color w:val="000000"/>
                <w:u w:val="single"/>
              </w:rPr>
            </w:pPr>
            <w:r w:rsidRPr="008641A6">
              <w:rPr>
                <w:rFonts w:ascii="HelveticaNeueLT Std" w:eastAsia="Times New Roman" w:hAnsi="HelveticaNeueLT Std"/>
                <w:b/>
                <w:color w:val="000000"/>
                <w:u w:val="single"/>
              </w:rPr>
              <w:t>Concepto</w:t>
            </w:r>
          </w:p>
          <w:p w14:paraId="3E027156" w14:textId="77777777" w:rsidR="008641A6" w:rsidRPr="008641A6" w:rsidRDefault="008641A6" w:rsidP="008641A6">
            <w:pPr>
              <w:spacing w:line="276" w:lineRule="auto"/>
              <w:ind w:right="-1"/>
              <w:jc w:val="both"/>
              <w:rPr>
                <w:rFonts w:ascii="HelveticaNeueLT Std" w:eastAsia="Times New Roman" w:hAnsi="HelveticaNeueLT Std"/>
                <w:color w:val="000000"/>
              </w:rPr>
            </w:pPr>
            <w:r w:rsidRPr="008641A6">
              <w:rPr>
                <w:rFonts w:ascii="HelveticaNeueLT Std" w:eastAsia="Times New Roman" w:hAnsi="HelveticaNeueLT Std"/>
                <w:color w:val="000000"/>
              </w:rPr>
              <w:t xml:space="preserve">Edificios </w:t>
            </w:r>
          </w:p>
          <w:p w14:paraId="7EC2B9AB" w14:textId="77777777" w:rsidR="008641A6" w:rsidRPr="008641A6" w:rsidRDefault="008641A6" w:rsidP="008641A6">
            <w:pPr>
              <w:spacing w:line="276" w:lineRule="auto"/>
              <w:ind w:right="-1"/>
              <w:jc w:val="both"/>
              <w:rPr>
                <w:rFonts w:ascii="HelveticaNeueLT Std" w:eastAsia="Times New Roman" w:hAnsi="HelveticaNeueLT Std"/>
                <w:color w:val="000000"/>
              </w:rPr>
            </w:pPr>
            <w:r w:rsidRPr="008641A6">
              <w:rPr>
                <w:rFonts w:ascii="HelveticaNeueLT Std" w:eastAsia="Times New Roman" w:hAnsi="HelveticaNeueLT Std"/>
                <w:color w:val="000000"/>
              </w:rPr>
              <w:t>Equipo de cómputo</w:t>
            </w:r>
            <w:r w:rsidRPr="008641A6">
              <w:rPr>
                <w:rFonts w:ascii="HelveticaNeueLT Std" w:eastAsia="Times New Roman" w:hAnsi="HelveticaNeueLT Std"/>
                <w:color w:val="000000"/>
              </w:rPr>
              <w:tab/>
            </w:r>
          </w:p>
          <w:p w14:paraId="0F59D5A0" w14:textId="77777777" w:rsidR="008641A6" w:rsidRPr="008641A6" w:rsidRDefault="008641A6" w:rsidP="008641A6">
            <w:pPr>
              <w:spacing w:line="276" w:lineRule="auto"/>
              <w:ind w:right="-1"/>
              <w:jc w:val="both"/>
              <w:rPr>
                <w:rFonts w:ascii="HelveticaNeueLT Std" w:eastAsia="Times New Roman" w:hAnsi="HelveticaNeueLT Std"/>
                <w:color w:val="000000"/>
              </w:rPr>
            </w:pPr>
            <w:r w:rsidRPr="008641A6">
              <w:rPr>
                <w:rFonts w:ascii="HelveticaNeueLT Std" w:eastAsia="Times New Roman" w:hAnsi="HelveticaNeueLT Std"/>
                <w:color w:val="000000"/>
              </w:rPr>
              <w:t>Mobiliario y equipo de oficina</w:t>
            </w:r>
          </w:p>
          <w:p w14:paraId="04652263" w14:textId="77777777" w:rsidR="008641A6" w:rsidRPr="008641A6" w:rsidRDefault="008641A6" w:rsidP="008641A6">
            <w:pPr>
              <w:spacing w:line="276" w:lineRule="auto"/>
              <w:ind w:right="-1"/>
              <w:rPr>
                <w:rFonts w:ascii="HelveticaNeueLT Std" w:eastAsia="Times New Roman" w:hAnsi="HelveticaNeueLT Std"/>
                <w:color w:val="000000"/>
              </w:rPr>
            </w:pPr>
            <w:r w:rsidRPr="008641A6">
              <w:rPr>
                <w:rFonts w:ascii="HelveticaNeueLT Std" w:eastAsia="Times New Roman" w:hAnsi="HelveticaNeueLT Std"/>
                <w:color w:val="000000"/>
              </w:rPr>
              <w:t>Maquinaria</w:t>
            </w:r>
            <w:r w:rsidRPr="008641A6">
              <w:rPr>
                <w:rFonts w:ascii="HelveticaNeueLT Std" w:eastAsia="Times New Roman" w:hAnsi="HelveticaNeueLT Std"/>
                <w:color w:val="000000"/>
              </w:rPr>
              <w:tab/>
            </w:r>
          </w:p>
          <w:p w14:paraId="36E4D97A" w14:textId="77777777" w:rsidR="008641A6" w:rsidRPr="008641A6" w:rsidRDefault="008641A6" w:rsidP="008641A6">
            <w:pPr>
              <w:spacing w:line="276" w:lineRule="auto"/>
              <w:ind w:right="-1"/>
              <w:rPr>
                <w:rFonts w:ascii="HelveticaNeueLT Std" w:eastAsia="Times New Roman" w:hAnsi="HelveticaNeueLT Std"/>
              </w:rPr>
            </w:pPr>
            <w:r w:rsidRPr="008641A6">
              <w:rPr>
                <w:rFonts w:ascii="HelveticaNeueLT Std" w:eastAsia="Times New Roman" w:hAnsi="HelveticaNeueLT Std"/>
                <w:color w:val="000000"/>
              </w:rPr>
              <w:t>Vehículos</w:t>
            </w:r>
          </w:p>
        </w:tc>
        <w:tc>
          <w:tcPr>
            <w:tcW w:w="2755" w:type="dxa"/>
          </w:tcPr>
          <w:p w14:paraId="0477E8ED" w14:textId="77777777" w:rsidR="008641A6" w:rsidRPr="008641A6" w:rsidRDefault="008641A6" w:rsidP="008641A6">
            <w:pPr>
              <w:spacing w:line="276" w:lineRule="auto"/>
              <w:ind w:right="-1"/>
              <w:jc w:val="center"/>
              <w:rPr>
                <w:rFonts w:ascii="HelveticaNeueLT Std" w:eastAsia="Times New Roman" w:hAnsi="HelveticaNeueLT Std"/>
                <w:color w:val="000000"/>
              </w:rPr>
            </w:pPr>
            <w:r w:rsidRPr="008641A6">
              <w:rPr>
                <w:rFonts w:ascii="HelveticaNeueLT Std" w:eastAsia="Times New Roman" w:hAnsi="HelveticaNeueLT Std"/>
                <w:color w:val="000000"/>
              </w:rPr>
              <w:t>Tasa</w:t>
            </w:r>
          </w:p>
          <w:p w14:paraId="072F8A24" w14:textId="77777777" w:rsidR="008641A6" w:rsidRPr="008641A6" w:rsidRDefault="008641A6" w:rsidP="008641A6">
            <w:pPr>
              <w:spacing w:line="276" w:lineRule="auto"/>
              <w:ind w:right="-1"/>
              <w:jc w:val="center"/>
              <w:rPr>
                <w:rFonts w:ascii="HelveticaNeueLT Std" w:eastAsia="Times New Roman" w:hAnsi="HelveticaNeueLT Std"/>
                <w:color w:val="000000"/>
              </w:rPr>
            </w:pPr>
            <w:r w:rsidRPr="008641A6">
              <w:rPr>
                <w:rFonts w:ascii="HelveticaNeueLT Std" w:eastAsia="Times New Roman" w:hAnsi="HelveticaNeueLT Std"/>
                <w:color w:val="000000"/>
              </w:rPr>
              <w:t>2%</w:t>
            </w:r>
          </w:p>
          <w:p w14:paraId="45D349D7" w14:textId="77777777" w:rsidR="008641A6" w:rsidRPr="008641A6" w:rsidRDefault="008641A6" w:rsidP="008641A6">
            <w:pPr>
              <w:spacing w:line="276" w:lineRule="auto"/>
              <w:ind w:right="-1"/>
              <w:jc w:val="center"/>
              <w:rPr>
                <w:rFonts w:ascii="HelveticaNeueLT Std" w:eastAsia="Times New Roman" w:hAnsi="HelveticaNeueLT Std"/>
                <w:color w:val="000000"/>
              </w:rPr>
            </w:pPr>
            <w:r w:rsidRPr="008641A6">
              <w:rPr>
                <w:rFonts w:ascii="HelveticaNeueLT Std" w:eastAsia="Times New Roman" w:hAnsi="HelveticaNeueLT Std"/>
                <w:color w:val="000000"/>
              </w:rPr>
              <w:t>20%</w:t>
            </w:r>
          </w:p>
          <w:p w14:paraId="55C490E0" w14:textId="77777777" w:rsidR="008641A6" w:rsidRPr="008641A6" w:rsidRDefault="008641A6" w:rsidP="008641A6">
            <w:pPr>
              <w:spacing w:line="276" w:lineRule="auto"/>
              <w:ind w:right="-1"/>
              <w:jc w:val="center"/>
              <w:rPr>
                <w:rFonts w:ascii="HelveticaNeueLT Std" w:eastAsia="Times New Roman" w:hAnsi="HelveticaNeueLT Std"/>
                <w:color w:val="000000"/>
              </w:rPr>
            </w:pPr>
            <w:r w:rsidRPr="008641A6">
              <w:rPr>
                <w:rFonts w:ascii="HelveticaNeueLT Std" w:eastAsia="Times New Roman" w:hAnsi="HelveticaNeueLT Std"/>
                <w:color w:val="000000"/>
              </w:rPr>
              <w:t>3%</w:t>
            </w:r>
          </w:p>
          <w:p w14:paraId="70F6BE0F" w14:textId="77777777" w:rsidR="008641A6" w:rsidRPr="008641A6" w:rsidRDefault="008641A6" w:rsidP="008641A6">
            <w:pPr>
              <w:spacing w:line="276" w:lineRule="auto"/>
              <w:ind w:right="-1"/>
              <w:jc w:val="center"/>
              <w:rPr>
                <w:rFonts w:ascii="HelveticaNeueLT Std" w:eastAsia="Times New Roman" w:hAnsi="HelveticaNeueLT Std"/>
                <w:color w:val="000000"/>
              </w:rPr>
            </w:pPr>
            <w:r w:rsidRPr="008641A6">
              <w:rPr>
                <w:rFonts w:ascii="HelveticaNeueLT Std" w:eastAsia="Times New Roman" w:hAnsi="HelveticaNeueLT Std"/>
                <w:color w:val="000000"/>
              </w:rPr>
              <w:t>10%</w:t>
            </w:r>
          </w:p>
          <w:p w14:paraId="44E639BD" w14:textId="77777777" w:rsidR="008641A6" w:rsidRPr="008641A6" w:rsidRDefault="008641A6" w:rsidP="008641A6">
            <w:pPr>
              <w:spacing w:line="276" w:lineRule="auto"/>
              <w:ind w:right="-1"/>
              <w:jc w:val="center"/>
              <w:rPr>
                <w:rFonts w:ascii="HelveticaNeueLT Std" w:eastAsia="Times New Roman" w:hAnsi="HelveticaNeueLT Std"/>
                <w:color w:val="000000"/>
              </w:rPr>
            </w:pPr>
            <w:r w:rsidRPr="008641A6">
              <w:rPr>
                <w:rFonts w:ascii="HelveticaNeueLT Std" w:eastAsia="Times New Roman" w:hAnsi="HelveticaNeueLT Std"/>
                <w:color w:val="000000"/>
              </w:rPr>
              <w:t>10%</w:t>
            </w:r>
          </w:p>
        </w:tc>
      </w:tr>
    </w:tbl>
    <w:p w14:paraId="2CEAC362" w14:textId="77777777" w:rsidR="008641A6" w:rsidRPr="008641A6" w:rsidRDefault="008641A6" w:rsidP="008641A6">
      <w:pPr>
        <w:tabs>
          <w:tab w:val="left" w:pos="1803"/>
        </w:tabs>
        <w:spacing w:after="101" w:line="276" w:lineRule="auto"/>
        <w:ind w:right="-1"/>
        <w:jc w:val="both"/>
        <w:rPr>
          <w:rFonts w:eastAsia="Times New Roman" w:cs="Arial"/>
          <w:b/>
          <w:lang w:eastAsia="es-ES"/>
        </w:rPr>
      </w:pPr>
    </w:p>
    <w:p w14:paraId="45563F9F" w14:textId="77777777" w:rsidR="008641A6" w:rsidRPr="008641A6" w:rsidRDefault="008641A6" w:rsidP="008641A6">
      <w:pPr>
        <w:tabs>
          <w:tab w:val="left" w:pos="1803"/>
        </w:tabs>
        <w:spacing w:after="101" w:line="276" w:lineRule="auto"/>
        <w:ind w:right="-1"/>
        <w:jc w:val="both"/>
        <w:rPr>
          <w:rFonts w:eastAsia="Times New Roman" w:cs="Arial"/>
          <w:color w:val="000000"/>
          <w:lang w:eastAsia="es-ES"/>
        </w:rPr>
      </w:pPr>
      <w:r w:rsidRPr="008641A6">
        <w:rPr>
          <w:rFonts w:eastAsia="Times New Roman" w:cs="Arial"/>
          <w:b/>
          <w:lang w:eastAsia="es-ES"/>
        </w:rPr>
        <w:t>Depreciación, Deterioro y Amortización Acumulada de Bienes</w:t>
      </w:r>
      <w:r w:rsidRPr="008641A6">
        <w:rPr>
          <w:rFonts w:eastAsia="Times New Roman" w:cs="Arial"/>
          <w:lang w:eastAsia="es-ES"/>
        </w:rPr>
        <w:t>. - El saldo de 149</w:t>
      </w:r>
      <w:proofErr w:type="gramStart"/>
      <w:r w:rsidRPr="008641A6">
        <w:rPr>
          <w:rFonts w:eastAsia="Times New Roman" w:cs="Arial"/>
          <w:lang w:eastAsia="es-ES"/>
        </w:rPr>
        <w:t>,375,999.67</w:t>
      </w:r>
      <w:proofErr w:type="gramEnd"/>
      <w:r w:rsidRPr="008641A6">
        <w:rPr>
          <w:rFonts w:eastAsia="Times New Roman" w:cs="Arial"/>
          <w:lang w:eastAsia="es-ES"/>
        </w:rPr>
        <w:t xml:space="preserve">, se integra con las siguientes cuentas, dando un total neto en el rubro de activo fijo </w:t>
      </w:r>
      <w:r w:rsidRPr="008641A6">
        <w:rPr>
          <w:rFonts w:eastAsia="Times New Roman" w:cs="Arial"/>
          <w:color w:val="000000"/>
          <w:lang w:eastAsia="es-ES"/>
        </w:rPr>
        <w:t>de 178,433,337.56.</w:t>
      </w:r>
    </w:p>
    <w:p w14:paraId="18D3995F" w14:textId="77777777" w:rsidR="008641A6" w:rsidRPr="008641A6" w:rsidRDefault="008641A6" w:rsidP="008641A6">
      <w:pPr>
        <w:spacing w:after="101" w:line="276" w:lineRule="auto"/>
        <w:ind w:right="-1"/>
        <w:jc w:val="both"/>
        <w:rPr>
          <w:rFonts w:eastAsia="Times New Roman" w:cs="Arial"/>
          <w:lang w:eastAsia="es-ES"/>
        </w:rPr>
      </w:pPr>
      <w:r w:rsidRPr="008641A6">
        <w:rPr>
          <w:rFonts w:eastAsia="Times New Roman" w:cs="Arial"/>
          <w:b/>
          <w:lang w:eastAsia="es-ES"/>
        </w:rPr>
        <w:t>Depreciación Acumulada de Bienes Inmuebles. -</w:t>
      </w:r>
      <w:r w:rsidRPr="008641A6">
        <w:rPr>
          <w:rFonts w:eastAsia="Times New Roman" w:cs="Arial"/>
          <w:lang w:eastAsia="es-ES"/>
        </w:rPr>
        <w:t xml:space="preserve"> El saldo de 8</w:t>
      </w:r>
      <w:proofErr w:type="gramStart"/>
      <w:r w:rsidRPr="008641A6">
        <w:rPr>
          <w:rFonts w:eastAsia="Times New Roman" w:cs="Arial"/>
          <w:lang w:eastAsia="es-ES"/>
        </w:rPr>
        <w:t>,873,387.16</w:t>
      </w:r>
      <w:proofErr w:type="gramEnd"/>
      <w:r w:rsidRPr="008641A6">
        <w:rPr>
          <w:rFonts w:eastAsia="Times New Roman" w:cs="Arial"/>
          <w:lang w:eastAsia="es-ES"/>
        </w:rPr>
        <w:t>, es el importe de la disminución a valores históricos de los bienes inmuebles del Instituto, el total neto en la cuenta de Edificios No Habitacionales es por 77,452,348.03.</w:t>
      </w:r>
    </w:p>
    <w:p w14:paraId="08AF867D" w14:textId="77777777" w:rsidR="008641A6" w:rsidRPr="008641A6" w:rsidRDefault="008641A6" w:rsidP="008641A6">
      <w:pPr>
        <w:spacing w:after="101" w:line="276" w:lineRule="auto"/>
        <w:ind w:right="-1"/>
        <w:jc w:val="both"/>
        <w:rPr>
          <w:rFonts w:eastAsia="Times New Roman" w:cs="Arial"/>
          <w:lang w:eastAsia="es-ES"/>
        </w:rPr>
      </w:pPr>
      <w:r w:rsidRPr="008641A6">
        <w:rPr>
          <w:rFonts w:eastAsia="Times New Roman" w:cs="Arial"/>
          <w:b/>
          <w:lang w:eastAsia="es-ES"/>
        </w:rPr>
        <w:t>Depreciación Acumulada de Bienes Muebles. -</w:t>
      </w:r>
      <w:r w:rsidRPr="008641A6">
        <w:rPr>
          <w:rFonts w:eastAsia="Times New Roman" w:cs="Arial"/>
          <w:lang w:eastAsia="es-ES"/>
        </w:rPr>
        <w:t xml:space="preserve"> El saldo de 140</w:t>
      </w:r>
      <w:proofErr w:type="gramStart"/>
      <w:r w:rsidRPr="008641A6">
        <w:rPr>
          <w:rFonts w:eastAsia="Times New Roman" w:cs="Arial"/>
          <w:lang w:eastAsia="es-ES"/>
        </w:rPr>
        <w:t>,502,612.51</w:t>
      </w:r>
      <w:proofErr w:type="gramEnd"/>
      <w:r w:rsidRPr="008641A6">
        <w:rPr>
          <w:rFonts w:eastAsia="Times New Roman" w:cs="Arial"/>
          <w:lang w:eastAsia="es-ES"/>
        </w:rPr>
        <w:t xml:space="preserve"> es el importe de la disminución a valores históricos de los bienes muebles del Instituto, dando un total neto en este rubro por 100,980,989.53.</w:t>
      </w:r>
    </w:p>
    <w:p w14:paraId="50C72CFF" w14:textId="77777777" w:rsidR="008641A6" w:rsidRPr="008641A6" w:rsidRDefault="008641A6" w:rsidP="008641A6">
      <w:pPr>
        <w:spacing w:after="101" w:line="276" w:lineRule="auto"/>
        <w:ind w:right="-1"/>
        <w:jc w:val="both"/>
        <w:rPr>
          <w:rFonts w:eastAsia="Times New Roman" w:cs="Arial"/>
          <w:lang w:eastAsia="es-ES"/>
        </w:rPr>
      </w:pPr>
    </w:p>
    <w:p w14:paraId="04160656" w14:textId="77777777" w:rsidR="008641A6" w:rsidRPr="008641A6" w:rsidRDefault="008641A6" w:rsidP="008641A6">
      <w:pPr>
        <w:numPr>
          <w:ilvl w:val="0"/>
          <w:numId w:val="12"/>
        </w:numPr>
        <w:spacing w:after="0" w:line="259" w:lineRule="auto"/>
        <w:contextualSpacing/>
        <w:rPr>
          <w:rFonts w:eastAsia="Times New Roman" w:cs="Times New Roman"/>
          <w:b/>
          <w:lang w:eastAsia="es-MX"/>
        </w:rPr>
      </w:pPr>
      <w:r w:rsidRPr="008641A6">
        <w:rPr>
          <w:rFonts w:eastAsia="Times New Roman" w:cs="Times New Roman"/>
          <w:b/>
          <w:lang w:eastAsia="es-MX"/>
        </w:rPr>
        <w:t>Fideicomisos, Mandatos y Análogos</w:t>
      </w:r>
    </w:p>
    <w:p w14:paraId="5BFDC098" w14:textId="77777777" w:rsidR="008641A6" w:rsidRPr="008641A6" w:rsidRDefault="008641A6" w:rsidP="008641A6">
      <w:pPr>
        <w:spacing w:after="0" w:line="259" w:lineRule="auto"/>
        <w:ind w:left="720"/>
        <w:contextualSpacing/>
        <w:rPr>
          <w:rFonts w:eastAsia="Times New Roman" w:cs="Arial"/>
          <w:lang w:eastAsia="es-ES"/>
        </w:rPr>
      </w:pPr>
    </w:p>
    <w:p w14:paraId="30D27FA1" w14:textId="77777777" w:rsidR="008641A6" w:rsidRPr="008641A6" w:rsidRDefault="008641A6" w:rsidP="008641A6">
      <w:pPr>
        <w:numPr>
          <w:ilvl w:val="0"/>
          <w:numId w:val="13"/>
        </w:numPr>
        <w:spacing w:after="240" w:line="276" w:lineRule="auto"/>
        <w:ind w:right="-1"/>
        <w:jc w:val="both"/>
        <w:rPr>
          <w:rFonts w:cs="Arial"/>
        </w:rPr>
      </w:pPr>
      <w:r w:rsidRPr="008641A6">
        <w:rPr>
          <w:rFonts w:cs="Arial"/>
        </w:rPr>
        <w:t>El 12 de mayo de 2010 el Congreso del Estado de México aprobó el Decreto No. 79 (el “Decreto de Autorización”), mediante el cual se reformaron diversas disposiciones del Marco Jurídico Local (entre ellas el Código Financiero del Estado de México y Municipios) y se otorgó autorización al Instituto para: Constituir un fideicomiso; obtener financiamiento a través de dicho fideicomiso destinado a la modernización del Instituto y a Inversión Pública Productiva, traspasar los ingresos del Registro Público de la Propiedad (RPP) al fideicomiso; otorgar una garantía en relación a las obligaciones que el fideicomiso asuma; y que el fiduciario del fideicomiso contrate garantías financieras, con objeto de asegurar el pago de los financiamientos.</w:t>
      </w:r>
    </w:p>
    <w:p w14:paraId="1677195C" w14:textId="77777777" w:rsidR="008641A6" w:rsidRPr="008641A6" w:rsidRDefault="008641A6" w:rsidP="008641A6">
      <w:pPr>
        <w:numPr>
          <w:ilvl w:val="0"/>
          <w:numId w:val="13"/>
        </w:numPr>
        <w:spacing w:after="240" w:line="276" w:lineRule="auto"/>
        <w:ind w:right="-1"/>
        <w:jc w:val="both"/>
        <w:rPr>
          <w:rFonts w:cs="Arial"/>
        </w:rPr>
      </w:pPr>
      <w:r w:rsidRPr="008641A6">
        <w:rPr>
          <w:rFonts w:cs="Arial"/>
        </w:rPr>
        <w:t>Con fecha 21 de junio de 2010, el Consejo Directivo del Instituto celebró una sesión en la cual, entre otros asuntos, autorizó la afectación de los ingresos del Instituto derivados de los servicios que preste en relación con el Registro Público de la Propiedad a un fideicomiso constituido conforme y sujeto a lo previsto en las fracciones XXXI y XXXII del artículo 3 y demás aplicables a la Ley de Creación y Decreto de Autorización.</w:t>
      </w:r>
    </w:p>
    <w:p w14:paraId="72D91FF0" w14:textId="24D7C64F" w:rsidR="008641A6" w:rsidRPr="00AE0682" w:rsidRDefault="008641A6" w:rsidP="00B123D5">
      <w:pPr>
        <w:numPr>
          <w:ilvl w:val="0"/>
          <w:numId w:val="13"/>
        </w:numPr>
        <w:spacing w:after="240" w:line="259" w:lineRule="auto"/>
        <w:ind w:right="-1"/>
        <w:jc w:val="both"/>
        <w:rPr>
          <w:rFonts w:cs="Arial"/>
        </w:rPr>
      </w:pPr>
      <w:r w:rsidRPr="00AE0682">
        <w:rPr>
          <w:rFonts w:cs="Arial"/>
        </w:rPr>
        <w:t>De conformidad con lo establecido en el párrafo (d) del Artículo Sexto del Decreto de Autorización, mediante oficio No. 203A-0615/2010 de fecha 16 de julio de 2010, la Secretaría de Finanzas del Estado autorizó al Instituto para determinar y acordar los términos y condiciones relacionados con el Contrato de Fideicomiso Irrevocable No. 80615 y la celebración del mismo.</w:t>
      </w:r>
    </w:p>
    <w:p w14:paraId="1B19ABA0" w14:textId="77777777" w:rsidR="008641A6" w:rsidRPr="008641A6" w:rsidRDefault="008641A6" w:rsidP="008641A6">
      <w:pPr>
        <w:numPr>
          <w:ilvl w:val="0"/>
          <w:numId w:val="13"/>
        </w:numPr>
        <w:spacing w:after="240" w:line="276" w:lineRule="auto"/>
        <w:ind w:right="-1"/>
        <w:jc w:val="both"/>
        <w:rPr>
          <w:rFonts w:cs="Arial"/>
        </w:rPr>
      </w:pPr>
      <w:r w:rsidRPr="008641A6">
        <w:rPr>
          <w:rFonts w:cs="Arial"/>
        </w:rPr>
        <w:t xml:space="preserve">Con fecha 29 de julio de 2010, el Instituto de la Función Registral del Estado de México (el Instituto), como Fideicomitente y Fideicomisario en cuarto lugar, constituyó el Fideicomiso Irrevocable número 80615 (el “Fideicomiso de Cobranza”) con Nacional Financiera, S.N.C., Institución de Banca de Desarrollo, Dirección Fiduciaria) como Fiduciario de Cobranza al cual transfiere irrevocablemente los ingresos del RPP, como “Fideicomisario en primer lugar y Emisora” Promotora de Infraestructura Registral, S.A. de C.V. SOFOM, E. N. R., Banco </w:t>
      </w:r>
      <w:proofErr w:type="spellStart"/>
      <w:r w:rsidRPr="008641A6">
        <w:rPr>
          <w:rFonts w:cs="Arial"/>
        </w:rPr>
        <w:t>Invex</w:t>
      </w:r>
      <w:proofErr w:type="spellEnd"/>
      <w:r w:rsidRPr="008641A6">
        <w:rPr>
          <w:rFonts w:cs="Arial"/>
        </w:rPr>
        <w:t xml:space="preserve">, S.A., Institución de Banca Múltiple </w:t>
      </w:r>
      <w:proofErr w:type="spellStart"/>
      <w:r w:rsidRPr="008641A6">
        <w:rPr>
          <w:rFonts w:cs="Arial"/>
        </w:rPr>
        <w:t>Invex</w:t>
      </w:r>
      <w:proofErr w:type="spellEnd"/>
      <w:r w:rsidRPr="008641A6">
        <w:rPr>
          <w:rFonts w:cs="Arial"/>
        </w:rPr>
        <w:t xml:space="preserve"> Grupo Financiero y </w:t>
      </w:r>
      <w:proofErr w:type="spellStart"/>
      <w:r w:rsidRPr="008641A6">
        <w:rPr>
          <w:rFonts w:cs="Arial"/>
        </w:rPr>
        <w:t>Monex</w:t>
      </w:r>
      <w:proofErr w:type="spellEnd"/>
      <w:r w:rsidRPr="008641A6">
        <w:rPr>
          <w:rFonts w:cs="Arial"/>
        </w:rPr>
        <w:t xml:space="preserve"> Casa de Bolsa, S.A. de C.V., como “Fiduciarios” representantes comunes de los tenedores de los Certificados Bursátiles Fiduciarios Series “A” y “B”.</w:t>
      </w:r>
    </w:p>
    <w:p w14:paraId="42D9D37F" w14:textId="77777777" w:rsidR="008641A6" w:rsidRPr="008641A6" w:rsidRDefault="008641A6" w:rsidP="008641A6">
      <w:pPr>
        <w:numPr>
          <w:ilvl w:val="0"/>
          <w:numId w:val="13"/>
        </w:numPr>
        <w:spacing w:line="276" w:lineRule="auto"/>
        <w:ind w:right="-1"/>
        <w:jc w:val="both"/>
        <w:rPr>
          <w:rFonts w:cs="Arial"/>
        </w:rPr>
      </w:pPr>
      <w:r w:rsidRPr="008641A6">
        <w:rPr>
          <w:rFonts w:cs="Arial"/>
        </w:rPr>
        <w:t xml:space="preserve">Adicionalmente el 9 de agosto de 2010, la SOFOM, como Fideicomitente, constituyó el Fideicomiso Irrevocable de Administración y Fuente de Pago número F/301051 (el “Fideicomiso de Pago”) con HSBC México, S.A., Institución de Banca Múltiple, Grupo Financiero HSBC, División Fiduciaria, como fiduciario (el “Fiduciario de Pago”), Nacional Financiera, S.N.C., Institución de Banca de Desarrollo, Dirección Fiduciaria, como Fideicomisario en segundo lugar, </w:t>
      </w:r>
      <w:proofErr w:type="spellStart"/>
      <w:r w:rsidRPr="008641A6">
        <w:rPr>
          <w:rFonts w:cs="Arial"/>
        </w:rPr>
        <w:t>Monex</w:t>
      </w:r>
      <w:proofErr w:type="spellEnd"/>
      <w:r w:rsidRPr="008641A6">
        <w:rPr>
          <w:rFonts w:cs="Arial"/>
        </w:rPr>
        <w:t xml:space="preserve"> Casa de Bolsa, S.A. de C.V., </w:t>
      </w:r>
      <w:proofErr w:type="spellStart"/>
      <w:r w:rsidRPr="008641A6">
        <w:rPr>
          <w:rFonts w:cs="Arial"/>
        </w:rPr>
        <w:t>Monex</w:t>
      </w:r>
      <w:proofErr w:type="spellEnd"/>
      <w:r w:rsidRPr="008641A6">
        <w:rPr>
          <w:rFonts w:cs="Arial"/>
        </w:rPr>
        <w:t xml:space="preserve"> Grupo Financiero, como representante común de los tenedores de los Certificados Bursátiles y </w:t>
      </w:r>
    </w:p>
    <w:p w14:paraId="399375B8" w14:textId="77777777" w:rsidR="008641A6" w:rsidRPr="008641A6" w:rsidRDefault="008641A6" w:rsidP="008641A6">
      <w:pPr>
        <w:spacing w:line="276" w:lineRule="auto"/>
        <w:ind w:left="786" w:right="-1"/>
        <w:jc w:val="both"/>
        <w:rPr>
          <w:rFonts w:cs="Arial"/>
        </w:rPr>
      </w:pPr>
      <w:proofErr w:type="spellStart"/>
      <w:r w:rsidRPr="008641A6">
        <w:rPr>
          <w:rFonts w:cs="Arial"/>
        </w:rPr>
        <w:t>The</w:t>
      </w:r>
      <w:proofErr w:type="spellEnd"/>
      <w:r w:rsidRPr="008641A6">
        <w:rPr>
          <w:rFonts w:cs="Arial"/>
        </w:rPr>
        <w:t xml:space="preserve"> Bank of New York </w:t>
      </w:r>
      <w:proofErr w:type="spellStart"/>
      <w:r w:rsidRPr="008641A6">
        <w:rPr>
          <w:rFonts w:cs="Arial"/>
        </w:rPr>
        <w:t>Mellon</w:t>
      </w:r>
      <w:proofErr w:type="spellEnd"/>
      <w:r w:rsidRPr="008641A6">
        <w:rPr>
          <w:rFonts w:cs="Arial"/>
        </w:rPr>
        <w:t>, S.A., Institución de Banca Múltiple como mandatario del Garante “A” y del Garante “B”.</w:t>
      </w:r>
    </w:p>
    <w:p w14:paraId="6917F1BA" w14:textId="77777777" w:rsidR="008641A6" w:rsidRPr="008641A6" w:rsidRDefault="008641A6" w:rsidP="008641A6">
      <w:pPr>
        <w:numPr>
          <w:ilvl w:val="0"/>
          <w:numId w:val="13"/>
        </w:numPr>
        <w:spacing w:after="0" w:line="259" w:lineRule="auto"/>
        <w:contextualSpacing/>
        <w:rPr>
          <w:rFonts w:eastAsia="Times New Roman" w:cs="Arial"/>
          <w:lang w:eastAsia="es-MX"/>
        </w:rPr>
      </w:pPr>
      <w:r w:rsidRPr="008641A6">
        <w:rPr>
          <w:rFonts w:eastAsia="Times New Roman" w:cs="Arial"/>
          <w:lang w:eastAsia="es-MX"/>
        </w:rPr>
        <w:t>El 23 de agosto de 2010 el Estado de México, el Instituto y Promotora de Infraestructura Registral, S.A. de C.V. SOFOM, E.N.R., celebran un Convenio Global Estabilizador, en virtud del cual el Estado y el Instituto asumen una serie de obligaciones de hacer y no hacer frente a la Emisora, así como compromisos de indemnización por el incumplimiento de dichas obligaciones.</w:t>
      </w:r>
    </w:p>
    <w:p w14:paraId="56A15D43" w14:textId="77777777" w:rsidR="008641A6" w:rsidRPr="008641A6" w:rsidRDefault="008641A6" w:rsidP="008641A6">
      <w:pPr>
        <w:spacing w:after="0" w:line="259" w:lineRule="auto"/>
        <w:ind w:left="786"/>
        <w:contextualSpacing/>
        <w:rPr>
          <w:rFonts w:eastAsia="Times New Roman" w:cs="Arial"/>
          <w:lang w:eastAsia="es-MX"/>
        </w:rPr>
      </w:pPr>
    </w:p>
    <w:p w14:paraId="0783B460" w14:textId="77777777" w:rsidR="008641A6" w:rsidRPr="008641A6" w:rsidRDefault="008641A6" w:rsidP="008641A6">
      <w:pPr>
        <w:numPr>
          <w:ilvl w:val="0"/>
          <w:numId w:val="13"/>
        </w:numPr>
        <w:spacing w:line="276" w:lineRule="auto"/>
        <w:ind w:right="-1"/>
        <w:jc w:val="both"/>
        <w:rPr>
          <w:rFonts w:cs="Arial"/>
        </w:rPr>
      </w:pPr>
      <w:r w:rsidRPr="008641A6">
        <w:rPr>
          <w:rFonts w:cs="Arial"/>
        </w:rPr>
        <w:t xml:space="preserve">Con esta misma fecha de conformidad con los artículos 61 a 64 de la Ley del Mercado de Valores, la Emisora Promotora de Infraestructura Registral, S.A. de C.V. SOFOM., E.N.R., emitió, ofreció y colocó, de forma privada, certificados bursátiles fiduciarios serie (i) “A” por un monto de 2 mil 765 millones de pesos, con una tasa de interés anual igual a la suma del U.S. </w:t>
      </w:r>
      <w:proofErr w:type="spellStart"/>
      <w:r w:rsidRPr="008641A6">
        <w:rPr>
          <w:rFonts w:cs="Arial"/>
        </w:rPr>
        <w:t>Treasury</w:t>
      </w:r>
      <w:proofErr w:type="spellEnd"/>
      <w:r w:rsidRPr="008641A6">
        <w:rPr>
          <w:rFonts w:cs="Arial"/>
        </w:rPr>
        <w:t xml:space="preserve"> </w:t>
      </w:r>
      <w:proofErr w:type="spellStart"/>
      <w:r w:rsidRPr="008641A6">
        <w:rPr>
          <w:rFonts w:cs="Arial"/>
        </w:rPr>
        <w:t>Cost</w:t>
      </w:r>
      <w:proofErr w:type="spellEnd"/>
      <w:r w:rsidRPr="008641A6">
        <w:rPr>
          <w:rFonts w:cs="Arial"/>
        </w:rPr>
        <w:t xml:space="preserve">, más 3.5 por ciento, y (ii) “B” por un monto de 1 mil 300 millones de pesos, con una tasa de interés anual igual al resultado de multiplicar 1.10 por la tasa moratoria que se establece en el </w:t>
      </w:r>
      <w:proofErr w:type="spellStart"/>
      <w:r w:rsidRPr="008641A6">
        <w:rPr>
          <w:rFonts w:cs="Arial"/>
        </w:rPr>
        <w:t>Macrotítulo</w:t>
      </w:r>
      <w:proofErr w:type="spellEnd"/>
      <w:r w:rsidRPr="008641A6">
        <w:rPr>
          <w:rFonts w:cs="Arial"/>
        </w:rPr>
        <w:t xml:space="preserve"> de los Certificados Bursátiles Fiduciarios Serie “B”, y se encuentran respaldados por los remanentes del Fideicomiso de Cobranza.</w:t>
      </w:r>
    </w:p>
    <w:p w14:paraId="62AB82F7" w14:textId="77777777" w:rsidR="008641A6" w:rsidRPr="008641A6" w:rsidRDefault="008641A6" w:rsidP="008641A6">
      <w:pPr>
        <w:numPr>
          <w:ilvl w:val="0"/>
          <w:numId w:val="13"/>
        </w:numPr>
        <w:spacing w:line="276" w:lineRule="auto"/>
        <w:ind w:right="-1"/>
        <w:jc w:val="both"/>
        <w:rPr>
          <w:rFonts w:cs="Arial"/>
        </w:rPr>
      </w:pPr>
      <w:r w:rsidRPr="008641A6">
        <w:rPr>
          <w:rFonts w:cs="Arial"/>
        </w:rPr>
        <w:t>Las emisiones estarán denominadas en su totalidad en pesos, tendrán un plazo de 20 años y realizarán pagos semestrales de intereses y capital, con tasa de interés fija y amortizaciones programadas crecientes. La fuente de pago de las emisiones serán los certificados bursátiles fiduciarios (CBFS) que van a ser adquiridos por la emisora, que a su vez estarán respaldados por el 100 por ciento de los ingresos del Instituto de la Función Registral del Estado de México (el Instituto), derivados de la recaudación de derechos por la prestación de los servicios consistentes en llevar a cabo la función del Registro Público de la Propiedad (Ingresos RPP).</w:t>
      </w:r>
    </w:p>
    <w:p w14:paraId="68CC317E" w14:textId="77777777" w:rsidR="008641A6" w:rsidRPr="008641A6" w:rsidRDefault="008641A6" w:rsidP="008641A6">
      <w:pPr>
        <w:numPr>
          <w:ilvl w:val="0"/>
          <w:numId w:val="13"/>
        </w:numPr>
        <w:spacing w:after="240" w:line="276" w:lineRule="auto"/>
        <w:ind w:right="-1"/>
        <w:jc w:val="both"/>
        <w:rPr>
          <w:rFonts w:cs="Arial"/>
        </w:rPr>
      </w:pPr>
      <w:r w:rsidRPr="008641A6">
        <w:rPr>
          <w:rFonts w:cs="Arial"/>
        </w:rPr>
        <w:t xml:space="preserve">Adicionalmente los CBFS Serie A contarán con una garantía financiera de </w:t>
      </w:r>
      <w:proofErr w:type="spellStart"/>
      <w:r w:rsidRPr="008641A6">
        <w:rPr>
          <w:rFonts w:cs="Arial"/>
        </w:rPr>
        <w:t>Overseas</w:t>
      </w:r>
      <w:proofErr w:type="spellEnd"/>
      <w:r w:rsidRPr="008641A6">
        <w:rPr>
          <w:rFonts w:cs="Arial"/>
        </w:rPr>
        <w:t xml:space="preserve"> </w:t>
      </w:r>
      <w:proofErr w:type="spellStart"/>
      <w:r w:rsidRPr="008641A6">
        <w:rPr>
          <w:rFonts w:cs="Arial"/>
        </w:rPr>
        <w:t>Private</w:t>
      </w:r>
      <w:proofErr w:type="spellEnd"/>
      <w:r w:rsidRPr="008641A6">
        <w:rPr>
          <w:rFonts w:cs="Arial"/>
        </w:rPr>
        <w:t xml:space="preserve"> </w:t>
      </w:r>
      <w:proofErr w:type="spellStart"/>
      <w:r w:rsidRPr="008641A6">
        <w:rPr>
          <w:rFonts w:cs="Arial"/>
        </w:rPr>
        <w:t>Investment</w:t>
      </w:r>
      <w:proofErr w:type="spellEnd"/>
      <w:r w:rsidRPr="008641A6">
        <w:rPr>
          <w:rFonts w:cs="Arial"/>
        </w:rPr>
        <w:t xml:space="preserve"> </w:t>
      </w:r>
      <w:proofErr w:type="spellStart"/>
      <w:r w:rsidRPr="008641A6">
        <w:rPr>
          <w:rFonts w:cs="Arial"/>
        </w:rPr>
        <w:t>Corporation</w:t>
      </w:r>
      <w:proofErr w:type="spellEnd"/>
      <w:r w:rsidRPr="008641A6">
        <w:rPr>
          <w:rFonts w:cs="Arial"/>
        </w:rPr>
        <w:t xml:space="preserve"> (OPIC) por US $250 millones de dólares (MDD) de principal más los intereses asociados; mientras que los CBFS Serie B tendrán una garantía financiera de Corporación Andina de Fomento (CAF) por el 30 por ciento del saldo insoluto.</w:t>
      </w:r>
    </w:p>
    <w:p w14:paraId="7C93A0F6" w14:textId="77777777" w:rsidR="008641A6" w:rsidRPr="008641A6" w:rsidRDefault="008641A6" w:rsidP="008641A6">
      <w:pPr>
        <w:numPr>
          <w:ilvl w:val="0"/>
          <w:numId w:val="13"/>
        </w:numPr>
        <w:spacing w:line="276" w:lineRule="auto"/>
        <w:ind w:right="-1"/>
        <w:jc w:val="both"/>
        <w:rPr>
          <w:rFonts w:cs="Arial"/>
        </w:rPr>
      </w:pPr>
      <w:r w:rsidRPr="008641A6">
        <w:rPr>
          <w:rFonts w:cs="Arial"/>
        </w:rPr>
        <w:t>En Sesión Ordinaria del Consejo Directivo de fecha 21 de febrero de 2011, el Instituto presentó propuesta para aprobar previa autorización de la Secretaría de Finanzas del Gobierno del Estado de México, conforme a lo establecido en el Decreto número 79, aprobado por la H. “LVII” Legislatura del Estado y publicado en la “Gaceta del Gobierno” el 12 de mayo de 2010, se celebró y se obligó conforme a los contratos y demás instrumentos que resultaron necesarios o convenientes, la emisión y suscripción de los Certificados Bursátiles Fiduciarios Subordinados (Serie “C”), equivalente a 650,901.5 miles de UDIS. A la fecha de la emisión, dichas UDIS representaron un importe de 3 mil millones 11.2 miles de pesos; tendrá un plazo de 20 años y realizarán pagos semestrales de interés y capital, con tasa de interés fija. La cobranza y garantía de los mismos, incluyendo de forma enunciativa, más no limitativa, los contratos de garantía y compra venta con los adquirentes de los Certificados Bursátiles Fiduciarios Subordinados (Serie “C”), pudiendo asumir obligaciones en beneficio de dichos adquirentes, tales como el pago de comisiones y la creación y mantenimiento de fondos de reserva o cualesquiera otros mecanismos similares, y los demás contratos y documentos relacionados a la operación antes mencionada a la fecha.</w:t>
      </w:r>
    </w:p>
    <w:p w14:paraId="4692F6AD" w14:textId="77777777" w:rsidR="008641A6" w:rsidRPr="008641A6" w:rsidRDefault="008641A6" w:rsidP="008641A6">
      <w:pPr>
        <w:numPr>
          <w:ilvl w:val="0"/>
          <w:numId w:val="13"/>
        </w:numPr>
        <w:spacing w:line="276" w:lineRule="auto"/>
        <w:ind w:right="-1"/>
        <w:jc w:val="both"/>
        <w:rPr>
          <w:rFonts w:cs="Arial"/>
        </w:rPr>
      </w:pPr>
      <w:r w:rsidRPr="008641A6">
        <w:rPr>
          <w:rFonts w:cs="Arial"/>
        </w:rPr>
        <w:t>En el caso específico del Fideicomiso de Cobranza No. 80615 el Fideicomitente es el Instituto y el Fideicomisario la SOFOM, por lo tanto, de conformidad con lo establecido en el Artículo 265 B Bis del Código Financiero del Estado de México y Municipios y en el Artículo 7 de la Ley para la Coordinación y Control de Organismos Auxiliares del Estado de México, no se trata de un fideicomiso público.</w:t>
      </w:r>
    </w:p>
    <w:p w14:paraId="0F0E27B0" w14:textId="77777777" w:rsidR="008641A6" w:rsidRPr="008641A6" w:rsidRDefault="008641A6" w:rsidP="008641A6">
      <w:pPr>
        <w:numPr>
          <w:ilvl w:val="0"/>
          <w:numId w:val="13"/>
        </w:numPr>
        <w:spacing w:line="276" w:lineRule="auto"/>
        <w:ind w:right="-1"/>
        <w:jc w:val="both"/>
        <w:rPr>
          <w:rFonts w:cs="Arial"/>
        </w:rPr>
      </w:pPr>
      <w:r w:rsidRPr="008641A6">
        <w:rPr>
          <w:rFonts w:cs="Arial"/>
        </w:rPr>
        <w:t>Por lo anterior, desde el ejercicio de 2010, se definió que el Fideicomiso de Cobranza se reconociera en el Instituto, de acuerdo al Manual Único de Contabilidad Gubernamental para las Dependencias y Entidades Públicas del Gobierno y Municipios del Estado de México, en cumplimiento con los lineamientos de la Guía Contabilizadora del Gobierno del Estado de México.</w:t>
      </w:r>
    </w:p>
    <w:p w14:paraId="2D154070" w14:textId="77777777" w:rsidR="008641A6" w:rsidRPr="008641A6" w:rsidRDefault="008641A6" w:rsidP="008641A6">
      <w:pPr>
        <w:numPr>
          <w:ilvl w:val="0"/>
          <w:numId w:val="13"/>
        </w:numPr>
        <w:spacing w:line="276" w:lineRule="auto"/>
        <w:ind w:right="-1"/>
        <w:jc w:val="both"/>
        <w:rPr>
          <w:rFonts w:cs="Arial"/>
        </w:rPr>
      </w:pPr>
      <w:r w:rsidRPr="008641A6">
        <w:rPr>
          <w:rFonts w:cs="Arial"/>
        </w:rPr>
        <w:t>El día 30 de noviembre de 2015 Promotora de Infraestructura Registral II, S.A. de C.V., SOFOM E.R. (antes Promotora de Infraestructura Registral, S.A. de C.V.), fue inscrita en el registro de prestadores de servicios financieros (SIPRES) que mantiene la Comisión Nacional para la Protección y Defensa de los Usuarios de Servicios Financieros (CONDUSEF) como Sociedad Financiera de Objeto Múltiple Regulada, en términos del segundo párrafo del artículo 87-b de la Ley General de Organizaciones y Actividades Auxiliares del Crédito.</w:t>
      </w:r>
    </w:p>
    <w:p w14:paraId="2355D6B1" w14:textId="77777777" w:rsidR="008641A6" w:rsidRPr="008641A6" w:rsidRDefault="008641A6" w:rsidP="008641A6">
      <w:pPr>
        <w:spacing w:line="259" w:lineRule="auto"/>
        <w:rPr>
          <w:rFonts w:cs="Arial"/>
        </w:rPr>
      </w:pPr>
      <w:r w:rsidRPr="008641A6">
        <w:rPr>
          <w:rFonts w:cs="Arial"/>
        </w:rPr>
        <w:br w:type="page"/>
      </w:r>
    </w:p>
    <w:p w14:paraId="2F19FB26" w14:textId="77777777" w:rsidR="002577A6" w:rsidRPr="00890F21" w:rsidRDefault="002577A6" w:rsidP="002577A6">
      <w:pPr>
        <w:numPr>
          <w:ilvl w:val="0"/>
          <w:numId w:val="12"/>
        </w:numPr>
        <w:spacing w:after="0" w:line="259" w:lineRule="auto"/>
        <w:contextualSpacing/>
        <w:rPr>
          <w:b/>
        </w:rPr>
      </w:pPr>
      <w:r w:rsidRPr="00890F21">
        <w:rPr>
          <w:b/>
        </w:rPr>
        <w:t>Reporte de la Recaudación</w:t>
      </w:r>
    </w:p>
    <w:p w14:paraId="12C4B926" w14:textId="46BB7AFD" w:rsidR="002577A6" w:rsidRPr="00890F21" w:rsidRDefault="00AE0682" w:rsidP="00890F21">
      <w:pPr>
        <w:pStyle w:val="Prrafodelista"/>
        <w:spacing w:after="240" w:line="276" w:lineRule="auto"/>
        <w:ind w:left="644" w:right="-1"/>
        <w:jc w:val="center"/>
        <w:rPr>
          <w:rFonts w:ascii="HelveticaNeueLT Std" w:hAnsi="HelveticaNeueLT Std"/>
          <w:b/>
          <w:sz w:val="20"/>
          <w:szCs w:val="20"/>
        </w:rPr>
      </w:pPr>
      <w:r w:rsidRPr="00AE0682">
        <w:rPr>
          <w:noProof/>
        </w:rPr>
        <w:drawing>
          <wp:inline distT="0" distB="0" distL="0" distR="0" wp14:anchorId="196EA3B7" wp14:editId="05BABE0E">
            <wp:extent cx="5904722" cy="2637945"/>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8925" cy="2639823"/>
                    </a:xfrm>
                    <a:prstGeom prst="rect">
                      <a:avLst/>
                    </a:prstGeom>
                    <a:noFill/>
                    <a:ln>
                      <a:noFill/>
                    </a:ln>
                  </pic:spPr>
                </pic:pic>
              </a:graphicData>
            </a:graphic>
          </wp:inline>
        </w:drawing>
      </w:r>
    </w:p>
    <w:p w14:paraId="1FFFA034" w14:textId="77777777" w:rsidR="002577A6" w:rsidRPr="00890F21" w:rsidRDefault="002577A6" w:rsidP="002577A6">
      <w:pPr>
        <w:pStyle w:val="Prrafodelista"/>
        <w:spacing w:after="240" w:line="276" w:lineRule="auto"/>
        <w:ind w:left="644" w:right="-1"/>
        <w:jc w:val="both"/>
        <w:rPr>
          <w:rFonts w:ascii="HelveticaNeueLT Std" w:hAnsi="HelveticaNeueLT Std"/>
          <w:b/>
          <w:sz w:val="20"/>
          <w:szCs w:val="20"/>
        </w:rPr>
      </w:pPr>
    </w:p>
    <w:p w14:paraId="2CB1A39D" w14:textId="77777777" w:rsidR="002577A6" w:rsidRDefault="002577A6" w:rsidP="002577A6">
      <w:pPr>
        <w:pStyle w:val="Prrafodelista"/>
        <w:spacing w:after="240" w:line="276" w:lineRule="auto"/>
        <w:ind w:left="644" w:right="-1"/>
        <w:jc w:val="both"/>
        <w:rPr>
          <w:rFonts w:ascii="HelveticaNeueLT Std" w:hAnsi="HelveticaNeueLT Std"/>
          <w:b/>
          <w:sz w:val="20"/>
          <w:szCs w:val="20"/>
        </w:rPr>
      </w:pPr>
      <w:r w:rsidRPr="00890F21">
        <w:rPr>
          <w:rFonts w:ascii="HelveticaNeueLT Std" w:hAnsi="HelveticaNeueLT Std"/>
          <w:b/>
          <w:sz w:val="20"/>
          <w:szCs w:val="20"/>
        </w:rPr>
        <w:t>INGRESOS.</w:t>
      </w:r>
    </w:p>
    <w:p w14:paraId="35DE84C5" w14:textId="77777777" w:rsidR="00F165E9" w:rsidRPr="00890F21" w:rsidRDefault="00F165E9" w:rsidP="002577A6">
      <w:pPr>
        <w:pStyle w:val="Prrafodelista"/>
        <w:spacing w:after="240" w:line="276" w:lineRule="auto"/>
        <w:ind w:left="644" w:right="-1"/>
        <w:jc w:val="both"/>
        <w:rPr>
          <w:rFonts w:ascii="HelveticaNeueLT Std" w:hAnsi="HelveticaNeueLT Std"/>
          <w:b/>
          <w:sz w:val="20"/>
          <w:szCs w:val="20"/>
        </w:rPr>
      </w:pPr>
    </w:p>
    <w:p w14:paraId="34983F07" w14:textId="11D1D00C" w:rsidR="002577A6" w:rsidRPr="00890F21" w:rsidRDefault="002577A6" w:rsidP="002577A6">
      <w:pPr>
        <w:pStyle w:val="Prrafodelista"/>
        <w:spacing w:after="240" w:line="276" w:lineRule="auto"/>
        <w:ind w:left="644" w:right="-1"/>
        <w:jc w:val="both"/>
        <w:rPr>
          <w:rFonts w:ascii="HelveticaNeueLT Std" w:hAnsi="HelveticaNeueLT Std"/>
          <w:sz w:val="20"/>
          <w:szCs w:val="20"/>
        </w:rPr>
      </w:pPr>
      <w:r w:rsidRPr="00890F21">
        <w:rPr>
          <w:rFonts w:ascii="HelveticaNeueLT Std" w:hAnsi="HelveticaNeueLT Std"/>
          <w:sz w:val="20"/>
          <w:szCs w:val="20"/>
        </w:rPr>
        <w:t>Inicialmente se previó recaudar en la Ley de Ingresos Estimada la cantidad de 2</w:t>
      </w:r>
      <w:proofErr w:type="gramStart"/>
      <w:r w:rsidRPr="00890F21">
        <w:rPr>
          <w:rFonts w:ascii="HelveticaNeueLT Std" w:hAnsi="HelveticaNeueLT Std"/>
          <w:sz w:val="20"/>
          <w:szCs w:val="20"/>
        </w:rPr>
        <w:t>,921,299,039.00</w:t>
      </w:r>
      <w:proofErr w:type="gramEnd"/>
      <w:r w:rsidRPr="00890F21">
        <w:rPr>
          <w:rFonts w:ascii="HelveticaNeueLT Std" w:hAnsi="HelveticaNeueLT Std"/>
          <w:sz w:val="20"/>
          <w:szCs w:val="20"/>
        </w:rPr>
        <w:t>, se dio una asignación en el Capítulo de Inversión Pública por 35,940,611.37 que corresponden al Programa Acciones para el Desarrollo (PAD), denominado “Regularización de Tenencia de la Tierra, provenientes del Gobierno del Estado de México (GEM), cuya fuente de financiamiento son recursos estatales, dando un total autorizado de 2,957,239,650.37. Se han realizado ampliaciones al presupuesto por un total de 1</w:t>
      </w:r>
      <w:proofErr w:type="gramStart"/>
      <w:r w:rsidRPr="00890F21">
        <w:rPr>
          <w:rFonts w:ascii="HelveticaNeueLT Std" w:hAnsi="HelveticaNeueLT Std"/>
          <w:sz w:val="20"/>
          <w:szCs w:val="20"/>
        </w:rPr>
        <w:t>,155,221,999.34</w:t>
      </w:r>
      <w:proofErr w:type="gramEnd"/>
      <w:r w:rsidRPr="00890F21">
        <w:rPr>
          <w:rFonts w:ascii="HelveticaNeueLT Std" w:hAnsi="HelveticaNeueLT Std"/>
          <w:sz w:val="20"/>
          <w:szCs w:val="20"/>
        </w:rPr>
        <w:t xml:space="preserve">. El importe total recaudado al mes de diciembre es de </w:t>
      </w:r>
      <w:r w:rsidR="003B5A88">
        <w:rPr>
          <w:rFonts w:ascii="HelveticaNeueLT Std" w:hAnsi="HelveticaNeueLT Std"/>
          <w:sz w:val="20"/>
          <w:szCs w:val="20"/>
        </w:rPr>
        <w:t>3</w:t>
      </w:r>
      <w:proofErr w:type="gramStart"/>
      <w:r w:rsidR="003B5A88">
        <w:rPr>
          <w:rFonts w:ascii="HelveticaNeueLT Std" w:hAnsi="HelveticaNeueLT Std"/>
          <w:sz w:val="20"/>
          <w:szCs w:val="20"/>
        </w:rPr>
        <w:t>,575,752,331.68</w:t>
      </w:r>
      <w:proofErr w:type="gramEnd"/>
      <w:r w:rsidRPr="00890F21">
        <w:rPr>
          <w:rFonts w:ascii="HelveticaNeueLT Std" w:hAnsi="HelveticaNeueLT Std"/>
          <w:sz w:val="20"/>
          <w:szCs w:val="20"/>
        </w:rPr>
        <w:t>, por lo q</w:t>
      </w:r>
      <w:r w:rsidR="003B5A88">
        <w:rPr>
          <w:rFonts w:ascii="HelveticaNeueLT Std" w:hAnsi="HelveticaNeueLT Std"/>
          <w:sz w:val="20"/>
          <w:szCs w:val="20"/>
        </w:rPr>
        <w:t>ue existe una variación del 13.1</w:t>
      </w:r>
      <w:r w:rsidRPr="00890F21">
        <w:rPr>
          <w:rFonts w:ascii="HelveticaNeueLT Std" w:hAnsi="HelveticaNeueLT Std"/>
          <w:sz w:val="20"/>
          <w:szCs w:val="20"/>
        </w:rPr>
        <w:t xml:space="preserve"> por ciento co</w:t>
      </w:r>
      <w:r w:rsidR="003B5A88">
        <w:rPr>
          <w:rFonts w:ascii="HelveticaNeueLT Std" w:hAnsi="HelveticaNeueLT Std"/>
          <w:sz w:val="20"/>
          <w:szCs w:val="20"/>
        </w:rPr>
        <w:t>n respecto al total autorizado.</w:t>
      </w:r>
    </w:p>
    <w:p w14:paraId="4FB6B1A1" w14:textId="77777777" w:rsidR="002577A6" w:rsidRPr="00890F21" w:rsidRDefault="002577A6" w:rsidP="002577A6">
      <w:pPr>
        <w:pStyle w:val="Prrafodelista"/>
        <w:spacing w:after="240" w:line="276" w:lineRule="auto"/>
        <w:ind w:left="644" w:right="-1"/>
        <w:jc w:val="both"/>
        <w:rPr>
          <w:rFonts w:ascii="HelveticaNeueLT Std" w:hAnsi="HelveticaNeueLT Std"/>
          <w:sz w:val="20"/>
          <w:szCs w:val="20"/>
        </w:rPr>
      </w:pPr>
    </w:p>
    <w:p w14:paraId="2EC94F45" w14:textId="77777777" w:rsidR="002577A6" w:rsidRDefault="002577A6" w:rsidP="002577A6">
      <w:pPr>
        <w:pStyle w:val="Prrafodelista"/>
        <w:spacing w:after="240" w:line="276" w:lineRule="auto"/>
        <w:ind w:left="644" w:right="-1"/>
        <w:jc w:val="both"/>
        <w:rPr>
          <w:rFonts w:ascii="HelveticaNeueLT Std" w:hAnsi="HelveticaNeueLT Std"/>
          <w:b/>
          <w:sz w:val="20"/>
          <w:szCs w:val="20"/>
        </w:rPr>
      </w:pPr>
      <w:r w:rsidRPr="00890F21">
        <w:rPr>
          <w:rFonts w:ascii="HelveticaNeueLT Std" w:hAnsi="HelveticaNeueLT Std"/>
          <w:b/>
          <w:sz w:val="20"/>
          <w:szCs w:val="20"/>
        </w:rPr>
        <w:t>INGRESOS DE GESTIÓN.</w:t>
      </w:r>
    </w:p>
    <w:p w14:paraId="7BF2E57A" w14:textId="77777777" w:rsidR="00F165E9" w:rsidRPr="00890F21" w:rsidRDefault="00F165E9" w:rsidP="002577A6">
      <w:pPr>
        <w:pStyle w:val="Prrafodelista"/>
        <w:spacing w:after="240" w:line="276" w:lineRule="auto"/>
        <w:ind w:left="644" w:right="-1"/>
        <w:jc w:val="both"/>
        <w:rPr>
          <w:rFonts w:ascii="HelveticaNeueLT Std" w:hAnsi="HelveticaNeueLT Std"/>
          <w:b/>
          <w:sz w:val="20"/>
          <w:szCs w:val="20"/>
        </w:rPr>
      </w:pPr>
    </w:p>
    <w:p w14:paraId="305A6A3D" w14:textId="77777777" w:rsidR="002577A6" w:rsidRPr="00890F21" w:rsidRDefault="002577A6" w:rsidP="00F165E9">
      <w:pPr>
        <w:pStyle w:val="Prrafodelista"/>
        <w:spacing w:after="240" w:line="276" w:lineRule="auto"/>
        <w:ind w:left="644" w:right="-1"/>
        <w:jc w:val="both"/>
        <w:rPr>
          <w:rFonts w:ascii="HelveticaNeueLT Std" w:hAnsi="HelveticaNeueLT Std"/>
          <w:sz w:val="20"/>
          <w:szCs w:val="20"/>
        </w:rPr>
      </w:pPr>
      <w:r w:rsidRPr="00890F21">
        <w:rPr>
          <w:rFonts w:ascii="HelveticaNeueLT Std" w:hAnsi="HelveticaNeueLT Std"/>
          <w:sz w:val="20"/>
          <w:szCs w:val="20"/>
        </w:rPr>
        <w:t>Inicialmente se previó recaudar ingresos por concepto de derechos del Registro Público de la Propiedad y Comercio por 1</w:t>
      </w:r>
      <w:proofErr w:type="gramStart"/>
      <w:r w:rsidRPr="00890F21">
        <w:rPr>
          <w:rFonts w:ascii="HelveticaNeueLT Std" w:hAnsi="HelveticaNeueLT Std"/>
          <w:sz w:val="20"/>
          <w:szCs w:val="20"/>
        </w:rPr>
        <w:t>,557,886,722.00</w:t>
      </w:r>
      <w:proofErr w:type="gramEnd"/>
      <w:r w:rsidRPr="00890F21">
        <w:rPr>
          <w:rFonts w:ascii="HelveticaNeueLT Std" w:hAnsi="HelveticaNeueLT Std"/>
          <w:sz w:val="20"/>
          <w:szCs w:val="20"/>
        </w:rPr>
        <w:t>. No se realizaron ampliaciones al presupuesto.</w:t>
      </w:r>
    </w:p>
    <w:p w14:paraId="17AA75D0" w14:textId="77777777" w:rsidR="002577A6" w:rsidRPr="00890F21" w:rsidRDefault="002577A6" w:rsidP="00F165E9">
      <w:pPr>
        <w:pStyle w:val="Prrafodelista"/>
        <w:spacing w:after="240" w:line="276" w:lineRule="auto"/>
        <w:ind w:left="644" w:right="-1"/>
        <w:jc w:val="both"/>
        <w:rPr>
          <w:rFonts w:ascii="HelveticaNeueLT Std" w:hAnsi="HelveticaNeueLT Std"/>
          <w:sz w:val="20"/>
          <w:szCs w:val="20"/>
        </w:rPr>
      </w:pPr>
      <w:r w:rsidRPr="00890F21">
        <w:rPr>
          <w:rFonts w:ascii="HelveticaNeueLT Std" w:hAnsi="HelveticaNeueLT Std"/>
          <w:sz w:val="20"/>
          <w:szCs w:val="20"/>
        </w:rPr>
        <w:t>Se han recaudado por los derechos de los servicios que presta el Instituto 1</w:t>
      </w:r>
      <w:proofErr w:type="gramStart"/>
      <w:r w:rsidRPr="00890F21">
        <w:rPr>
          <w:rFonts w:ascii="HelveticaNeueLT Std" w:hAnsi="HelveticaNeueLT Std"/>
          <w:sz w:val="20"/>
          <w:szCs w:val="20"/>
        </w:rPr>
        <w:t>,261,459,147.00</w:t>
      </w:r>
      <w:proofErr w:type="gramEnd"/>
      <w:r w:rsidRPr="00890F21">
        <w:rPr>
          <w:rFonts w:ascii="HelveticaNeueLT Std" w:hAnsi="HelveticaNeueLT Std"/>
          <w:sz w:val="20"/>
          <w:szCs w:val="20"/>
        </w:rPr>
        <w:t xml:space="preserve">, lo que representa el 19.0 por ciento menos respecto del total autorizado. </w:t>
      </w:r>
    </w:p>
    <w:p w14:paraId="01766344" w14:textId="77777777" w:rsidR="00F165E9" w:rsidRDefault="00F165E9" w:rsidP="002577A6">
      <w:pPr>
        <w:pStyle w:val="Prrafodelista"/>
        <w:spacing w:after="240" w:line="276" w:lineRule="auto"/>
        <w:ind w:left="644" w:right="-1"/>
        <w:jc w:val="both"/>
        <w:rPr>
          <w:rFonts w:ascii="HelveticaNeueLT Std" w:hAnsi="HelveticaNeueLT Std"/>
          <w:b/>
          <w:sz w:val="20"/>
          <w:szCs w:val="20"/>
        </w:rPr>
      </w:pPr>
    </w:p>
    <w:p w14:paraId="35CACBBF" w14:textId="77777777" w:rsidR="002577A6" w:rsidRPr="00890F21" w:rsidRDefault="002577A6" w:rsidP="002577A6">
      <w:pPr>
        <w:pStyle w:val="Prrafodelista"/>
        <w:spacing w:after="240" w:line="276" w:lineRule="auto"/>
        <w:ind w:left="644" w:right="-1"/>
        <w:jc w:val="both"/>
        <w:rPr>
          <w:rFonts w:ascii="HelveticaNeueLT Std" w:hAnsi="HelveticaNeueLT Std"/>
          <w:b/>
          <w:sz w:val="20"/>
          <w:szCs w:val="20"/>
        </w:rPr>
      </w:pPr>
      <w:r w:rsidRPr="00890F21">
        <w:rPr>
          <w:rFonts w:ascii="HelveticaNeueLT Std" w:hAnsi="HelveticaNeueLT Std"/>
          <w:b/>
          <w:sz w:val="20"/>
          <w:szCs w:val="20"/>
        </w:rPr>
        <w:t>PARTICIPACIONES, APORTACIONES, TRANSFERENCIAS, ASIGNACIONES, SUBSIDIOS Y OTRAS AYUDAS.</w:t>
      </w:r>
    </w:p>
    <w:p w14:paraId="3FF72007" w14:textId="77777777" w:rsidR="002577A6" w:rsidRPr="00890F21" w:rsidRDefault="002577A6" w:rsidP="002577A6">
      <w:pPr>
        <w:pStyle w:val="Prrafodelista"/>
        <w:spacing w:after="240" w:line="276" w:lineRule="auto"/>
        <w:ind w:left="644" w:right="-1"/>
        <w:jc w:val="both"/>
        <w:rPr>
          <w:rFonts w:ascii="HelveticaNeueLT Std" w:hAnsi="HelveticaNeueLT Std"/>
          <w:sz w:val="20"/>
          <w:szCs w:val="20"/>
        </w:rPr>
      </w:pPr>
    </w:p>
    <w:p w14:paraId="06946FFB" w14:textId="77777777" w:rsidR="002577A6" w:rsidRPr="00890F21" w:rsidRDefault="002577A6" w:rsidP="002577A6">
      <w:pPr>
        <w:pStyle w:val="Prrafodelista"/>
        <w:spacing w:after="240" w:line="276" w:lineRule="auto"/>
        <w:ind w:left="644" w:right="-1"/>
        <w:jc w:val="both"/>
        <w:rPr>
          <w:rFonts w:ascii="HelveticaNeueLT Std" w:hAnsi="HelveticaNeueLT Std"/>
          <w:sz w:val="20"/>
          <w:szCs w:val="20"/>
        </w:rPr>
      </w:pPr>
      <w:r w:rsidRPr="00890F21">
        <w:rPr>
          <w:rFonts w:ascii="HelveticaNeueLT Std" w:hAnsi="HelveticaNeueLT Std"/>
          <w:sz w:val="20"/>
          <w:szCs w:val="20"/>
        </w:rPr>
        <w:t>Se autorizó la asignación presupuestal de los proyectos denominados “Regularización de Tenencia de la Tierra” por 35</w:t>
      </w:r>
      <w:proofErr w:type="gramStart"/>
      <w:r w:rsidRPr="00890F21">
        <w:rPr>
          <w:rFonts w:ascii="HelveticaNeueLT Std" w:hAnsi="HelveticaNeueLT Std"/>
          <w:sz w:val="20"/>
          <w:szCs w:val="20"/>
        </w:rPr>
        <w:t>,940,611.37</w:t>
      </w:r>
      <w:proofErr w:type="gramEnd"/>
      <w:r w:rsidRPr="00890F21">
        <w:rPr>
          <w:rFonts w:ascii="HelveticaNeueLT Std" w:hAnsi="HelveticaNeueLT Std"/>
          <w:sz w:val="20"/>
          <w:szCs w:val="20"/>
        </w:rPr>
        <w:t xml:space="preserve">, este importe se refleja en el rubro del Programa de Acciones para el Desarrollo (PAD) y se va recaudando con los depósitos que realiza mensualmente el GEM, que al mes de diciembre son 35,940,611.37. </w:t>
      </w:r>
    </w:p>
    <w:p w14:paraId="0798B5F2" w14:textId="77777777" w:rsidR="002577A6" w:rsidRPr="00890F21" w:rsidRDefault="002577A6" w:rsidP="002577A6">
      <w:pPr>
        <w:pStyle w:val="Prrafodelista"/>
        <w:spacing w:after="240" w:line="276" w:lineRule="auto"/>
        <w:ind w:left="644" w:right="-1"/>
        <w:jc w:val="both"/>
        <w:rPr>
          <w:rFonts w:ascii="HelveticaNeueLT Std" w:hAnsi="HelveticaNeueLT Std"/>
          <w:sz w:val="20"/>
          <w:szCs w:val="20"/>
        </w:rPr>
      </w:pPr>
    </w:p>
    <w:p w14:paraId="0888BC84" w14:textId="77777777" w:rsidR="002577A6" w:rsidRPr="00890F21" w:rsidRDefault="002577A6" w:rsidP="002577A6">
      <w:pPr>
        <w:pStyle w:val="Prrafodelista"/>
        <w:spacing w:after="240" w:line="276" w:lineRule="auto"/>
        <w:ind w:left="644" w:right="-1"/>
        <w:jc w:val="both"/>
        <w:rPr>
          <w:rFonts w:ascii="HelveticaNeueLT Std" w:hAnsi="HelveticaNeueLT Std"/>
          <w:b/>
          <w:sz w:val="20"/>
          <w:szCs w:val="20"/>
        </w:rPr>
      </w:pPr>
      <w:r w:rsidRPr="00890F21">
        <w:rPr>
          <w:rFonts w:ascii="HelveticaNeueLT Std" w:hAnsi="HelveticaNeueLT Std"/>
          <w:b/>
          <w:sz w:val="20"/>
          <w:szCs w:val="20"/>
        </w:rPr>
        <w:t>OTROS INGRESOS Y BENEFICIOS.</w:t>
      </w:r>
    </w:p>
    <w:p w14:paraId="00B4BEE4" w14:textId="77777777" w:rsidR="002577A6" w:rsidRPr="00890F21" w:rsidRDefault="002577A6" w:rsidP="002577A6">
      <w:pPr>
        <w:pStyle w:val="Prrafodelista"/>
        <w:spacing w:after="240" w:line="276" w:lineRule="auto"/>
        <w:ind w:left="644" w:right="-1"/>
        <w:jc w:val="both"/>
        <w:rPr>
          <w:rFonts w:ascii="HelveticaNeueLT Std" w:hAnsi="HelveticaNeueLT Std"/>
          <w:sz w:val="20"/>
          <w:szCs w:val="20"/>
        </w:rPr>
      </w:pPr>
    </w:p>
    <w:p w14:paraId="310BE761" w14:textId="77777777" w:rsidR="002577A6" w:rsidRPr="00890F21" w:rsidRDefault="002577A6" w:rsidP="002577A6">
      <w:pPr>
        <w:pStyle w:val="Prrafodelista"/>
        <w:spacing w:after="240" w:line="276" w:lineRule="auto"/>
        <w:ind w:left="644" w:right="-1"/>
        <w:jc w:val="both"/>
        <w:rPr>
          <w:rFonts w:ascii="HelveticaNeueLT Std" w:hAnsi="HelveticaNeueLT Std"/>
          <w:sz w:val="20"/>
          <w:szCs w:val="20"/>
        </w:rPr>
      </w:pPr>
      <w:r w:rsidRPr="00890F21">
        <w:rPr>
          <w:rFonts w:ascii="HelveticaNeueLT Std" w:hAnsi="HelveticaNeueLT Std"/>
          <w:sz w:val="20"/>
          <w:szCs w:val="20"/>
        </w:rPr>
        <w:t>Se previeron recaudar ingresos por 1,363,412,317.00, integrados de la siguiente forma: 496,741,289.00 de “Ingresos Financieros”, de los cuales 479,941,289.00 para pago a la fiduciaria (bonos) por intereses del Fideicomiso de Cobranza, más 16,800,000.00 de “Productos Financieros de Tipo Corriente”. Así mismo, 866,671,028.00 de “Otros Ingresos y Beneficios Varios”, de los cuales para los pagos de “amortización de capital” son 359,841,028.00, así como 479,504,000.00 de “Remanentes e intereses del fideicomiso de cobranza”, 23,630,000.00 para “Mantenimiento mayor” y 3,696,000.00 en “Otros Ingresos Varios”.</w:t>
      </w:r>
    </w:p>
    <w:p w14:paraId="30B830B5" w14:textId="77777777" w:rsidR="002577A6" w:rsidRPr="00890F21" w:rsidRDefault="002577A6" w:rsidP="002577A6">
      <w:pPr>
        <w:pStyle w:val="Prrafodelista"/>
        <w:spacing w:after="240" w:line="276" w:lineRule="auto"/>
        <w:ind w:left="644" w:right="-1"/>
        <w:jc w:val="both"/>
        <w:rPr>
          <w:rFonts w:ascii="HelveticaNeueLT Std" w:hAnsi="HelveticaNeueLT Std"/>
          <w:sz w:val="20"/>
          <w:szCs w:val="20"/>
        </w:rPr>
      </w:pPr>
    </w:p>
    <w:p w14:paraId="25316523" w14:textId="78459EFC" w:rsidR="002577A6" w:rsidRDefault="002577A6" w:rsidP="002577A6">
      <w:pPr>
        <w:pStyle w:val="Prrafodelista"/>
        <w:spacing w:after="240" w:line="276" w:lineRule="auto"/>
        <w:ind w:left="644" w:right="-1"/>
        <w:jc w:val="both"/>
        <w:rPr>
          <w:rFonts w:ascii="HelveticaNeueLT Std" w:hAnsi="HelveticaNeueLT Std"/>
          <w:sz w:val="20"/>
          <w:szCs w:val="20"/>
        </w:rPr>
      </w:pPr>
      <w:r w:rsidRPr="00890F21">
        <w:rPr>
          <w:rFonts w:ascii="HelveticaNeueLT Std" w:hAnsi="HelveticaNeueLT Std"/>
          <w:sz w:val="20"/>
          <w:szCs w:val="20"/>
        </w:rPr>
        <w:t>Se realizaron traspasos internos para dar suficiencia presupuestal a los otros ingresos financieros, por los intereses generados en las cuentas bancarias y para los otros ingresos y beneficios varios, por la cancelación de cuentas por pagar y para los rendimientos de la remesa de ingresos por RPC (Registro Público de Comercio), principalmente. Así mismo, se autorizaron ampliaciones presupuestales por: 17</w:t>
      </w:r>
      <w:proofErr w:type="gramStart"/>
      <w:r w:rsidRPr="00890F21">
        <w:rPr>
          <w:rFonts w:ascii="HelveticaNeueLT Std" w:hAnsi="HelveticaNeueLT Std"/>
          <w:sz w:val="20"/>
          <w:szCs w:val="20"/>
        </w:rPr>
        <w:t>,119,617.00</w:t>
      </w:r>
      <w:proofErr w:type="gramEnd"/>
      <w:r w:rsidRPr="00890F21">
        <w:rPr>
          <w:rFonts w:ascii="HelveticaNeueLT Std" w:hAnsi="HelveticaNeueLT Std"/>
          <w:sz w:val="20"/>
          <w:szCs w:val="20"/>
        </w:rPr>
        <w:t xml:space="preserve"> para el pago de los adeudos de ejercicios fiscales anteriores (ADEFAS 2019); </w:t>
      </w:r>
      <w:r w:rsidR="00147372" w:rsidRPr="00147372">
        <w:rPr>
          <w:rFonts w:ascii="HelveticaNeueLT Std" w:hAnsi="HelveticaNeueLT Std"/>
          <w:sz w:val="20"/>
          <w:szCs w:val="20"/>
        </w:rPr>
        <w:t xml:space="preserve">101,554,415.01 </w:t>
      </w:r>
      <w:r w:rsidRPr="00890F21">
        <w:rPr>
          <w:rFonts w:ascii="HelveticaNeueLT Std" w:hAnsi="HelveticaNeueLT Std"/>
          <w:sz w:val="20"/>
          <w:szCs w:val="20"/>
        </w:rPr>
        <w:t xml:space="preserve">para realizar el registro presupuestal –contable de la actualización relativa a la amortización de capital de los Certificados Bursátiles Fiduciarios Serie “C” del Fideicomiso Irrevocable N° F/1426 y 6,230,000.00 destinados al capítulo 5000, para la adquisición de </w:t>
      </w:r>
      <w:r w:rsidR="003B5A88">
        <w:rPr>
          <w:rFonts w:ascii="HelveticaNeueLT Std" w:hAnsi="HelveticaNeueLT Std"/>
          <w:sz w:val="20"/>
          <w:szCs w:val="20"/>
        </w:rPr>
        <w:t>M</w:t>
      </w:r>
      <w:r w:rsidRPr="00890F21">
        <w:rPr>
          <w:rFonts w:ascii="HelveticaNeueLT Std" w:hAnsi="HelveticaNeueLT Std"/>
          <w:sz w:val="20"/>
          <w:szCs w:val="20"/>
        </w:rPr>
        <w:t>obiliario</w:t>
      </w:r>
      <w:r w:rsidR="003B5A88">
        <w:rPr>
          <w:rFonts w:ascii="HelveticaNeueLT Std" w:hAnsi="HelveticaNeueLT Std"/>
          <w:sz w:val="20"/>
          <w:szCs w:val="20"/>
        </w:rPr>
        <w:t xml:space="preserve"> y Equipo de Administración</w:t>
      </w:r>
      <w:r w:rsidRPr="00890F21">
        <w:rPr>
          <w:rFonts w:ascii="HelveticaNeueLT Std" w:hAnsi="HelveticaNeueLT Std"/>
          <w:sz w:val="20"/>
          <w:szCs w:val="20"/>
        </w:rPr>
        <w:t>.</w:t>
      </w:r>
    </w:p>
    <w:p w14:paraId="7301B595" w14:textId="77777777" w:rsidR="002577A6" w:rsidRPr="00890F21" w:rsidRDefault="002577A6" w:rsidP="002577A6">
      <w:pPr>
        <w:pStyle w:val="Prrafodelista"/>
        <w:spacing w:after="240" w:line="276" w:lineRule="auto"/>
        <w:ind w:left="644" w:right="-1"/>
        <w:jc w:val="both"/>
        <w:rPr>
          <w:rFonts w:ascii="HelveticaNeueLT Std" w:hAnsi="HelveticaNeueLT Std"/>
          <w:sz w:val="20"/>
          <w:szCs w:val="20"/>
        </w:rPr>
      </w:pPr>
    </w:p>
    <w:p w14:paraId="4EBD1129" w14:textId="58D9C771" w:rsidR="00E34A73" w:rsidRDefault="002577A6" w:rsidP="00E34A73">
      <w:pPr>
        <w:pStyle w:val="Prrafodelista"/>
        <w:spacing w:after="240" w:line="276" w:lineRule="auto"/>
        <w:ind w:left="644" w:right="-1"/>
        <w:jc w:val="both"/>
        <w:rPr>
          <w:rFonts w:ascii="HelveticaNeueLT Std" w:hAnsi="HelveticaNeueLT Std"/>
          <w:sz w:val="20"/>
          <w:szCs w:val="20"/>
        </w:rPr>
      </w:pPr>
      <w:r w:rsidRPr="00890F21">
        <w:rPr>
          <w:rFonts w:ascii="HelveticaNeueLT Std" w:hAnsi="HelveticaNeueLT Std"/>
          <w:sz w:val="20"/>
          <w:szCs w:val="20"/>
        </w:rPr>
        <w:t>Ingresos Financieros. - Se tiene recaudado un importe de 481,051,371.05 de los cuales 461,665,848.24 corresponden a los ingresos del Fideicomiso de Cobranza para los pagos de intereses de los bonos correspondientes al ejercicio y 19,385,522.81 se derivan de rendimientos por intereses financieros generados por las inversiones de las Instituciones Bancarias de este Instituto.</w:t>
      </w:r>
    </w:p>
    <w:p w14:paraId="35C52E57" w14:textId="77777777" w:rsidR="00E34A73" w:rsidRDefault="00E34A73" w:rsidP="00E34A73">
      <w:pPr>
        <w:pStyle w:val="Prrafodelista"/>
        <w:spacing w:after="240" w:line="276" w:lineRule="auto"/>
        <w:ind w:left="644" w:right="-1"/>
        <w:jc w:val="both"/>
        <w:rPr>
          <w:rFonts w:ascii="HelveticaNeueLT Std" w:hAnsi="HelveticaNeueLT Std"/>
          <w:sz w:val="20"/>
          <w:szCs w:val="20"/>
        </w:rPr>
      </w:pPr>
    </w:p>
    <w:p w14:paraId="6A863E23" w14:textId="294AA68D" w:rsidR="00E34A73" w:rsidRPr="00E34A73" w:rsidRDefault="00E34A73" w:rsidP="00E34A73">
      <w:pPr>
        <w:pStyle w:val="Prrafodelista"/>
        <w:spacing w:after="240" w:line="276" w:lineRule="auto"/>
        <w:ind w:left="644" w:right="-1"/>
        <w:jc w:val="both"/>
        <w:rPr>
          <w:rFonts w:ascii="HelveticaNeueLT Std" w:hAnsi="HelveticaNeueLT Std"/>
          <w:sz w:val="20"/>
          <w:szCs w:val="20"/>
        </w:rPr>
      </w:pPr>
      <w:r w:rsidRPr="00E34A73">
        <w:rPr>
          <w:rFonts w:ascii="HelveticaNeueLT Std" w:hAnsi="HelveticaNeueLT Std"/>
          <w:sz w:val="20"/>
          <w:szCs w:val="20"/>
        </w:rPr>
        <w:t xml:space="preserve">Pasivos que se Generen como Resultado de Erogaciones que se Devengan en el Ejercicio Fiscal pero que queden Pendientes de Liquidar al Cierre del Mismo.- Se registran en el recaudado por </w:t>
      </w:r>
      <w:r w:rsidR="00147372" w:rsidRPr="00147372">
        <w:rPr>
          <w:rFonts w:ascii="HelveticaNeueLT Std" w:hAnsi="HelveticaNeueLT Std"/>
          <w:sz w:val="20"/>
          <w:szCs w:val="20"/>
        </w:rPr>
        <w:t>10</w:t>
      </w:r>
      <w:proofErr w:type="gramStart"/>
      <w:r w:rsidR="00147372" w:rsidRPr="00147372">
        <w:rPr>
          <w:rFonts w:ascii="HelveticaNeueLT Std" w:hAnsi="HelveticaNeueLT Std"/>
          <w:sz w:val="20"/>
          <w:szCs w:val="20"/>
        </w:rPr>
        <w:t>,545,971.71</w:t>
      </w:r>
      <w:proofErr w:type="gramEnd"/>
      <w:r w:rsidR="00147372">
        <w:rPr>
          <w:rFonts w:ascii="HelveticaNeueLT Std" w:hAnsi="HelveticaNeueLT Std"/>
          <w:sz w:val="20"/>
          <w:szCs w:val="20"/>
        </w:rPr>
        <w:t xml:space="preserve">, </w:t>
      </w:r>
      <w:r w:rsidRPr="00E34A73">
        <w:rPr>
          <w:rFonts w:ascii="HelveticaNeueLT Std" w:hAnsi="HelveticaNeueLT Std"/>
          <w:sz w:val="20"/>
          <w:szCs w:val="20"/>
        </w:rPr>
        <w:t xml:space="preserve"> para </w:t>
      </w:r>
      <w:r>
        <w:rPr>
          <w:rFonts w:ascii="HelveticaNeueLT Std" w:hAnsi="HelveticaNeueLT Std"/>
          <w:sz w:val="20"/>
          <w:szCs w:val="20"/>
        </w:rPr>
        <w:t>cumplir</w:t>
      </w:r>
      <w:r w:rsidR="00785E22">
        <w:rPr>
          <w:rFonts w:ascii="HelveticaNeueLT Std" w:hAnsi="HelveticaNeueLT Std"/>
          <w:sz w:val="20"/>
          <w:szCs w:val="20"/>
        </w:rPr>
        <w:t xml:space="preserve"> con las obligaciones de pago</w:t>
      </w:r>
      <w:r>
        <w:rPr>
          <w:rFonts w:ascii="HelveticaNeueLT Std" w:hAnsi="HelveticaNeueLT Std"/>
          <w:sz w:val="20"/>
          <w:szCs w:val="20"/>
        </w:rPr>
        <w:t xml:space="preserve"> en </w:t>
      </w:r>
      <w:r w:rsidRPr="00E34A73">
        <w:rPr>
          <w:rFonts w:ascii="HelveticaNeueLT Std" w:hAnsi="HelveticaNeueLT Std"/>
          <w:sz w:val="20"/>
          <w:szCs w:val="20"/>
        </w:rPr>
        <w:t>el</w:t>
      </w:r>
      <w:r>
        <w:rPr>
          <w:rFonts w:ascii="HelveticaNeueLT Std" w:hAnsi="HelveticaNeueLT Std"/>
          <w:sz w:val="20"/>
          <w:szCs w:val="20"/>
        </w:rPr>
        <w:t xml:space="preserve"> siguiente</w:t>
      </w:r>
      <w:r w:rsidRPr="00E34A73">
        <w:rPr>
          <w:rFonts w:ascii="HelveticaNeueLT Std" w:hAnsi="HelveticaNeueLT Std"/>
          <w:sz w:val="20"/>
          <w:szCs w:val="20"/>
        </w:rPr>
        <w:t xml:space="preserve"> ejercicio.</w:t>
      </w:r>
    </w:p>
    <w:p w14:paraId="4EAE678B" w14:textId="77777777" w:rsidR="002577A6" w:rsidRPr="00890F21" w:rsidRDefault="002577A6" w:rsidP="002577A6">
      <w:pPr>
        <w:pStyle w:val="Prrafodelista"/>
        <w:spacing w:after="240" w:line="276" w:lineRule="auto"/>
        <w:ind w:left="644" w:right="-1"/>
        <w:jc w:val="both"/>
        <w:rPr>
          <w:rFonts w:ascii="HelveticaNeueLT Std" w:hAnsi="HelveticaNeueLT Std"/>
          <w:sz w:val="20"/>
          <w:szCs w:val="20"/>
        </w:rPr>
      </w:pPr>
    </w:p>
    <w:p w14:paraId="4E3FC073" w14:textId="67A1C174" w:rsidR="00E34A73" w:rsidRDefault="002577A6" w:rsidP="002577A6">
      <w:pPr>
        <w:pStyle w:val="Prrafodelista"/>
        <w:spacing w:after="240" w:line="276" w:lineRule="auto"/>
        <w:ind w:left="644" w:right="-1"/>
        <w:jc w:val="both"/>
        <w:rPr>
          <w:rFonts w:ascii="HelveticaNeueLT Std" w:hAnsi="HelveticaNeueLT Std"/>
          <w:sz w:val="20"/>
          <w:szCs w:val="20"/>
        </w:rPr>
      </w:pPr>
      <w:r w:rsidRPr="00890F21">
        <w:rPr>
          <w:rFonts w:ascii="HelveticaNeueLT Std" w:hAnsi="HelveticaNeueLT Std"/>
          <w:sz w:val="20"/>
          <w:szCs w:val="20"/>
        </w:rPr>
        <w:t xml:space="preserve">Ingresos Diversos. - Se registran </w:t>
      </w:r>
      <w:r w:rsidR="0020416B">
        <w:rPr>
          <w:rFonts w:ascii="HelveticaNeueLT Std" w:hAnsi="HelveticaNeueLT Std"/>
          <w:sz w:val="20"/>
          <w:szCs w:val="20"/>
        </w:rPr>
        <w:t xml:space="preserve">otros ingresos </w:t>
      </w:r>
      <w:r w:rsidRPr="00890F21">
        <w:rPr>
          <w:rFonts w:ascii="HelveticaNeueLT Std" w:hAnsi="HelveticaNeueLT Std"/>
          <w:sz w:val="20"/>
          <w:szCs w:val="20"/>
        </w:rPr>
        <w:t xml:space="preserve">por </w:t>
      </w:r>
      <w:r w:rsidR="00147372" w:rsidRPr="00147372">
        <w:rPr>
          <w:rFonts w:ascii="HelveticaNeueLT Std" w:hAnsi="HelveticaNeueLT Std"/>
          <w:sz w:val="20"/>
          <w:szCs w:val="20"/>
        </w:rPr>
        <w:t>750,207,263.22</w:t>
      </w:r>
      <w:r w:rsidRPr="00890F21">
        <w:rPr>
          <w:rFonts w:ascii="HelveticaNeueLT Std" w:hAnsi="HelveticaNeueLT Std"/>
          <w:sz w:val="20"/>
          <w:szCs w:val="20"/>
        </w:rPr>
        <w:t xml:space="preserve">, los cuales se componen principalmente de la siguiente forma: 356,539,353.74 para pagos de amortización de capital de las series “A” y “B” y subordinada “C” por la emisión de los Certificados Bursátiles Fiduciarios; </w:t>
      </w:r>
      <w:r w:rsidR="00147372" w:rsidRPr="00147372">
        <w:rPr>
          <w:rFonts w:ascii="HelveticaNeueLT Std" w:hAnsi="HelveticaNeueLT Std"/>
          <w:sz w:val="20"/>
          <w:szCs w:val="20"/>
        </w:rPr>
        <w:t xml:space="preserve">101,554,415.01 </w:t>
      </w:r>
      <w:r w:rsidRPr="00890F21">
        <w:rPr>
          <w:rFonts w:ascii="HelveticaNeueLT Std" w:hAnsi="HelveticaNeueLT Std"/>
          <w:sz w:val="20"/>
          <w:szCs w:val="20"/>
        </w:rPr>
        <w:t>por actualización de la amortización de capital</w:t>
      </w:r>
      <w:r w:rsidRPr="00890F21">
        <w:rPr>
          <w:rFonts w:ascii="HelveticaNeueLT Std" w:hAnsi="HelveticaNeueLT Std"/>
          <w:b/>
          <w:sz w:val="20"/>
          <w:szCs w:val="20"/>
        </w:rPr>
        <w:t xml:space="preserve"> </w:t>
      </w:r>
      <w:r w:rsidRPr="00890F21">
        <w:rPr>
          <w:rFonts w:ascii="HelveticaNeueLT Std" w:hAnsi="HelveticaNeueLT Std"/>
          <w:sz w:val="20"/>
          <w:szCs w:val="20"/>
        </w:rPr>
        <w:t>de la serie</w:t>
      </w:r>
      <w:r w:rsidR="00785E22">
        <w:rPr>
          <w:rFonts w:ascii="HelveticaNeueLT Std" w:hAnsi="HelveticaNeueLT Std"/>
          <w:sz w:val="20"/>
          <w:szCs w:val="20"/>
        </w:rPr>
        <w:t xml:space="preserve"> subordinada</w:t>
      </w:r>
      <w:r w:rsidRPr="00890F21">
        <w:rPr>
          <w:rFonts w:ascii="HelveticaNeueLT Std" w:hAnsi="HelveticaNeueLT Std"/>
          <w:sz w:val="20"/>
          <w:szCs w:val="20"/>
        </w:rPr>
        <w:t xml:space="preserve"> C; 63,933.15 de los intereses generados por las transferencias de los depósitos del Registro Público de Comercio (rendimientos de la remesa de ingresos por RPC); 289,495,051.69 por remanentes del fideicomiso de cobranza</w:t>
      </w:r>
      <w:r w:rsidR="0020416B">
        <w:rPr>
          <w:rFonts w:ascii="HelveticaNeueLT Std" w:hAnsi="HelveticaNeueLT Std"/>
          <w:sz w:val="20"/>
          <w:szCs w:val="20"/>
        </w:rPr>
        <w:t xml:space="preserve"> y </w:t>
      </w:r>
      <w:r w:rsidR="0020416B" w:rsidRPr="00890F21">
        <w:rPr>
          <w:rFonts w:ascii="HelveticaNeueLT Std" w:hAnsi="HelveticaNeueLT Std"/>
          <w:sz w:val="20"/>
          <w:szCs w:val="20"/>
        </w:rPr>
        <w:t>2,554,509.63 de ingresos varios (cancelación de cuentas por pagar, venta de bases para concurso, llamadas telefónicas no oficiales, aprovechamientos por sanción o incumplimiento, depósitos no referenciados, venta de papel, recuperación en indemnización de bienes muebles, reparación de daño, entre otros).</w:t>
      </w:r>
      <w:r w:rsidRPr="00890F21">
        <w:rPr>
          <w:rFonts w:ascii="HelveticaNeueLT Std" w:hAnsi="HelveticaNeueLT Std"/>
          <w:sz w:val="20"/>
          <w:szCs w:val="20"/>
        </w:rPr>
        <w:t xml:space="preserve"> Asimismo, se ha</w:t>
      </w:r>
      <w:r w:rsidR="0020416B">
        <w:rPr>
          <w:rFonts w:ascii="HelveticaNeueLT Std" w:hAnsi="HelveticaNeueLT Std"/>
          <w:sz w:val="20"/>
          <w:szCs w:val="20"/>
        </w:rPr>
        <w:t>n</w:t>
      </w:r>
      <w:r w:rsidRPr="00890F21">
        <w:rPr>
          <w:rFonts w:ascii="HelveticaNeueLT Std" w:hAnsi="HelveticaNeueLT Std"/>
          <w:sz w:val="20"/>
          <w:szCs w:val="20"/>
        </w:rPr>
        <w:t xml:space="preserve"> </w:t>
      </w:r>
      <w:r w:rsidR="0020416B">
        <w:rPr>
          <w:rFonts w:ascii="HelveticaNeueLT Std" w:hAnsi="HelveticaNeueLT Std"/>
          <w:sz w:val="20"/>
          <w:szCs w:val="20"/>
        </w:rPr>
        <w:t xml:space="preserve">registrado </w:t>
      </w:r>
      <w:r w:rsidRPr="00890F21">
        <w:rPr>
          <w:rFonts w:ascii="HelveticaNeueLT Std" w:hAnsi="HelveticaNeueLT Std"/>
          <w:sz w:val="20"/>
          <w:szCs w:val="20"/>
        </w:rPr>
        <w:t xml:space="preserve"> </w:t>
      </w:r>
      <w:r w:rsidR="0020416B">
        <w:rPr>
          <w:rFonts w:ascii="HelveticaNeueLT Std" w:hAnsi="HelveticaNeueLT Std"/>
          <w:sz w:val="20"/>
          <w:szCs w:val="20"/>
        </w:rPr>
        <w:t>las disponibilidades presupuestarias de ejercicios anteriores autorizadas.</w:t>
      </w:r>
    </w:p>
    <w:p w14:paraId="0ADD6F7E" w14:textId="77777777" w:rsidR="00E34A73" w:rsidRDefault="00E34A73" w:rsidP="002577A6">
      <w:pPr>
        <w:pStyle w:val="Prrafodelista"/>
        <w:spacing w:after="240" w:line="276" w:lineRule="auto"/>
        <w:ind w:left="644" w:right="-1"/>
        <w:jc w:val="both"/>
        <w:rPr>
          <w:rFonts w:ascii="HelveticaNeueLT Std" w:hAnsi="HelveticaNeueLT Std"/>
          <w:sz w:val="20"/>
          <w:szCs w:val="20"/>
        </w:rPr>
      </w:pPr>
    </w:p>
    <w:p w14:paraId="6DDF2B4B" w14:textId="0132E92F" w:rsidR="00E34A73" w:rsidRDefault="00E34A73" w:rsidP="00E34A73">
      <w:pPr>
        <w:pStyle w:val="Prrafodelista"/>
        <w:spacing w:after="240" w:line="276" w:lineRule="auto"/>
        <w:ind w:left="644" w:right="-1"/>
        <w:jc w:val="both"/>
      </w:pPr>
      <w:r w:rsidRPr="00E34A73">
        <w:rPr>
          <w:rFonts w:ascii="HelveticaNeueLT Std" w:hAnsi="HelveticaNeueLT Std"/>
          <w:sz w:val="20"/>
          <w:szCs w:val="20"/>
        </w:rPr>
        <w:t>Disponibilidades de Ejercicios Anteriores</w:t>
      </w:r>
      <w:r>
        <w:rPr>
          <w:rFonts w:ascii="HelveticaNeueLT Std" w:hAnsi="HelveticaNeueLT Std"/>
          <w:sz w:val="20"/>
          <w:szCs w:val="20"/>
        </w:rPr>
        <w:t xml:space="preserve">.- </w:t>
      </w:r>
      <w:r w:rsidR="00E5467C" w:rsidRPr="00E5467C">
        <w:rPr>
          <w:rFonts w:ascii="HelveticaNeueLT Std" w:hAnsi="HelveticaNeueLT Std"/>
          <w:sz w:val="20"/>
          <w:szCs w:val="20"/>
        </w:rPr>
        <w:t xml:space="preserve">Se tenía disponible el importe </w:t>
      </w:r>
      <w:r>
        <w:rPr>
          <w:rFonts w:ascii="HelveticaNeueLT Std" w:hAnsi="HelveticaNeueLT Std"/>
          <w:sz w:val="20"/>
          <w:szCs w:val="20"/>
        </w:rPr>
        <w:t xml:space="preserve">de </w:t>
      </w:r>
      <w:r w:rsidRPr="00890F21">
        <w:rPr>
          <w:rFonts w:ascii="HelveticaNeueLT Std" w:hAnsi="HelveticaNeueLT Std"/>
          <w:sz w:val="20"/>
          <w:szCs w:val="20"/>
        </w:rPr>
        <w:t>6</w:t>
      </w:r>
      <w:proofErr w:type="gramStart"/>
      <w:r w:rsidRPr="00890F21">
        <w:rPr>
          <w:rFonts w:ascii="HelveticaNeueLT Std" w:hAnsi="HelveticaNeueLT Std"/>
          <w:sz w:val="20"/>
          <w:szCs w:val="20"/>
        </w:rPr>
        <w:t>,230,000.00</w:t>
      </w:r>
      <w:proofErr w:type="gramEnd"/>
      <w:r w:rsidR="00E5467C">
        <w:rPr>
          <w:rFonts w:ascii="HelveticaNeueLT Std" w:hAnsi="HelveticaNeueLT Std"/>
          <w:sz w:val="20"/>
          <w:szCs w:val="20"/>
        </w:rPr>
        <w:t>, que</w:t>
      </w:r>
      <w:r>
        <w:rPr>
          <w:rFonts w:ascii="HelveticaNeueLT Std" w:hAnsi="HelveticaNeueLT Std"/>
          <w:sz w:val="20"/>
          <w:szCs w:val="20"/>
        </w:rPr>
        <w:t xml:space="preserve"> fueron</w:t>
      </w:r>
      <w:r w:rsidRPr="00890F21">
        <w:rPr>
          <w:rFonts w:ascii="HelveticaNeueLT Std" w:hAnsi="HelveticaNeueLT Std"/>
          <w:sz w:val="20"/>
          <w:szCs w:val="20"/>
        </w:rPr>
        <w:t xml:space="preserve"> destinados al capítulo 5000, para la adquisición de </w:t>
      </w:r>
      <w:r>
        <w:rPr>
          <w:rFonts w:ascii="HelveticaNeueLT Std" w:hAnsi="HelveticaNeueLT Std"/>
          <w:sz w:val="20"/>
          <w:szCs w:val="20"/>
        </w:rPr>
        <w:t>M</w:t>
      </w:r>
      <w:r w:rsidRPr="00890F21">
        <w:rPr>
          <w:rFonts w:ascii="HelveticaNeueLT Std" w:hAnsi="HelveticaNeueLT Std"/>
          <w:sz w:val="20"/>
          <w:szCs w:val="20"/>
        </w:rPr>
        <w:t>obiliario</w:t>
      </w:r>
      <w:r>
        <w:rPr>
          <w:rFonts w:ascii="HelveticaNeueLT Std" w:hAnsi="HelveticaNeueLT Std"/>
          <w:sz w:val="20"/>
          <w:szCs w:val="20"/>
        </w:rPr>
        <w:t xml:space="preserve"> y Equipo de Administración</w:t>
      </w:r>
      <w:r w:rsidRPr="00890F21">
        <w:rPr>
          <w:rFonts w:ascii="HelveticaNeueLT Std" w:hAnsi="HelveticaNeueLT Std"/>
          <w:sz w:val="20"/>
          <w:szCs w:val="20"/>
        </w:rPr>
        <w:t>.</w:t>
      </w:r>
      <w:r>
        <w:br w:type="page"/>
      </w:r>
    </w:p>
    <w:p w14:paraId="15BD5701" w14:textId="77777777" w:rsidR="008641A6" w:rsidRPr="00890F21" w:rsidRDefault="008641A6" w:rsidP="002577A6">
      <w:pPr>
        <w:numPr>
          <w:ilvl w:val="0"/>
          <w:numId w:val="12"/>
        </w:numPr>
        <w:spacing w:after="0" w:line="259" w:lineRule="auto"/>
        <w:contextualSpacing/>
        <w:rPr>
          <w:rFonts w:eastAsia="Times New Roman" w:cs="Arial"/>
          <w:lang w:eastAsia="es-MX"/>
        </w:rPr>
      </w:pPr>
      <w:r w:rsidRPr="00890F21">
        <w:rPr>
          <w:rFonts w:eastAsia="Times New Roman" w:cs="Times New Roman"/>
          <w:b/>
          <w:lang w:eastAsia="es-MX"/>
        </w:rPr>
        <w:t>Información sobre la Deuda y el Reporte Analítico de la Deuda</w:t>
      </w:r>
    </w:p>
    <w:p w14:paraId="1BBF79A3" w14:textId="77777777" w:rsidR="008641A6" w:rsidRPr="008641A6" w:rsidRDefault="008641A6" w:rsidP="008641A6">
      <w:pPr>
        <w:spacing w:after="0" w:line="259" w:lineRule="auto"/>
        <w:ind w:left="644"/>
        <w:contextualSpacing/>
        <w:rPr>
          <w:rFonts w:eastAsia="Times New Roman" w:cs="Arial"/>
          <w:lang w:eastAsia="es-MX"/>
        </w:rPr>
      </w:pPr>
    </w:p>
    <w:p w14:paraId="51EBDF12" w14:textId="77777777" w:rsidR="00932214" w:rsidRPr="008641A6" w:rsidRDefault="00932214" w:rsidP="00932214">
      <w:pPr>
        <w:spacing w:line="276" w:lineRule="auto"/>
        <w:ind w:right="-1"/>
        <w:jc w:val="both"/>
        <w:rPr>
          <w:rFonts w:cs="Arial"/>
        </w:rPr>
      </w:pPr>
      <w:r w:rsidRPr="008641A6">
        <w:rPr>
          <w:rFonts w:cs="Arial"/>
        </w:rPr>
        <w:t>Al mes actual el análisis de la deuda se integra de la siguiente manera:</w:t>
      </w:r>
    </w:p>
    <w:p w14:paraId="60D98B7B" w14:textId="77777777" w:rsidR="00932214" w:rsidRDefault="00932214" w:rsidP="00932214">
      <w:pPr>
        <w:spacing w:line="276" w:lineRule="auto"/>
        <w:ind w:right="-1"/>
        <w:rPr>
          <w:rFonts w:cs="Arial"/>
        </w:rPr>
      </w:pPr>
    </w:p>
    <w:p w14:paraId="14C8D4A3" w14:textId="77777777" w:rsidR="00932214" w:rsidRPr="00932214" w:rsidRDefault="00932214" w:rsidP="00932214">
      <w:pPr>
        <w:spacing w:line="276" w:lineRule="auto"/>
        <w:ind w:right="-1"/>
        <w:rPr>
          <w:rFonts w:cs="Arial"/>
        </w:rPr>
      </w:pPr>
      <w:r w:rsidRPr="00932214">
        <w:rPr>
          <w:rFonts w:cs="Arial"/>
        </w:rPr>
        <w:t xml:space="preserve">Mensual: </w:t>
      </w:r>
    </w:p>
    <w:p w14:paraId="77923AB7" w14:textId="77777777" w:rsidR="00932214" w:rsidRPr="00932214" w:rsidRDefault="00932214" w:rsidP="00932214">
      <w:pPr>
        <w:spacing w:line="276" w:lineRule="auto"/>
        <w:ind w:right="-1"/>
        <w:rPr>
          <w:noProof/>
          <w:lang w:eastAsia="es-MX"/>
        </w:rPr>
      </w:pPr>
    </w:p>
    <w:p w14:paraId="3FE385F3" w14:textId="77777777" w:rsidR="00932214" w:rsidRPr="00932214" w:rsidRDefault="00932214" w:rsidP="00932214">
      <w:pPr>
        <w:spacing w:line="276" w:lineRule="auto"/>
        <w:ind w:right="-1"/>
        <w:jc w:val="center"/>
        <w:rPr>
          <w:rFonts w:cs="Arial"/>
          <w:b/>
        </w:rPr>
      </w:pPr>
      <w:r w:rsidRPr="00932214">
        <w:rPr>
          <w:noProof/>
          <w:lang w:eastAsia="es-MX"/>
        </w:rPr>
        <w:drawing>
          <wp:inline distT="0" distB="0" distL="0" distR="0" wp14:anchorId="0CB21AF2" wp14:editId="27C06652">
            <wp:extent cx="6389370" cy="20578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9370" cy="2057875"/>
                    </a:xfrm>
                    <a:prstGeom prst="rect">
                      <a:avLst/>
                    </a:prstGeom>
                    <a:noFill/>
                    <a:ln>
                      <a:noFill/>
                    </a:ln>
                  </pic:spPr>
                </pic:pic>
              </a:graphicData>
            </a:graphic>
          </wp:inline>
        </w:drawing>
      </w:r>
    </w:p>
    <w:p w14:paraId="1696A4B4" w14:textId="77777777" w:rsidR="00932214" w:rsidRPr="00932214" w:rsidRDefault="00932214" w:rsidP="00932214">
      <w:pPr>
        <w:spacing w:line="276" w:lineRule="auto"/>
        <w:ind w:right="-1"/>
        <w:rPr>
          <w:rFonts w:cs="Arial"/>
        </w:rPr>
      </w:pPr>
    </w:p>
    <w:p w14:paraId="2C3956AC" w14:textId="77777777" w:rsidR="00932214" w:rsidRPr="00932214" w:rsidRDefault="00932214" w:rsidP="00932214">
      <w:pPr>
        <w:spacing w:line="276" w:lineRule="auto"/>
        <w:ind w:right="-1"/>
        <w:rPr>
          <w:rFonts w:cs="Arial"/>
        </w:rPr>
      </w:pPr>
      <w:r w:rsidRPr="00932214">
        <w:rPr>
          <w:rFonts w:cs="Arial"/>
        </w:rPr>
        <w:t xml:space="preserve">Acumulada: </w:t>
      </w:r>
    </w:p>
    <w:p w14:paraId="2EBED0B0" w14:textId="77777777" w:rsidR="00932214" w:rsidRPr="00932214" w:rsidRDefault="00932214" w:rsidP="00932214">
      <w:pPr>
        <w:spacing w:line="276" w:lineRule="auto"/>
        <w:ind w:right="-1"/>
        <w:rPr>
          <w:rFonts w:cs="Arial"/>
        </w:rPr>
      </w:pPr>
    </w:p>
    <w:p w14:paraId="6958BF5C" w14:textId="77777777" w:rsidR="00932214" w:rsidRPr="00E1596D" w:rsidRDefault="00932214" w:rsidP="00932214">
      <w:pPr>
        <w:spacing w:line="259" w:lineRule="auto"/>
        <w:rPr>
          <w:rFonts w:cs="Arial"/>
          <w:lang w:eastAsia="es-ES"/>
        </w:rPr>
      </w:pPr>
      <w:r w:rsidRPr="00932214">
        <w:rPr>
          <w:noProof/>
          <w:lang w:eastAsia="es-MX"/>
        </w:rPr>
        <w:drawing>
          <wp:inline distT="0" distB="0" distL="0" distR="0" wp14:anchorId="1B22184E" wp14:editId="060B2AE0">
            <wp:extent cx="6389370" cy="195000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9370" cy="1950003"/>
                    </a:xfrm>
                    <a:prstGeom prst="rect">
                      <a:avLst/>
                    </a:prstGeom>
                    <a:noFill/>
                    <a:ln>
                      <a:noFill/>
                    </a:ln>
                  </pic:spPr>
                </pic:pic>
              </a:graphicData>
            </a:graphic>
          </wp:inline>
        </w:drawing>
      </w:r>
    </w:p>
    <w:p w14:paraId="5F678FBA" w14:textId="77777777" w:rsidR="008641A6" w:rsidRDefault="008641A6" w:rsidP="008641A6">
      <w:pPr>
        <w:spacing w:line="259" w:lineRule="auto"/>
        <w:rPr>
          <w:rFonts w:cs="Arial"/>
          <w:lang w:eastAsia="es-ES"/>
        </w:rPr>
      </w:pPr>
    </w:p>
    <w:p w14:paraId="2301CEE1" w14:textId="77777777" w:rsidR="001C17CE" w:rsidRDefault="001C17CE" w:rsidP="008641A6">
      <w:pPr>
        <w:spacing w:line="259" w:lineRule="auto"/>
        <w:rPr>
          <w:rFonts w:cs="Arial"/>
          <w:lang w:eastAsia="es-ES"/>
        </w:rPr>
      </w:pPr>
    </w:p>
    <w:p w14:paraId="176A4E54" w14:textId="77777777" w:rsidR="00E03D1D" w:rsidRDefault="00E03D1D" w:rsidP="008641A6">
      <w:pPr>
        <w:spacing w:line="259" w:lineRule="auto"/>
        <w:rPr>
          <w:rFonts w:cs="Arial"/>
          <w:lang w:eastAsia="es-ES"/>
        </w:rPr>
      </w:pPr>
    </w:p>
    <w:p w14:paraId="54EEBEC3" w14:textId="77777777" w:rsidR="00527FCE" w:rsidRPr="008641A6" w:rsidRDefault="00527FCE" w:rsidP="00527FCE">
      <w:pPr>
        <w:spacing w:line="259" w:lineRule="auto"/>
        <w:rPr>
          <w:rFonts w:cs="Arial"/>
          <w:lang w:eastAsia="es-ES"/>
        </w:rPr>
      </w:pPr>
      <w:r w:rsidRPr="008641A6">
        <w:rPr>
          <w:rFonts w:cs="Arial"/>
          <w:lang w:eastAsia="es-ES"/>
        </w:rPr>
        <w:t>La operación del Fideicomiso de Cobranza se ha comportado de la siguiente forma:</w:t>
      </w:r>
    </w:p>
    <w:p w14:paraId="66193154" w14:textId="77777777" w:rsidR="00527FCE" w:rsidRPr="008641A6" w:rsidRDefault="00527FCE" w:rsidP="00527FCE">
      <w:pPr>
        <w:spacing w:line="276" w:lineRule="auto"/>
        <w:ind w:right="-1"/>
        <w:jc w:val="center"/>
        <w:rPr>
          <w:rFonts w:cs="Arial"/>
          <w:lang w:eastAsia="es-ES"/>
        </w:rPr>
      </w:pPr>
      <w:r w:rsidRPr="005311B8">
        <w:rPr>
          <w:noProof/>
          <w:lang w:eastAsia="es-MX"/>
        </w:rPr>
        <w:drawing>
          <wp:inline distT="0" distB="0" distL="0" distR="0" wp14:anchorId="1B9BCB14" wp14:editId="0B8B0DD2">
            <wp:extent cx="6314546" cy="19143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48265" cy="1924542"/>
                    </a:xfrm>
                    <a:prstGeom prst="rect">
                      <a:avLst/>
                    </a:prstGeom>
                    <a:noFill/>
                    <a:ln>
                      <a:noFill/>
                    </a:ln>
                  </pic:spPr>
                </pic:pic>
              </a:graphicData>
            </a:graphic>
          </wp:inline>
        </w:drawing>
      </w:r>
    </w:p>
    <w:p w14:paraId="6F865255" w14:textId="77777777" w:rsidR="00527FCE" w:rsidRDefault="00527FCE" w:rsidP="00527FCE">
      <w:pPr>
        <w:spacing w:line="259" w:lineRule="auto"/>
        <w:jc w:val="both"/>
        <w:rPr>
          <w:rFonts w:cs="Arial"/>
        </w:rPr>
      </w:pPr>
      <w:r w:rsidRPr="008641A6">
        <w:rPr>
          <w:rFonts w:cs="Arial"/>
        </w:rPr>
        <w:t xml:space="preserve">El saldo de la cuenta 2221  “Documentos Comerciales Por Pagar a Largo Plazo” es de: </w:t>
      </w:r>
      <w:r w:rsidRPr="005311B8">
        <w:rPr>
          <w:rFonts w:cs="Arial"/>
        </w:rPr>
        <w:t>6,038,304,842.22</w:t>
      </w:r>
      <w:r w:rsidRPr="008641A6">
        <w:rPr>
          <w:rFonts w:cs="Arial"/>
        </w:rPr>
        <w:t xml:space="preserve">, que se componen de; los CBFS de la Serie “A” por 1,973,241,945.85, para los CBFS de la Serie “B”, 927,744,857 y para los CBFS Subordinados de la Serie “C”, </w:t>
      </w:r>
      <w:r w:rsidRPr="005311B8">
        <w:rPr>
          <w:rFonts w:cs="Arial"/>
        </w:rPr>
        <w:t>3,137,271,969.37</w:t>
      </w:r>
      <w:r w:rsidRPr="008641A6">
        <w:rPr>
          <w:rFonts w:cs="Arial"/>
        </w:rPr>
        <w:t xml:space="preserve">, cabe mencionar que esta última se contrató en Unidades de Inversión (UDI), por lo tanto, el Saldo Capital </w:t>
      </w:r>
      <w:r>
        <w:rPr>
          <w:rFonts w:cs="Arial"/>
        </w:rPr>
        <w:t xml:space="preserve">al 31 de diciembre de 2020 </w:t>
      </w:r>
      <w:r w:rsidRPr="008641A6">
        <w:rPr>
          <w:rFonts w:cs="Arial"/>
        </w:rPr>
        <w:t>es de: 474,948,447.41 UDI; para la Amortización de capital es de 14,747,368.21 UDI y para los intereses es de 14,334,735.73 UDI, de acuerdo con la Tabla de Amortización, Crédito 9439 del Fideicomiso F/1426.</w:t>
      </w:r>
    </w:p>
    <w:p w14:paraId="0F117986" w14:textId="77777777" w:rsidR="00527FCE" w:rsidRPr="000A7EDF" w:rsidRDefault="00527FCE" w:rsidP="00527FCE">
      <w:pPr>
        <w:spacing w:line="259" w:lineRule="auto"/>
        <w:jc w:val="both"/>
        <w:rPr>
          <w:rFonts w:ascii="Times New Roman" w:hAnsi="Times New Roman"/>
          <w:sz w:val="24"/>
          <w:szCs w:val="24"/>
          <w:highlight w:val="yellow"/>
        </w:rPr>
      </w:pPr>
      <w:r>
        <w:rPr>
          <w:rFonts w:cs="Arial"/>
        </w:rPr>
        <w:t xml:space="preserve">Cabe mencionar que </w:t>
      </w:r>
      <w:r w:rsidRPr="006F5FEE">
        <w:rPr>
          <w:rFonts w:cs="Arial"/>
        </w:rPr>
        <w:t>no obstante que el Manual Único de Contabilidad Gubernamental para las Dependencias y Entidades Públicas del Gobierno y Municipios del Estado de México no hace mención de valuación de los pasivos financieros</w:t>
      </w:r>
      <w:r>
        <w:rPr>
          <w:rFonts w:cs="Arial"/>
        </w:rPr>
        <w:t xml:space="preserve"> y con la finalidad de </w:t>
      </w:r>
      <w:r w:rsidRPr="006F5FEE">
        <w:rPr>
          <w:rFonts w:cs="Arial"/>
        </w:rPr>
        <w:t xml:space="preserve">que los pasivos financieros resultantes de la emisión de instrumentos financieros de deuda registrados reflejen el valor de la obligación que representan (valor normal más accesorios devengados a la fecha) en este ejercicio se </w:t>
      </w:r>
      <w:r>
        <w:rPr>
          <w:rFonts w:cs="Arial"/>
        </w:rPr>
        <w:t xml:space="preserve">llevó a cabo el registro presupuestal y contable de la actualización correspondiente a la </w:t>
      </w:r>
      <w:proofErr w:type="spellStart"/>
      <w:r>
        <w:rPr>
          <w:rFonts w:cs="Arial"/>
        </w:rPr>
        <w:t>amortizaciuón</w:t>
      </w:r>
      <w:proofErr w:type="spellEnd"/>
      <w:r>
        <w:rPr>
          <w:rFonts w:cs="Arial"/>
        </w:rPr>
        <w:t xml:space="preserve"> de capital de los Certificados Bursátiles Fiduciarios Serie Subordinada C, los cuales se </w:t>
      </w:r>
      <w:r w:rsidRPr="006F5FEE">
        <w:rPr>
          <w:rFonts w:cs="Arial"/>
        </w:rPr>
        <w:t>valuaron a su valor razonable, presentando un incremento al resultado del ejercicio por 101,554,415.01 y la correspondiente afectaci</w:t>
      </w:r>
      <w:r>
        <w:rPr>
          <w:rFonts w:cs="Arial"/>
        </w:rPr>
        <w:t>ón a resultados de e</w:t>
      </w:r>
      <w:r w:rsidRPr="006F5FEE">
        <w:rPr>
          <w:rFonts w:cs="Arial"/>
        </w:rPr>
        <w:t>jercicios anteriores por 1,056,923,629.45, con el propósito de satisfacer las necesidades de la información tanto para los tomadores de decisiones de este</w:t>
      </w:r>
      <w:r>
        <w:rPr>
          <w:rFonts w:cs="Arial"/>
        </w:rPr>
        <w:t xml:space="preserve"> Instituto, como para los externos y en particular a los entes fiscalizadores de la información en comento.</w:t>
      </w:r>
    </w:p>
    <w:p w14:paraId="2C6FB9DC" w14:textId="77777777" w:rsidR="00527FCE" w:rsidRPr="00527FCE" w:rsidRDefault="00527FCE" w:rsidP="00527FCE">
      <w:pPr>
        <w:spacing w:line="259" w:lineRule="auto"/>
        <w:jc w:val="both"/>
        <w:rPr>
          <w:rFonts w:cs="Arial"/>
        </w:rPr>
      </w:pPr>
      <w:r w:rsidRPr="00527FCE">
        <w:rPr>
          <w:rFonts w:eastAsia="Times New Roman" w:cs="Arial"/>
          <w:lang w:eastAsia="es-ES"/>
        </w:rPr>
        <w:t xml:space="preserve">En relación con </w:t>
      </w:r>
      <w:r w:rsidRPr="00527FCE">
        <w:rPr>
          <w:shd w:val="clear" w:color="auto" w:fill="FFFFFF"/>
        </w:rPr>
        <w:t xml:space="preserve">las fechas de vencimiento de la deuda (CP y LP), se comenta que al inicio del ejercicio se realiza la reclasificación </w:t>
      </w:r>
      <w:r w:rsidRPr="00527FCE">
        <w:rPr>
          <w:rFonts w:cs="Arial"/>
        </w:rPr>
        <w:t>de la porción a Corto Plazo de la Deuda a Largo Plazo para el pago de la amortización correspondiente al primer periodo del presente ejercicio de las emisiones de los CEBUR’S, revisable mensualmente debido a que en el mes de julio de cada ejercicio, cuando se recibe la programación de los pagos de los bonos procede la segunda reclasificación por el siguiente periodo. El presupuesto se afecta en el momento del pago, para efectos de que en el Sistema de Contabilidad Gubernamental se muestre el ejercido en ese momento contable y presupuestal. Las fechas de vencimiento para este ejercicio fueron las siguientes:</w:t>
      </w:r>
    </w:p>
    <w:tbl>
      <w:tblPr>
        <w:tblStyle w:val="Tablaconcuadrcula"/>
        <w:tblW w:w="0" w:type="auto"/>
        <w:jc w:val="center"/>
        <w:tblLook w:val="04A0" w:firstRow="1" w:lastRow="0" w:firstColumn="1" w:lastColumn="0" w:noHBand="0" w:noVBand="1"/>
      </w:tblPr>
      <w:tblGrid>
        <w:gridCol w:w="7372"/>
        <w:gridCol w:w="2126"/>
      </w:tblGrid>
      <w:tr w:rsidR="00527FCE" w14:paraId="36FD6476" w14:textId="77777777" w:rsidTr="00B2611E">
        <w:trPr>
          <w:jc w:val="center"/>
        </w:trPr>
        <w:tc>
          <w:tcPr>
            <w:tcW w:w="7372" w:type="dxa"/>
          </w:tcPr>
          <w:p w14:paraId="5539FEE4" w14:textId="77777777" w:rsidR="00527FCE" w:rsidRDefault="00527FCE" w:rsidP="00B2611E">
            <w:pPr>
              <w:spacing w:line="259" w:lineRule="auto"/>
              <w:jc w:val="center"/>
              <w:rPr>
                <w:rFonts w:eastAsia="Times New Roman" w:cs="Arial"/>
                <w:highlight w:val="yellow"/>
                <w:lang w:eastAsia="es-ES"/>
              </w:rPr>
            </w:pPr>
            <w:proofErr w:type="spellStart"/>
            <w:r w:rsidRPr="008822F4">
              <w:rPr>
                <w:rFonts w:ascii="Arial" w:eastAsia="Arial" w:hAnsi="Arial" w:cs="Arial"/>
                <w:b/>
                <w:color w:val="383D42"/>
                <w:sz w:val="19"/>
                <w:szCs w:val="22"/>
                <w:lang w:val="en-US" w:eastAsia="en-US"/>
              </w:rPr>
              <w:t>Emisión</w:t>
            </w:r>
            <w:proofErr w:type="spellEnd"/>
          </w:p>
        </w:tc>
        <w:tc>
          <w:tcPr>
            <w:tcW w:w="2126" w:type="dxa"/>
          </w:tcPr>
          <w:p w14:paraId="2CF46618" w14:textId="77777777" w:rsidR="00527FCE" w:rsidRDefault="00527FCE" w:rsidP="00B2611E">
            <w:pPr>
              <w:spacing w:line="259" w:lineRule="auto"/>
              <w:jc w:val="center"/>
              <w:rPr>
                <w:rFonts w:eastAsia="Times New Roman" w:cs="Arial"/>
                <w:highlight w:val="yellow"/>
                <w:lang w:eastAsia="es-ES"/>
              </w:rPr>
            </w:pPr>
            <w:proofErr w:type="spellStart"/>
            <w:r w:rsidRPr="008822F4">
              <w:rPr>
                <w:rFonts w:ascii="Arial" w:eastAsia="Arial" w:hAnsi="Arial" w:cs="Arial"/>
                <w:b/>
                <w:color w:val="383D42"/>
                <w:sz w:val="19"/>
                <w:szCs w:val="22"/>
                <w:lang w:val="en-US" w:eastAsia="en-US"/>
              </w:rPr>
              <w:t>Fecha</w:t>
            </w:r>
            <w:proofErr w:type="spellEnd"/>
            <w:r w:rsidRPr="008822F4">
              <w:rPr>
                <w:rFonts w:ascii="Arial" w:eastAsia="Arial" w:hAnsi="Arial" w:cs="Arial"/>
                <w:b/>
                <w:color w:val="383D42"/>
                <w:sz w:val="19"/>
                <w:szCs w:val="22"/>
                <w:lang w:val="en-US" w:eastAsia="en-US"/>
              </w:rPr>
              <w:t xml:space="preserve"> </w:t>
            </w:r>
            <w:proofErr w:type="spellStart"/>
            <w:r w:rsidRPr="008822F4">
              <w:rPr>
                <w:rFonts w:ascii="Arial" w:eastAsia="Arial" w:hAnsi="Arial" w:cs="Arial"/>
                <w:b/>
                <w:color w:val="383D42"/>
                <w:w w:val="95"/>
                <w:sz w:val="19"/>
                <w:szCs w:val="22"/>
                <w:lang w:val="en-US" w:eastAsia="en-US"/>
              </w:rPr>
              <w:t>vencimiento</w:t>
            </w:r>
            <w:proofErr w:type="spellEnd"/>
          </w:p>
        </w:tc>
      </w:tr>
      <w:tr w:rsidR="00527FCE" w14:paraId="4AA3FA5B" w14:textId="77777777" w:rsidTr="00B2611E">
        <w:trPr>
          <w:jc w:val="center"/>
        </w:trPr>
        <w:tc>
          <w:tcPr>
            <w:tcW w:w="7372" w:type="dxa"/>
            <w:vAlign w:val="center"/>
          </w:tcPr>
          <w:p w14:paraId="3203D01F" w14:textId="77777777" w:rsidR="00527FCE" w:rsidRPr="008822F4" w:rsidRDefault="00527FCE" w:rsidP="00B2611E">
            <w:pPr>
              <w:spacing w:after="160" w:line="259" w:lineRule="auto"/>
              <w:jc w:val="both"/>
              <w:rPr>
                <w:rFonts w:ascii="HelveticaNeueLT Std" w:eastAsiaTheme="minorHAnsi" w:hAnsi="HelveticaNeueLT Std" w:cs="Arial"/>
                <w:lang w:eastAsia="en-US"/>
              </w:rPr>
            </w:pPr>
            <w:r w:rsidRPr="008822F4">
              <w:rPr>
                <w:rFonts w:ascii="HelveticaNeueLT Std" w:hAnsi="HelveticaNeueLT Std" w:cs="Arial"/>
                <w:sz w:val="18"/>
              </w:rPr>
              <w:t xml:space="preserve">Certificados Bursátiles </w:t>
            </w:r>
            <w:proofErr w:type="spellStart"/>
            <w:r w:rsidRPr="008822F4">
              <w:rPr>
                <w:rFonts w:ascii="HelveticaNeueLT Std" w:hAnsi="HelveticaNeueLT Std" w:cs="Arial"/>
                <w:sz w:val="18"/>
              </w:rPr>
              <w:t>FiduciariosPreferentes</w:t>
            </w:r>
            <w:proofErr w:type="spellEnd"/>
            <w:r w:rsidRPr="008822F4">
              <w:rPr>
                <w:rFonts w:ascii="HelveticaNeueLT Std" w:hAnsi="HelveticaNeueLT Std" w:cs="Arial"/>
                <w:sz w:val="18"/>
              </w:rPr>
              <w:t xml:space="preserve"> Serie A</w:t>
            </w:r>
          </w:p>
        </w:tc>
        <w:tc>
          <w:tcPr>
            <w:tcW w:w="2126" w:type="dxa"/>
            <w:vAlign w:val="center"/>
          </w:tcPr>
          <w:p w14:paraId="5753F327" w14:textId="77777777" w:rsidR="00527FCE" w:rsidRPr="008822F4" w:rsidRDefault="00527FCE" w:rsidP="00B2611E">
            <w:pPr>
              <w:spacing w:line="259" w:lineRule="auto"/>
              <w:jc w:val="both"/>
              <w:rPr>
                <w:rFonts w:ascii="HelveticaNeueLT Std" w:eastAsia="Times New Roman" w:hAnsi="HelveticaNeueLT Std" w:cs="Arial"/>
                <w:highlight w:val="yellow"/>
                <w:lang w:eastAsia="es-ES"/>
              </w:rPr>
            </w:pPr>
            <w:r>
              <w:rPr>
                <w:rFonts w:ascii="HelveticaNeueLT Std" w:eastAsia="Arial" w:hAnsi="HelveticaNeueLT Std" w:cs="Arial"/>
                <w:color w:val="383D42"/>
                <w:sz w:val="16"/>
                <w:szCs w:val="22"/>
                <w:lang w:val="en-US" w:eastAsia="en-US"/>
              </w:rPr>
              <w:t>28-feb-20</w:t>
            </w:r>
            <w:r w:rsidRPr="008822F4">
              <w:rPr>
                <w:rFonts w:ascii="HelveticaNeueLT Std" w:eastAsia="Arial" w:hAnsi="HelveticaNeueLT Std" w:cs="Arial"/>
                <w:color w:val="383D42"/>
                <w:sz w:val="16"/>
                <w:szCs w:val="22"/>
                <w:lang w:val="en-US" w:eastAsia="en-US"/>
              </w:rPr>
              <w:t xml:space="preserve"> y </w:t>
            </w:r>
            <w:r>
              <w:rPr>
                <w:rFonts w:ascii="HelveticaNeueLT Std" w:eastAsia="Arial" w:hAnsi="HelveticaNeueLT Std" w:cs="Arial"/>
                <w:color w:val="383D42"/>
                <w:w w:val="105"/>
                <w:sz w:val="16"/>
                <w:szCs w:val="22"/>
                <w:lang w:val="en-US" w:eastAsia="en-US"/>
              </w:rPr>
              <w:t>28-ago-20</w:t>
            </w:r>
          </w:p>
        </w:tc>
      </w:tr>
      <w:tr w:rsidR="00527FCE" w14:paraId="75EE4C49" w14:textId="77777777" w:rsidTr="00B2611E">
        <w:trPr>
          <w:jc w:val="center"/>
        </w:trPr>
        <w:tc>
          <w:tcPr>
            <w:tcW w:w="7372" w:type="dxa"/>
            <w:vAlign w:val="center"/>
          </w:tcPr>
          <w:p w14:paraId="0FC85113" w14:textId="77777777" w:rsidR="00527FCE" w:rsidRPr="004565E8" w:rsidRDefault="00527FCE" w:rsidP="00B2611E">
            <w:pPr>
              <w:spacing w:after="160" w:line="259" w:lineRule="auto"/>
              <w:jc w:val="both"/>
              <w:rPr>
                <w:rFonts w:eastAsiaTheme="minorHAnsi" w:cs="Arial"/>
                <w:lang w:eastAsia="en-US"/>
              </w:rPr>
            </w:pPr>
            <w:r w:rsidRPr="008822F4">
              <w:rPr>
                <w:rFonts w:ascii="HelveticaNeueLT Std" w:hAnsi="HelveticaNeueLT Std" w:cs="Arial"/>
                <w:sz w:val="18"/>
              </w:rPr>
              <w:t>Certificados Bursátiles Fiduciarios Preferentes Serie B</w:t>
            </w:r>
          </w:p>
        </w:tc>
        <w:tc>
          <w:tcPr>
            <w:tcW w:w="2126" w:type="dxa"/>
            <w:vAlign w:val="center"/>
          </w:tcPr>
          <w:p w14:paraId="12DAFB7B" w14:textId="77777777" w:rsidR="00527FCE" w:rsidRDefault="00527FCE" w:rsidP="00B2611E">
            <w:pPr>
              <w:spacing w:line="259" w:lineRule="auto"/>
              <w:jc w:val="both"/>
              <w:rPr>
                <w:rFonts w:eastAsia="Times New Roman" w:cs="Arial"/>
                <w:highlight w:val="yellow"/>
                <w:lang w:eastAsia="es-ES"/>
              </w:rPr>
            </w:pPr>
            <w:r>
              <w:rPr>
                <w:rFonts w:ascii="HelveticaNeueLT Std" w:eastAsia="Arial" w:hAnsi="HelveticaNeueLT Std" w:cs="Arial"/>
                <w:color w:val="383D42"/>
                <w:sz w:val="16"/>
                <w:szCs w:val="22"/>
                <w:lang w:val="en-US" w:eastAsia="en-US"/>
              </w:rPr>
              <w:t>28-feb-20</w:t>
            </w:r>
            <w:r w:rsidRPr="008822F4">
              <w:rPr>
                <w:rFonts w:ascii="HelveticaNeueLT Std" w:eastAsia="Arial" w:hAnsi="HelveticaNeueLT Std" w:cs="Arial"/>
                <w:color w:val="383D42"/>
                <w:sz w:val="16"/>
                <w:szCs w:val="22"/>
                <w:lang w:val="en-US" w:eastAsia="en-US"/>
              </w:rPr>
              <w:t xml:space="preserve"> y </w:t>
            </w:r>
            <w:r>
              <w:rPr>
                <w:rFonts w:ascii="HelveticaNeueLT Std" w:eastAsia="Arial" w:hAnsi="HelveticaNeueLT Std" w:cs="Arial"/>
                <w:color w:val="383D42"/>
                <w:w w:val="105"/>
                <w:sz w:val="16"/>
                <w:szCs w:val="22"/>
                <w:lang w:val="en-US" w:eastAsia="en-US"/>
              </w:rPr>
              <w:t>28-ago-20</w:t>
            </w:r>
          </w:p>
        </w:tc>
      </w:tr>
      <w:tr w:rsidR="00527FCE" w14:paraId="4DAA5C17" w14:textId="77777777" w:rsidTr="00B2611E">
        <w:trPr>
          <w:trHeight w:val="394"/>
          <w:jc w:val="center"/>
        </w:trPr>
        <w:tc>
          <w:tcPr>
            <w:tcW w:w="7372" w:type="dxa"/>
            <w:vAlign w:val="center"/>
          </w:tcPr>
          <w:p w14:paraId="51F18BF9" w14:textId="77777777" w:rsidR="00527FCE" w:rsidRPr="004565E8" w:rsidRDefault="00527FCE" w:rsidP="00B2611E">
            <w:pPr>
              <w:spacing w:after="160" w:line="259" w:lineRule="auto"/>
              <w:jc w:val="both"/>
              <w:rPr>
                <w:rFonts w:eastAsiaTheme="minorHAnsi" w:cs="Arial"/>
                <w:lang w:eastAsia="en-US"/>
              </w:rPr>
            </w:pPr>
            <w:r w:rsidRPr="008822F4">
              <w:rPr>
                <w:rFonts w:ascii="HelveticaNeueLT Std" w:hAnsi="HelveticaNeueLT Std" w:cs="Arial"/>
                <w:sz w:val="18"/>
              </w:rPr>
              <w:t>Certificados Bursátiles Fiduciarios Subordinados denominados en Unidades de Inversión</w:t>
            </w:r>
          </w:p>
        </w:tc>
        <w:tc>
          <w:tcPr>
            <w:tcW w:w="2126" w:type="dxa"/>
            <w:vAlign w:val="center"/>
          </w:tcPr>
          <w:p w14:paraId="3A93A83F" w14:textId="77777777" w:rsidR="00527FCE" w:rsidRDefault="00527FCE" w:rsidP="00B2611E">
            <w:pPr>
              <w:spacing w:line="259" w:lineRule="auto"/>
              <w:jc w:val="both"/>
              <w:rPr>
                <w:rFonts w:eastAsia="Times New Roman" w:cs="Arial"/>
                <w:highlight w:val="yellow"/>
                <w:lang w:eastAsia="es-ES"/>
              </w:rPr>
            </w:pPr>
            <w:r w:rsidRPr="008822F4">
              <w:rPr>
                <w:rFonts w:ascii="HelveticaNeueLT Std" w:eastAsia="Arial" w:hAnsi="HelveticaNeueLT Std" w:cs="Arial"/>
                <w:color w:val="383D42"/>
                <w:sz w:val="16"/>
                <w:szCs w:val="22"/>
                <w:lang w:val="en-US" w:eastAsia="en-US"/>
              </w:rPr>
              <w:t>30-mar-20 y 28-sep-20</w:t>
            </w:r>
          </w:p>
        </w:tc>
      </w:tr>
    </w:tbl>
    <w:p w14:paraId="70A3E72C" w14:textId="77777777" w:rsidR="008641A6" w:rsidRPr="008641A6" w:rsidRDefault="008641A6" w:rsidP="00294457">
      <w:pPr>
        <w:spacing w:before="240" w:line="276" w:lineRule="auto"/>
        <w:ind w:right="-1"/>
        <w:jc w:val="both"/>
        <w:rPr>
          <w:rFonts w:cs="Arial"/>
        </w:rPr>
      </w:pPr>
      <w:r w:rsidRPr="008641A6">
        <w:rPr>
          <w:rFonts w:cs="Arial"/>
        </w:rPr>
        <w:t>Los pagos de intereses más la amortización de capital por los cupones programados se observan en el siguiente cuadro:</w:t>
      </w:r>
    </w:p>
    <w:p w14:paraId="3940DCFD" w14:textId="2A1B4126" w:rsidR="00527FCE" w:rsidRDefault="00B20AA9" w:rsidP="00527FCE">
      <w:pPr>
        <w:spacing w:line="259" w:lineRule="auto"/>
        <w:rPr>
          <w:rFonts w:cs="Arial"/>
        </w:rPr>
      </w:pPr>
      <w:r w:rsidRPr="00B20AA9">
        <w:drawing>
          <wp:inline distT="0" distB="0" distL="0" distR="0" wp14:anchorId="747B0BC6" wp14:editId="6EFA7B3E">
            <wp:extent cx="6389370" cy="2621968"/>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9370" cy="2621968"/>
                    </a:xfrm>
                    <a:prstGeom prst="rect">
                      <a:avLst/>
                    </a:prstGeom>
                    <a:noFill/>
                    <a:ln>
                      <a:noFill/>
                    </a:ln>
                  </pic:spPr>
                </pic:pic>
              </a:graphicData>
            </a:graphic>
          </wp:inline>
        </w:drawing>
      </w:r>
      <w:bookmarkStart w:id="2" w:name="_GoBack"/>
      <w:bookmarkEnd w:id="2"/>
    </w:p>
    <w:p w14:paraId="5D5C2F06" w14:textId="22E7FF7B" w:rsidR="00C423BB" w:rsidRPr="008641A6" w:rsidRDefault="00C423BB" w:rsidP="00527FCE">
      <w:pPr>
        <w:spacing w:line="259" w:lineRule="auto"/>
        <w:rPr>
          <w:noProof/>
          <w:lang w:eastAsia="es-MX"/>
        </w:rPr>
      </w:pPr>
      <w:r w:rsidRPr="008641A6">
        <w:rPr>
          <w:rFonts w:cs="Arial"/>
        </w:rPr>
        <w:t xml:space="preserve">Las transferencias al Gobierno del Estado de México de los remanentes del Fideicomiso de Cobranza, más los intereses generados, se destinan a la inversión productiva de acuerdo a lo establecido en el contrato irrevocable No. 80615 y se han llevado a cabo como sigue: </w:t>
      </w:r>
    </w:p>
    <w:p w14:paraId="39CAB087" w14:textId="77777777" w:rsidR="008641A6" w:rsidRPr="008641A6" w:rsidRDefault="008641A6" w:rsidP="008641A6">
      <w:pPr>
        <w:spacing w:line="276" w:lineRule="auto"/>
        <w:ind w:right="-1"/>
        <w:jc w:val="center"/>
        <w:rPr>
          <w:rFonts w:cs="Arial"/>
        </w:rPr>
      </w:pPr>
      <w:r w:rsidRPr="008641A6">
        <w:rPr>
          <w:noProof/>
          <w:lang w:eastAsia="es-MX"/>
        </w:rPr>
        <w:drawing>
          <wp:inline distT="0" distB="0" distL="0" distR="0" wp14:anchorId="7070A7BF" wp14:editId="2CE04E90">
            <wp:extent cx="4552950" cy="3446711"/>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5067" cy="3448313"/>
                    </a:xfrm>
                    <a:prstGeom prst="rect">
                      <a:avLst/>
                    </a:prstGeom>
                    <a:noFill/>
                    <a:ln>
                      <a:noFill/>
                    </a:ln>
                  </pic:spPr>
                </pic:pic>
              </a:graphicData>
            </a:graphic>
          </wp:inline>
        </w:drawing>
      </w:r>
    </w:p>
    <w:p w14:paraId="2FE2EBEF" w14:textId="77777777" w:rsidR="008641A6" w:rsidRPr="008641A6" w:rsidRDefault="008641A6" w:rsidP="008641A6">
      <w:pPr>
        <w:spacing w:line="276" w:lineRule="auto"/>
        <w:ind w:right="-1"/>
        <w:jc w:val="center"/>
        <w:rPr>
          <w:rFonts w:cs="Arial"/>
        </w:rPr>
      </w:pPr>
    </w:p>
    <w:p w14:paraId="2F81EED7" w14:textId="77777777" w:rsidR="008641A6" w:rsidRPr="008641A6" w:rsidRDefault="008641A6" w:rsidP="008641A6">
      <w:pPr>
        <w:spacing w:line="276" w:lineRule="auto"/>
        <w:ind w:right="-1"/>
        <w:contextualSpacing/>
        <w:jc w:val="both"/>
      </w:pPr>
      <w:r w:rsidRPr="008641A6">
        <w:t>Con relación a los remanentes correspondientes a la distribución 116 y con fundamento en el oficio número 2075002A000000000-730/2020 de fecha 11de noviembre del presente año, mediante el cual el Subsecretario de Tesorería del Gobierno del Estado de México y el Director General de Crédito, autorizan que los recursos transferidos por Nacional Financiera, S.N.C., por este concepto, los podrá conservar el IFREM, para ser destinados  en caso de déficit en el pago de las obligaciones financieras asumidas en el Contrato de Fideicomiso Irrevocable N° 80615, al vencimiento del pago de los certificados Bursátiles fiduciarios Serie A y Serie B y Subordinada Serie C, calendarizada en primer semestre del año 2021. Dichos recursos se administran financieramente en la cuenta bancaria referida en el punto 3 de las notas al Estado de Situación Financiera.</w:t>
      </w:r>
    </w:p>
    <w:p w14:paraId="26B47EBB" w14:textId="77777777" w:rsidR="008641A6" w:rsidRDefault="008641A6" w:rsidP="008641A6">
      <w:pPr>
        <w:spacing w:line="276" w:lineRule="auto"/>
        <w:ind w:right="-1"/>
        <w:contextualSpacing/>
        <w:jc w:val="both"/>
      </w:pPr>
    </w:p>
    <w:p w14:paraId="709DE895" w14:textId="77777777" w:rsidR="00932214" w:rsidRPr="008641A6" w:rsidRDefault="00932214" w:rsidP="008641A6">
      <w:pPr>
        <w:spacing w:line="276" w:lineRule="auto"/>
        <w:ind w:right="-1"/>
        <w:contextualSpacing/>
        <w:jc w:val="both"/>
      </w:pPr>
    </w:p>
    <w:p w14:paraId="756E907D" w14:textId="77777777" w:rsidR="008641A6" w:rsidRPr="008641A6" w:rsidRDefault="008641A6" w:rsidP="002577A6">
      <w:pPr>
        <w:numPr>
          <w:ilvl w:val="0"/>
          <w:numId w:val="12"/>
        </w:numPr>
        <w:spacing w:after="0" w:line="259" w:lineRule="auto"/>
        <w:contextualSpacing/>
        <w:rPr>
          <w:rFonts w:eastAsia="Times New Roman" w:cs="Arial"/>
          <w:b/>
          <w:lang w:eastAsia="es-MX"/>
        </w:rPr>
      </w:pPr>
      <w:r w:rsidRPr="008641A6">
        <w:rPr>
          <w:rFonts w:eastAsia="Times New Roman" w:cs="Arial"/>
          <w:b/>
          <w:lang w:eastAsia="es-MX"/>
        </w:rPr>
        <w:t>Calificaciones otorgadas</w:t>
      </w:r>
    </w:p>
    <w:p w14:paraId="2DAA1355" w14:textId="77777777" w:rsidR="008641A6" w:rsidRDefault="008641A6" w:rsidP="008641A6">
      <w:pPr>
        <w:spacing w:before="240"/>
        <w:jc w:val="both"/>
      </w:pPr>
      <w:r w:rsidRPr="008641A6">
        <w:t>Las obligaciones contraídas en términos del Convenio Global Estabilizador, durante la vigencia de los Certificados Bursátiles, celebrar los contratos necesarios con 2 Agencias Calificadoras, con objeto de que se obtenga, por lo menos una vez cada año calendario, un reporte con una opinión sobre la calificación crediticia (México I. d., Contrato de Fideicomiso Irrevocable N° 80615, 2010, pág. 82), la cual, fue la siguiente:</w:t>
      </w:r>
    </w:p>
    <w:p w14:paraId="5467EE9F" w14:textId="77777777" w:rsidR="00E03D1D" w:rsidRPr="00E03D1D" w:rsidRDefault="008641A6" w:rsidP="0053040D">
      <w:pPr>
        <w:numPr>
          <w:ilvl w:val="0"/>
          <w:numId w:val="46"/>
        </w:numPr>
        <w:spacing w:before="240" w:line="276" w:lineRule="auto"/>
        <w:ind w:left="567" w:right="-1"/>
        <w:contextualSpacing/>
        <w:jc w:val="both"/>
        <w:rPr>
          <w:i/>
        </w:rPr>
      </w:pPr>
      <w:r w:rsidRPr="003D3B9A">
        <w:rPr>
          <w:rFonts w:eastAsia="Times New Roman" w:cs="Times New Roman"/>
          <w:i/>
          <w:lang w:eastAsia="es-MX"/>
        </w:rPr>
        <w:t xml:space="preserve"> </w:t>
      </w:r>
      <w:r w:rsidR="00BB12A2">
        <w:rPr>
          <w:rFonts w:eastAsia="Times New Roman" w:cs="Times New Roman"/>
          <w:i/>
          <w:lang w:eastAsia="es-MX"/>
        </w:rPr>
        <w:t>“</w:t>
      </w:r>
      <w:proofErr w:type="spellStart"/>
      <w:r w:rsidR="00BB12A2">
        <w:rPr>
          <w:rFonts w:eastAsia="Times New Roman" w:cs="Times New Roman"/>
          <w:i/>
          <w:lang w:eastAsia="es-MX"/>
        </w:rPr>
        <w:t>Fitch</w:t>
      </w:r>
      <w:proofErr w:type="spellEnd"/>
      <w:r w:rsidR="00BB12A2">
        <w:rPr>
          <w:rFonts w:eastAsia="Times New Roman" w:cs="Times New Roman"/>
          <w:i/>
          <w:lang w:eastAsia="es-MX"/>
        </w:rPr>
        <w:t xml:space="preserve"> Ratings –México City – 30 </w:t>
      </w:r>
      <w:proofErr w:type="spellStart"/>
      <w:r w:rsidR="00BB12A2">
        <w:rPr>
          <w:rFonts w:eastAsia="Times New Roman" w:cs="Times New Roman"/>
          <w:i/>
          <w:lang w:eastAsia="es-MX"/>
        </w:rPr>
        <w:t>Dec</w:t>
      </w:r>
      <w:proofErr w:type="spellEnd"/>
      <w:r w:rsidR="00BB12A2">
        <w:rPr>
          <w:rFonts w:eastAsia="Times New Roman" w:cs="Times New Roman"/>
          <w:i/>
          <w:lang w:eastAsia="es-MX"/>
        </w:rPr>
        <w:t xml:space="preserve"> 2020: </w:t>
      </w:r>
      <w:proofErr w:type="spellStart"/>
      <w:r w:rsidR="00E03D1D">
        <w:rPr>
          <w:rFonts w:eastAsia="Times New Roman" w:cs="Times New Roman"/>
          <w:i/>
          <w:lang w:eastAsia="es-MX"/>
        </w:rPr>
        <w:t>Fitch</w:t>
      </w:r>
      <w:proofErr w:type="spellEnd"/>
      <w:r w:rsidR="00E03D1D">
        <w:rPr>
          <w:rFonts w:eastAsia="Times New Roman" w:cs="Times New Roman"/>
          <w:i/>
          <w:lang w:eastAsia="es-MX"/>
        </w:rPr>
        <w:t xml:space="preserve"> Ratings ratificó en </w:t>
      </w:r>
      <w:proofErr w:type="gramStart"/>
      <w:r w:rsidR="00E03D1D">
        <w:rPr>
          <w:rFonts w:eastAsia="Times New Roman" w:cs="Times New Roman"/>
          <w:i/>
          <w:lang w:eastAsia="es-MX"/>
        </w:rPr>
        <w:t>‘AAA(</w:t>
      </w:r>
      <w:proofErr w:type="spellStart"/>
      <w:proofErr w:type="gramEnd"/>
      <w:r w:rsidR="00E03D1D">
        <w:rPr>
          <w:rFonts w:eastAsia="Times New Roman" w:cs="Times New Roman"/>
          <w:i/>
          <w:lang w:eastAsia="es-MX"/>
        </w:rPr>
        <w:t>mex</w:t>
      </w:r>
      <w:proofErr w:type="spellEnd"/>
      <w:r w:rsidR="00E03D1D">
        <w:rPr>
          <w:rFonts w:eastAsia="Times New Roman" w:cs="Times New Roman"/>
          <w:i/>
          <w:lang w:eastAsia="es-MX"/>
        </w:rPr>
        <w:t xml:space="preserve">) </w:t>
      </w:r>
      <w:proofErr w:type="spellStart"/>
      <w:r w:rsidR="00E03D1D">
        <w:rPr>
          <w:rFonts w:eastAsia="Times New Roman" w:cs="Times New Roman"/>
          <w:i/>
          <w:lang w:eastAsia="es-MX"/>
        </w:rPr>
        <w:t>vra</w:t>
      </w:r>
      <w:proofErr w:type="spellEnd"/>
      <w:r w:rsidR="00E03D1D">
        <w:rPr>
          <w:rFonts w:eastAsia="Times New Roman" w:cs="Times New Roman"/>
          <w:i/>
          <w:lang w:eastAsia="es-MX"/>
        </w:rPr>
        <w:t>’ las calificaciones específicas de los financiamientos que integran la deuda directa del Instituto de la Función Registral del Estado de México (IFREM) [AA(</w:t>
      </w:r>
      <w:proofErr w:type="spellStart"/>
      <w:r w:rsidR="00E03D1D">
        <w:rPr>
          <w:rFonts w:eastAsia="Times New Roman" w:cs="Times New Roman"/>
          <w:i/>
          <w:lang w:eastAsia="es-MX"/>
        </w:rPr>
        <w:t>mex</w:t>
      </w:r>
      <w:proofErr w:type="spellEnd"/>
      <w:r w:rsidR="00E03D1D">
        <w:rPr>
          <w:rFonts w:eastAsia="Times New Roman" w:cs="Times New Roman"/>
          <w:i/>
          <w:lang w:eastAsia="es-MX"/>
        </w:rPr>
        <w:t xml:space="preserve">)],…” </w:t>
      </w:r>
    </w:p>
    <w:p w14:paraId="323A367C" w14:textId="77777777" w:rsidR="008641A6" w:rsidRPr="003D3B9A" w:rsidRDefault="008641A6" w:rsidP="0053040D">
      <w:pPr>
        <w:numPr>
          <w:ilvl w:val="0"/>
          <w:numId w:val="46"/>
        </w:numPr>
        <w:spacing w:before="240" w:line="276" w:lineRule="auto"/>
        <w:ind w:left="567" w:right="-1"/>
        <w:contextualSpacing/>
        <w:jc w:val="both"/>
        <w:rPr>
          <w:i/>
        </w:rPr>
      </w:pPr>
      <w:r w:rsidRPr="003D3B9A">
        <w:rPr>
          <w:rFonts w:eastAsia="Times New Roman" w:cs="Times New Roman"/>
          <w:i/>
          <w:lang w:eastAsia="es-MX"/>
        </w:rPr>
        <w:t>“</w:t>
      </w:r>
      <w:proofErr w:type="spellStart"/>
      <w:r w:rsidRPr="003D3B9A">
        <w:rPr>
          <w:i/>
        </w:rPr>
        <w:t>Fitch</w:t>
      </w:r>
      <w:proofErr w:type="spellEnd"/>
      <w:r w:rsidRPr="003D3B9A">
        <w:rPr>
          <w:i/>
        </w:rPr>
        <w:t xml:space="preserve"> Afirma la Calificación de IFREM</w:t>
      </w:r>
      <w:r w:rsidR="003D3B9A" w:rsidRPr="003D3B9A">
        <w:rPr>
          <w:i/>
        </w:rPr>
        <w:t xml:space="preserve"> </w:t>
      </w:r>
      <w:proofErr w:type="spellStart"/>
      <w:r w:rsidRPr="003D3B9A">
        <w:rPr>
          <w:i/>
        </w:rPr>
        <w:t>Mié</w:t>
      </w:r>
      <w:proofErr w:type="spellEnd"/>
      <w:r w:rsidRPr="003D3B9A">
        <w:rPr>
          <w:i/>
        </w:rPr>
        <w:t xml:space="preserve"> 28 de octubre de 2020-17: 10 ET</w:t>
      </w:r>
      <w:r w:rsidR="003D3B9A" w:rsidRPr="003D3B9A">
        <w:rPr>
          <w:i/>
        </w:rPr>
        <w:t xml:space="preserve"> </w:t>
      </w:r>
      <w:proofErr w:type="spellStart"/>
      <w:r w:rsidRPr="003D3B9A">
        <w:rPr>
          <w:i/>
        </w:rPr>
        <w:t>Fitch</w:t>
      </w:r>
      <w:proofErr w:type="spellEnd"/>
      <w:r w:rsidRPr="003D3B9A">
        <w:rPr>
          <w:i/>
        </w:rPr>
        <w:t xml:space="preserve"> Ratings - Ciudad de México - 28 de octubre de 2020: </w:t>
      </w:r>
      <w:proofErr w:type="spellStart"/>
      <w:r w:rsidRPr="003D3B9A">
        <w:rPr>
          <w:i/>
        </w:rPr>
        <w:t>Fitch</w:t>
      </w:r>
      <w:proofErr w:type="spellEnd"/>
      <w:r w:rsidRPr="003D3B9A">
        <w:rPr>
          <w:i/>
        </w:rPr>
        <w:t xml:space="preserve"> Ratings afirmó en 'AA (</w:t>
      </w:r>
      <w:proofErr w:type="spellStart"/>
      <w:r w:rsidRPr="003D3B9A">
        <w:rPr>
          <w:i/>
        </w:rPr>
        <w:t>mex</w:t>
      </w:r>
      <w:proofErr w:type="spellEnd"/>
      <w:r w:rsidRPr="003D3B9A">
        <w:rPr>
          <w:i/>
        </w:rPr>
        <w:t xml:space="preserve">)' la calificación de la calidad crediticia del Instituto de la Función Registral del Estado de México (IFREM). La Perspectiva es Estable. </w:t>
      </w:r>
      <w:r w:rsidRPr="003D3B9A">
        <w:rPr>
          <w:i/>
          <w:vertAlign w:val="superscript"/>
        </w:rPr>
        <w:footnoteReference w:customMarkFollows="1" w:id="1"/>
        <w:t>[1]</w:t>
      </w:r>
    </w:p>
    <w:p w14:paraId="7E48FC06" w14:textId="77777777" w:rsidR="008641A6" w:rsidRPr="008641A6" w:rsidRDefault="008641A6" w:rsidP="008641A6">
      <w:pPr>
        <w:spacing w:line="276" w:lineRule="auto"/>
        <w:ind w:left="567" w:right="-1"/>
        <w:contextualSpacing/>
        <w:jc w:val="both"/>
        <w:rPr>
          <w:i/>
        </w:rPr>
      </w:pPr>
    </w:p>
    <w:p w14:paraId="50F96F3C" w14:textId="77777777" w:rsidR="008641A6" w:rsidRDefault="008641A6" w:rsidP="008641A6">
      <w:pPr>
        <w:spacing w:line="276" w:lineRule="auto"/>
        <w:ind w:left="567" w:right="-1"/>
        <w:contextualSpacing/>
        <w:jc w:val="both"/>
        <w:rPr>
          <w:i/>
        </w:rPr>
      </w:pPr>
      <w:proofErr w:type="spellStart"/>
      <w:r w:rsidRPr="008641A6">
        <w:rPr>
          <w:i/>
        </w:rPr>
        <w:t>Fitch</w:t>
      </w:r>
      <w:proofErr w:type="spellEnd"/>
      <w:r w:rsidRPr="008641A6">
        <w:rPr>
          <w:i/>
        </w:rPr>
        <w:t xml:space="preserve"> clasifica a IFREM como una entidad relacionada con el gobierno (ERG) que actúa como una extensión del gobierno del Estado de México calificado en 'AA (</w:t>
      </w:r>
      <w:proofErr w:type="spellStart"/>
      <w:r w:rsidRPr="008641A6">
        <w:rPr>
          <w:i/>
        </w:rPr>
        <w:t>mex</w:t>
      </w:r>
      <w:proofErr w:type="spellEnd"/>
      <w:r w:rsidRPr="008641A6">
        <w:rPr>
          <w:i/>
        </w:rPr>
        <w:t>)'. Esta clasificación también considera su misión de política pública y el nivel de influencia de este último sobre IFREM. La calificadora aplica la metodología de ERG para evaluar la fortaleza del vínculo e incentivo de soporte de su gobierno de soporte. La agencia determinó una asignación de 'Muy Fuerte' en los factores de estatus, propiedad y control, e implicaciones financieras de incumplimiento. Mientras los factores de historial y expectativa de soporte, e implicaciones sociopolíticas de un incumplimiento se consideraron como 'Fuerte'. La mezcla de atributos da como resultado un puntaje general de soporte de 45,”.</w:t>
      </w:r>
    </w:p>
    <w:p w14:paraId="0C2D30C9" w14:textId="77777777" w:rsidR="003D3B9A" w:rsidRPr="008641A6" w:rsidRDefault="003D3B9A" w:rsidP="008641A6">
      <w:pPr>
        <w:spacing w:line="276" w:lineRule="auto"/>
        <w:ind w:left="567" w:right="-1"/>
        <w:contextualSpacing/>
        <w:jc w:val="both"/>
        <w:rPr>
          <w:i/>
        </w:rPr>
      </w:pPr>
    </w:p>
    <w:p w14:paraId="3CB53648" w14:textId="77777777" w:rsidR="00E03D1D" w:rsidRDefault="00FC4BC0" w:rsidP="00E03D1D">
      <w:pPr>
        <w:numPr>
          <w:ilvl w:val="0"/>
          <w:numId w:val="46"/>
        </w:numPr>
        <w:spacing w:before="240" w:line="252" w:lineRule="auto"/>
        <w:contextualSpacing/>
        <w:jc w:val="both"/>
        <w:rPr>
          <w:rFonts w:eastAsia="Times New Roman" w:cs="Times New Roman"/>
          <w:i/>
          <w:lang w:eastAsia="es-MX"/>
        </w:rPr>
      </w:pPr>
      <w:r>
        <w:rPr>
          <w:rFonts w:eastAsia="Times New Roman" w:cs="Times New Roman"/>
          <w:i/>
          <w:lang w:eastAsia="es-MX"/>
        </w:rPr>
        <w:t>“…</w:t>
      </w:r>
      <w:r w:rsidR="00E03D1D" w:rsidRPr="008641A6">
        <w:rPr>
          <w:rFonts w:eastAsia="Times New Roman" w:cs="Times New Roman"/>
          <w:i/>
          <w:lang w:eastAsia="es-MX"/>
        </w:rPr>
        <w:t xml:space="preserve">El 27 de julio de 2020, </w:t>
      </w:r>
      <w:r w:rsidR="00E03D1D">
        <w:rPr>
          <w:rFonts w:eastAsia="Times New Roman" w:cs="Times New Roman"/>
          <w:i/>
          <w:lang w:eastAsia="es-MX"/>
        </w:rPr>
        <w:t xml:space="preserve"> </w:t>
      </w:r>
      <w:r>
        <w:rPr>
          <w:rFonts w:eastAsia="Times New Roman" w:cs="Times New Roman"/>
          <w:i/>
          <w:lang w:eastAsia="es-MX"/>
        </w:rPr>
        <w:t xml:space="preserve">S&amp;P Global Ratings confirmó sus calificaciones de deuda </w:t>
      </w:r>
      <w:proofErr w:type="spellStart"/>
      <w:r>
        <w:rPr>
          <w:rFonts w:eastAsia="Times New Roman" w:cs="Times New Roman"/>
          <w:i/>
          <w:lang w:eastAsia="es-MX"/>
        </w:rPr>
        <w:t>ed</w:t>
      </w:r>
      <w:proofErr w:type="spellEnd"/>
      <w:r>
        <w:rPr>
          <w:rFonts w:eastAsia="Times New Roman" w:cs="Times New Roman"/>
          <w:i/>
          <w:lang w:eastAsia="es-MX"/>
        </w:rPr>
        <w:t xml:space="preserve"> largo plazo en escala nacional –</w:t>
      </w:r>
      <w:proofErr w:type="spellStart"/>
      <w:r>
        <w:rPr>
          <w:rFonts w:eastAsia="Times New Roman" w:cs="Times New Roman"/>
          <w:i/>
          <w:lang w:eastAsia="es-MX"/>
        </w:rPr>
        <w:t>CAVal</w:t>
      </w:r>
      <w:proofErr w:type="spellEnd"/>
      <w:r>
        <w:rPr>
          <w:rFonts w:eastAsia="Times New Roman" w:cs="Times New Roman"/>
          <w:i/>
          <w:lang w:eastAsia="es-MX"/>
        </w:rPr>
        <w:t>- de ‘</w:t>
      </w:r>
      <w:proofErr w:type="spellStart"/>
      <w:r>
        <w:rPr>
          <w:rFonts w:eastAsia="Times New Roman" w:cs="Times New Roman"/>
          <w:i/>
          <w:lang w:eastAsia="es-MX"/>
        </w:rPr>
        <w:t>mxAAA</w:t>
      </w:r>
      <w:proofErr w:type="spellEnd"/>
      <w:r>
        <w:rPr>
          <w:rFonts w:eastAsia="Times New Roman" w:cs="Times New Roman"/>
          <w:i/>
          <w:lang w:eastAsia="es-MX"/>
        </w:rPr>
        <w:t xml:space="preserve">’ </w:t>
      </w:r>
      <w:r w:rsidRPr="00FC4BC0">
        <w:rPr>
          <w:rFonts w:eastAsia="Times New Roman" w:cs="Times New Roman"/>
          <w:b/>
          <w:i/>
          <w:lang w:eastAsia="es-MX"/>
        </w:rPr>
        <w:t>de los certificados bursátiles</w:t>
      </w:r>
      <w:r>
        <w:rPr>
          <w:rFonts w:eastAsia="Times New Roman" w:cs="Times New Roman"/>
          <w:i/>
          <w:lang w:eastAsia="es-MX"/>
        </w:rPr>
        <w:t xml:space="preserve"> Serie A, con clave de pizarra PROIN 10 </w:t>
      </w:r>
      <w:r w:rsidR="00E03D1D" w:rsidRPr="008641A6">
        <w:rPr>
          <w:rFonts w:eastAsia="Times New Roman" w:cs="Times New Roman"/>
          <w:i/>
          <w:lang w:eastAsia="es-MX"/>
        </w:rPr>
        <w:t xml:space="preserve"> </w:t>
      </w:r>
      <w:r w:rsidR="00E03D1D">
        <w:rPr>
          <w:rFonts w:eastAsia="Times New Roman" w:cs="Times New Roman"/>
          <w:i/>
          <w:lang w:eastAsia="es-MX"/>
        </w:rPr>
        <w:t>PROIN 10</w:t>
      </w:r>
      <w:r>
        <w:rPr>
          <w:rFonts w:eastAsia="Times New Roman" w:cs="Times New Roman"/>
          <w:i/>
          <w:lang w:eastAsia="es-MX"/>
        </w:rPr>
        <w:t xml:space="preserve">, </w:t>
      </w:r>
      <w:r w:rsidR="00E03D1D">
        <w:rPr>
          <w:rFonts w:eastAsia="Times New Roman" w:cs="Times New Roman"/>
          <w:i/>
          <w:lang w:eastAsia="es-MX"/>
        </w:rPr>
        <w:t>y</w:t>
      </w:r>
      <w:r>
        <w:rPr>
          <w:rFonts w:eastAsia="Times New Roman" w:cs="Times New Roman"/>
          <w:i/>
          <w:lang w:eastAsia="es-MX"/>
        </w:rPr>
        <w:t xml:space="preserve"> Serie B, con clave de pizarra PROIN 10-2 , del Instituto de la Función Registral del Estado de México (</w:t>
      </w:r>
      <w:proofErr w:type="spellStart"/>
      <w:r>
        <w:rPr>
          <w:rFonts w:eastAsia="Times New Roman" w:cs="Times New Roman"/>
          <w:i/>
          <w:lang w:eastAsia="es-MX"/>
        </w:rPr>
        <w:t>IFREM;mxA</w:t>
      </w:r>
      <w:proofErr w:type="spellEnd"/>
      <w:r>
        <w:rPr>
          <w:rFonts w:eastAsia="Times New Roman" w:cs="Times New Roman"/>
          <w:i/>
          <w:lang w:eastAsia="es-MX"/>
        </w:rPr>
        <w:t>+/Estable/--)….</w:t>
      </w:r>
      <w:r w:rsidR="00E03D1D">
        <w:rPr>
          <w:rFonts w:eastAsia="Times New Roman" w:cs="Times New Roman"/>
          <w:i/>
          <w:lang w:eastAsia="es-MX"/>
        </w:rPr>
        <w:t xml:space="preserve">”. </w:t>
      </w:r>
    </w:p>
    <w:p w14:paraId="0EF048E4" w14:textId="77777777" w:rsidR="001120FF" w:rsidRDefault="001120FF" w:rsidP="001120FF">
      <w:pPr>
        <w:spacing w:before="240" w:line="252" w:lineRule="auto"/>
        <w:ind w:left="720"/>
        <w:contextualSpacing/>
        <w:jc w:val="both"/>
        <w:rPr>
          <w:rFonts w:eastAsia="Times New Roman" w:cs="Times New Roman"/>
          <w:i/>
          <w:lang w:eastAsia="es-MX"/>
        </w:rPr>
      </w:pPr>
    </w:p>
    <w:p w14:paraId="33291969" w14:textId="77777777" w:rsidR="008641A6" w:rsidRPr="008641A6" w:rsidRDefault="008641A6" w:rsidP="008641A6">
      <w:pPr>
        <w:numPr>
          <w:ilvl w:val="0"/>
          <w:numId w:val="46"/>
        </w:numPr>
        <w:spacing w:before="240" w:line="252" w:lineRule="auto"/>
        <w:contextualSpacing/>
        <w:jc w:val="both"/>
        <w:rPr>
          <w:rFonts w:eastAsia="Times New Roman" w:cs="Times New Roman"/>
          <w:i/>
          <w:lang w:eastAsia="es-MX"/>
        </w:rPr>
      </w:pPr>
      <w:r w:rsidRPr="008641A6">
        <w:rPr>
          <w:rFonts w:eastAsia="Times New Roman" w:cs="Times New Roman"/>
          <w:i/>
          <w:lang w:eastAsia="es-MX"/>
        </w:rPr>
        <w:t xml:space="preserve">“…El 27 de julio de 2020, S&amp;P Global Ratings confirmó su </w:t>
      </w:r>
      <w:r w:rsidRPr="001120FF">
        <w:rPr>
          <w:rFonts w:eastAsia="Times New Roman" w:cs="Times New Roman"/>
          <w:b/>
          <w:i/>
          <w:lang w:eastAsia="es-MX"/>
        </w:rPr>
        <w:t xml:space="preserve">calificación </w:t>
      </w:r>
      <w:r w:rsidRPr="00BB12A2">
        <w:rPr>
          <w:rFonts w:eastAsia="Times New Roman" w:cs="Times New Roman"/>
          <w:b/>
          <w:i/>
          <w:lang w:eastAsia="es-MX"/>
        </w:rPr>
        <w:t>crediticia de emisor</w:t>
      </w:r>
      <w:r w:rsidRPr="008641A6">
        <w:rPr>
          <w:rFonts w:eastAsia="Times New Roman" w:cs="Times New Roman"/>
          <w:i/>
          <w:lang w:eastAsia="es-MX"/>
        </w:rPr>
        <w:t xml:space="preserve"> de largo plazo en escala nacional –</w:t>
      </w:r>
      <w:proofErr w:type="spellStart"/>
      <w:r w:rsidRPr="008641A6">
        <w:rPr>
          <w:rFonts w:eastAsia="Times New Roman" w:cs="Times New Roman"/>
          <w:i/>
          <w:lang w:eastAsia="es-MX"/>
        </w:rPr>
        <w:t>CaVal</w:t>
      </w:r>
      <w:proofErr w:type="spellEnd"/>
      <w:r w:rsidRPr="008641A6">
        <w:rPr>
          <w:rFonts w:eastAsia="Times New Roman" w:cs="Times New Roman"/>
          <w:i/>
          <w:lang w:eastAsia="es-MX"/>
        </w:rPr>
        <w:t>– de '</w:t>
      </w:r>
      <w:proofErr w:type="spellStart"/>
      <w:r w:rsidRPr="008641A6">
        <w:rPr>
          <w:rFonts w:eastAsia="Times New Roman" w:cs="Times New Roman"/>
          <w:i/>
          <w:lang w:eastAsia="es-MX"/>
        </w:rPr>
        <w:t>mxA</w:t>
      </w:r>
      <w:proofErr w:type="spellEnd"/>
      <w:r w:rsidRPr="008641A6">
        <w:rPr>
          <w:rFonts w:eastAsia="Times New Roman" w:cs="Times New Roman"/>
          <w:i/>
          <w:lang w:eastAsia="es-MX"/>
        </w:rPr>
        <w:t>+' del Instituto de la Función Registral del Estado de México (IFREM). La perspectiva se mantiene estable</w:t>
      </w:r>
      <w:r w:rsidRPr="008641A6">
        <w:rPr>
          <w:rFonts w:eastAsia="Times New Roman" w:cs="Times New Roman"/>
          <w:i/>
          <w:vertAlign w:val="superscript"/>
          <w:lang w:eastAsia="es-MX"/>
        </w:rPr>
        <w:t xml:space="preserve"> </w:t>
      </w:r>
      <w:r w:rsidRPr="008641A6">
        <w:rPr>
          <w:rFonts w:eastAsia="Times New Roman" w:cs="Times New Roman"/>
          <w:i/>
          <w:vertAlign w:val="superscript"/>
          <w:lang w:eastAsia="es-MX"/>
        </w:rPr>
        <w:footnoteReference w:customMarkFollows="1" w:id="2"/>
        <w:t>[2]</w:t>
      </w:r>
      <w:r w:rsidRPr="008641A6">
        <w:rPr>
          <w:rFonts w:eastAsia="Times New Roman" w:cs="Times New Roman"/>
          <w:i/>
          <w:lang w:eastAsia="es-MX"/>
        </w:rPr>
        <w:t>.</w:t>
      </w:r>
    </w:p>
    <w:p w14:paraId="4AC0AF08" w14:textId="77777777" w:rsidR="008641A6" w:rsidRPr="008641A6" w:rsidRDefault="008641A6" w:rsidP="008641A6">
      <w:pPr>
        <w:spacing w:line="276" w:lineRule="auto"/>
        <w:ind w:left="567" w:right="-1"/>
        <w:contextualSpacing/>
        <w:jc w:val="both"/>
        <w:rPr>
          <w:i/>
        </w:rPr>
      </w:pPr>
      <w:r w:rsidRPr="008641A6">
        <w:rPr>
          <w:i/>
        </w:rPr>
        <w:t>La perspectiva estable refleja la perspectiva estable del Estado de México, así como nuestra expectativa de que, en los próximos 12 a 18 meses, la probabilidad casi cierta de apoyo extraordinario del Estado de México al instituto se mantenga.”</w:t>
      </w:r>
    </w:p>
    <w:p w14:paraId="5D07903C" w14:textId="77777777" w:rsidR="008641A6" w:rsidRDefault="008641A6" w:rsidP="008641A6">
      <w:pPr>
        <w:spacing w:line="276" w:lineRule="auto"/>
        <w:ind w:left="567" w:right="-1"/>
        <w:contextualSpacing/>
        <w:jc w:val="both"/>
        <w:rPr>
          <w:i/>
        </w:rPr>
      </w:pPr>
    </w:p>
    <w:p w14:paraId="49BEADB7" w14:textId="77777777" w:rsidR="00932214" w:rsidRPr="008641A6" w:rsidRDefault="00932214" w:rsidP="008641A6">
      <w:pPr>
        <w:spacing w:line="276" w:lineRule="auto"/>
        <w:ind w:left="567" w:right="-1"/>
        <w:contextualSpacing/>
        <w:jc w:val="both"/>
        <w:rPr>
          <w:i/>
        </w:rPr>
      </w:pPr>
    </w:p>
    <w:p w14:paraId="06352ED5" w14:textId="77777777" w:rsidR="008641A6" w:rsidRPr="008641A6" w:rsidRDefault="008641A6" w:rsidP="002577A6">
      <w:pPr>
        <w:numPr>
          <w:ilvl w:val="0"/>
          <w:numId w:val="12"/>
        </w:numPr>
        <w:spacing w:after="0" w:line="259" w:lineRule="auto"/>
        <w:contextualSpacing/>
        <w:rPr>
          <w:rFonts w:eastAsia="Times New Roman"/>
          <w:b/>
          <w:lang w:eastAsia="es-MX"/>
        </w:rPr>
      </w:pPr>
      <w:r w:rsidRPr="008641A6">
        <w:rPr>
          <w:rFonts w:eastAsia="Times New Roman"/>
          <w:b/>
          <w:lang w:eastAsia="es-MX"/>
        </w:rPr>
        <w:t>Proceso de Mejora</w:t>
      </w:r>
    </w:p>
    <w:p w14:paraId="41525D79" w14:textId="77777777" w:rsidR="008641A6" w:rsidRPr="008641A6" w:rsidRDefault="008641A6" w:rsidP="008641A6">
      <w:pPr>
        <w:spacing w:before="240" w:line="276" w:lineRule="auto"/>
        <w:ind w:right="-1"/>
        <w:jc w:val="both"/>
      </w:pPr>
      <w:r w:rsidRPr="008641A6">
        <w:t xml:space="preserve">En enero de 2020 la Unidad de Informática del IFREM, obtuvo la certificación en </w:t>
      </w:r>
      <w:r w:rsidRPr="008641A6">
        <w:rPr>
          <w:b/>
        </w:rPr>
        <w:t>ISO/IEC 27001:2013</w:t>
      </w:r>
      <w:r w:rsidRPr="008641A6">
        <w:t>, Sistema de Gestión de Seguridad de la Información (SGSI).</w:t>
      </w:r>
    </w:p>
    <w:p w14:paraId="0FD8B85C" w14:textId="77777777" w:rsidR="008641A6" w:rsidRPr="008641A6" w:rsidRDefault="008641A6" w:rsidP="008641A6">
      <w:pPr>
        <w:spacing w:before="240" w:line="276" w:lineRule="auto"/>
        <w:ind w:right="-1"/>
        <w:jc w:val="both"/>
      </w:pPr>
      <w:r w:rsidRPr="008641A6">
        <w:t xml:space="preserve">A la fecha el Instituto ha mantenido la certificación bajo la norma </w:t>
      </w:r>
      <w:r w:rsidRPr="008641A6">
        <w:rPr>
          <w:b/>
        </w:rPr>
        <w:t>ISO 9001:2015</w:t>
      </w:r>
      <w:r w:rsidRPr="008641A6">
        <w:t>, se encuentra inmerso en el proceso de mejora continua y sigue modernizando sus procesos.</w:t>
      </w:r>
    </w:p>
    <w:p w14:paraId="08256D41" w14:textId="0B8C2BE5" w:rsidR="008641A6" w:rsidRDefault="008641A6" w:rsidP="008641A6">
      <w:pPr>
        <w:spacing w:line="276" w:lineRule="auto"/>
        <w:ind w:right="-1"/>
        <w:jc w:val="both"/>
      </w:pPr>
      <w:r w:rsidRPr="008641A6">
        <w:t xml:space="preserve">El Estado de México ha pasado a mostrar un avance sobresaliente en la clasificación </w:t>
      </w:r>
      <w:proofErr w:type="spellStart"/>
      <w:r w:rsidRPr="008641A6">
        <w:rPr>
          <w:b/>
        </w:rPr>
        <w:t>Doing</w:t>
      </w:r>
      <w:proofErr w:type="spellEnd"/>
      <w:r w:rsidRPr="008641A6">
        <w:rPr>
          <w:b/>
        </w:rPr>
        <w:t xml:space="preserve"> Business en México</w:t>
      </w:r>
      <w:r w:rsidRPr="008641A6">
        <w:t xml:space="preserve"> de 16 posiciones con respecto al año 2012, habiéndose clasificado en ese periodo en el lugar décimo octavo de 32 entidades económicas. A logrado posicionarse en el segundo lugar de acuerdo a los siguientes indicadores: apertura de una empresa, obtención de permisos de construcción, registro de la propiedad y cumplimiento de contratos; lo que conlleva a que el Estado de México sea uno de los casos de mejor desempeño en todo el país.</w:t>
      </w:r>
    </w:p>
    <w:p w14:paraId="1B7C9F66" w14:textId="77777777" w:rsidR="00281C21" w:rsidRPr="008641A6" w:rsidRDefault="00281C21" w:rsidP="008641A6">
      <w:pPr>
        <w:spacing w:line="276" w:lineRule="auto"/>
        <w:ind w:right="-1"/>
        <w:jc w:val="both"/>
      </w:pPr>
    </w:p>
    <w:p w14:paraId="1EDD0333" w14:textId="77777777" w:rsidR="008641A6" w:rsidRPr="008641A6" w:rsidRDefault="008641A6" w:rsidP="002577A6">
      <w:pPr>
        <w:numPr>
          <w:ilvl w:val="0"/>
          <w:numId w:val="12"/>
        </w:numPr>
        <w:spacing w:after="0" w:line="259" w:lineRule="auto"/>
        <w:contextualSpacing/>
        <w:rPr>
          <w:rFonts w:eastAsia="Times New Roman"/>
          <w:b/>
          <w:lang w:eastAsia="es-MX"/>
        </w:rPr>
      </w:pPr>
      <w:r w:rsidRPr="008641A6">
        <w:rPr>
          <w:rFonts w:eastAsia="Times New Roman"/>
          <w:b/>
          <w:lang w:eastAsia="es-MX"/>
        </w:rPr>
        <w:t>Información por Segmentos</w:t>
      </w:r>
    </w:p>
    <w:p w14:paraId="1FD071ED" w14:textId="77777777" w:rsidR="008641A6" w:rsidRPr="008641A6" w:rsidRDefault="008641A6" w:rsidP="008641A6">
      <w:pPr>
        <w:spacing w:after="0" w:line="276" w:lineRule="auto"/>
        <w:ind w:left="567" w:right="-1"/>
        <w:contextualSpacing/>
        <w:jc w:val="both"/>
        <w:rPr>
          <w:rFonts w:eastAsia="Times New Roman"/>
          <w:b/>
          <w:lang w:eastAsia="es-MX"/>
        </w:rPr>
      </w:pPr>
    </w:p>
    <w:p w14:paraId="1AAF65FE" w14:textId="77777777" w:rsidR="008641A6" w:rsidRDefault="008641A6" w:rsidP="008641A6">
      <w:pPr>
        <w:spacing w:line="276" w:lineRule="auto"/>
        <w:ind w:right="-1"/>
        <w:jc w:val="both"/>
        <w:rPr>
          <w:bCs/>
        </w:rPr>
      </w:pPr>
      <w:r w:rsidRPr="008641A6">
        <w:rPr>
          <w:bCs/>
        </w:rPr>
        <w:t>El Instituto no cuenta con información por segmentos.</w:t>
      </w:r>
    </w:p>
    <w:p w14:paraId="331B204B" w14:textId="77777777" w:rsidR="00932214" w:rsidRPr="008641A6" w:rsidRDefault="00932214" w:rsidP="008641A6">
      <w:pPr>
        <w:spacing w:line="276" w:lineRule="auto"/>
        <w:ind w:right="-1"/>
        <w:jc w:val="both"/>
        <w:rPr>
          <w:bCs/>
        </w:rPr>
      </w:pPr>
    </w:p>
    <w:p w14:paraId="55E89365" w14:textId="77777777" w:rsidR="008641A6" w:rsidRPr="008641A6" w:rsidRDefault="008641A6" w:rsidP="002577A6">
      <w:pPr>
        <w:numPr>
          <w:ilvl w:val="0"/>
          <w:numId w:val="12"/>
        </w:numPr>
        <w:spacing w:after="0" w:line="259" w:lineRule="auto"/>
        <w:contextualSpacing/>
        <w:rPr>
          <w:bCs/>
        </w:rPr>
      </w:pPr>
      <w:r w:rsidRPr="008641A6">
        <w:rPr>
          <w:rFonts w:eastAsia="Times New Roman"/>
          <w:b/>
          <w:lang w:eastAsia="es-MX"/>
        </w:rPr>
        <w:t>Eventos Posteriores al Cierre</w:t>
      </w:r>
    </w:p>
    <w:p w14:paraId="566B6687" w14:textId="77777777" w:rsidR="008641A6" w:rsidRPr="008641A6" w:rsidRDefault="008641A6" w:rsidP="008641A6">
      <w:pPr>
        <w:spacing w:after="0" w:line="276" w:lineRule="auto"/>
        <w:ind w:right="-1"/>
        <w:jc w:val="both"/>
        <w:rPr>
          <w:bCs/>
        </w:rPr>
      </w:pPr>
    </w:p>
    <w:p w14:paraId="714924E7" w14:textId="77777777" w:rsidR="008641A6" w:rsidRDefault="008641A6" w:rsidP="008641A6">
      <w:pPr>
        <w:spacing w:line="276" w:lineRule="auto"/>
        <w:ind w:right="-1"/>
        <w:jc w:val="both"/>
      </w:pPr>
      <w:r w:rsidRPr="008641A6">
        <w:t>El Instituto no presenta eventos posteriores al cierre que pudieran tener un efecto importante en su situación financiera y resultados de operación futuros.</w:t>
      </w:r>
    </w:p>
    <w:p w14:paraId="32B2BCC8" w14:textId="77777777" w:rsidR="00932214" w:rsidRPr="008641A6" w:rsidRDefault="00932214" w:rsidP="008641A6">
      <w:pPr>
        <w:spacing w:line="276" w:lineRule="auto"/>
        <w:ind w:right="-1"/>
        <w:jc w:val="both"/>
      </w:pPr>
    </w:p>
    <w:p w14:paraId="1E19A649" w14:textId="77777777" w:rsidR="008641A6" w:rsidRPr="008641A6" w:rsidRDefault="008641A6" w:rsidP="002577A6">
      <w:pPr>
        <w:numPr>
          <w:ilvl w:val="0"/>
          <w:numId w:val="12"/>
        </w:numPr>
        <w:spacing w:after="0" w:line="259" w:lineRule="auto"/>
        <w:contextualSpacing/>
        <w:rPr>
          <w:rFonts w:eastAsia="Times New Roman" w:cs="Arial"/>
          <w:lang w:eastAsia="es-MX"/>
        </w:rPr>
      </w:pPr>
      <w:r w:rsidRPr="008641A6">
        <w:rPr>
          <w:rFonts w:eastAsia="Times New Roman" w:cs="Arial"/>
          <w:b/>
          <w:lang w:eastAsia="es-MX"/>
        </w:rPr>
        <w:t>Partes Relacionadas</w:t>
      </w:r>
    </w:p>
    <w:p w14:paraId="590CF571" w14:textId="77777777" w:rsidR="008641A6" w:rsidRPr="008641A6" w:rsidRDefault="008641A6" w:rsidP="008641A6">
      <w:pPr>
        <w:spacing w:after="0" w:line="276" w:lineRule="auto"/>
        <w:ind w:right="-1"/>
        <w:jc w:val="both"/>
        <w:rPr>
          <w:bCs/>
        </w:rPr>
      </w:pPr>
    </w:p>
    <w:p w14:paraId="6130CF5C" w14:textId="616591B3" w:rsidR="00932214" w:rsidRDefault="008641A6" w:rsidP="008641A6">
      <w:pPr>
        <w:spacing w:line="276" w:lineRule="auto"/>
        <w:ind w:right="-1"/>
        <w:jc w:val="both"/>
        <w:rPr>
          <w:rFonts w:cs="Arial"/>
        </w:rPr>
      </w:pPr>
      <w:r w:rsidRPr="008641A6">
        <w:rPr>
          <w:rFonts w:cs="Arial"/>
        </w:rPr>
        <w:t>No existen partes relacionadas que pudieran ejercer influencia significativa sobre la toma de decisiones financieras y operativas en este Instituto.</w:t>
      </w:r>
    </w:p>
    <w:p w14:paraId="10937944" w14:textId="77777777" w:rsidR="00932214" w:rsidRDefault="00932214">
      <w:pPr>
        <w:spacing w:line="259" w:lineRule="auto"/>
        <w:rPr>
          <w:rFonts w:cs="Arial"/>
        </w:rPr>
      </w:pPr>
      <w:r>
        <w:rPr>
          <w:rFonts w:cs="Arial"/>
        </w:rPr>
        <w:br w:type="page"/>
      </w:r>
    </w:p>
    <w:p w14:paraId="5C7DCE70" w14:textId="77777777" w:rsidR="008641A6" w:rsidRPr="008641A6" w:rsidRDefault="008641A6" w:rsidP="008641A6">
      <w:pPr>
        <w:spacing w:line="276" w:lineRule="auto"/>
        <w:ind w:right="-1"/>
        <w:jc w:val="both"/>
        <w:rPr>
          <w:rFonts w:cs="Arial"/>
        </w:rPr>
      </w:pPr>
    </w:p>
    <w:p w14:paraId="288FD810" w14:textId="77777777" w:rsidR="008641A6" w:rsidRPr="00932214" w:rsidRDefault="008641A6" w:rsidP="002577A6">
      <w:pPr>
        <w:numPr>
          <w:ilvl w:val="0"/>
          <w:numId w:val="12"/>
        </w:numPr>
        <w:spacing w:after="0" w:line="259" w:lineRule="auto"/>
        <w:contextualSpacing/>
        <w:rPr>
          <w:bCs/>
        </w:rPr>
      </w:pPr>
      <w:r w:rsidRPr="008641A6">
        <w:rPr>
          <w:rFonts w:eastAsia="Times New Roman" w:cs="Arial"/>
          <w:b/>
          <w:lang w:eastAsia="es-MX"/>
        </w:rPr>
        <w:t>Responsabilidad Sobre la Presentación Razonable de los Estados Financieros</w:t>
      </w:r>
    </w:p>
    <w:p w14:paraId="0E010ED7" w14:textId="77777777" w:rsidR="00932214" w:rsidRPr="003D3B9A" w:rsidRDefault="00932214" w:rsidP="00932214">
      <w:pPr>
        <w:spacing w:after="0" w:line="259" w:lineRule="auto"/>
        <w:contextualSpacing/>
        <w:rPr>
          <w:bCs/>
        </w:rPr>
      </w:pPr>
    </w:p>
    <w:p w14:paraId="316096E9" w14:textId="77777777" w:rsidR="003D3B9A" w:rsidRPr="008641A6" w:rsidRDefault="003D3B9A" w:rsidP="00646302">
      <w:pPr>
        <w:spacing w:after="0" w:line="276" w:lineRule="auto"/>
        <w:ind w:left="567" w:right="-1"/>
        <w:contextualSpacing/>
        <w:jc w:val="both"/>
        <w:rPr>
          <w:bCs/>
        </w:rPr>
      </w:pPr>
    </w:p>
    <w:p w14:paraId="618A2BDA" w14:textId="77777777" w:rsidR="00807DF0" w:rsidRDefault="008641A6" w:rsidP="00807DF0">
      <w:pPr>
        <w:spacing w:line="276" w:lineRule="auto"/>
        <w:ind w:right="-1"/>
        <w:jc w:val="both"/>
        <w:rPr>
          <w:rFonts w:cs="Arial"/>
        </w:rPr>
      </w:pPr>
      <w:r w:rsidRPr="008641A6">
        <w:rPr>
          <w:rFonts w:cs="Arial"/>
        </w:rPr>
        <w:t>“Bajo protesta de decir verdad declaramos que los Estados Financieros y sus Notas, son razonablemente correctos y son responsabilidad del emisor”.</w:t>
      </w:r>
    </w:p>
    <w:p w14:paraId="049FD523" w14:textId="77777777" w:rsidR="00932214" w:rsidRDefault="00932214" w:rsidP="00807DF0">
      <w:pPr>
        <w:spacing w:line="276" w:lineRule="auto"/>
        <w:ind w:right="-1"/>
        <w:jc w:val="both"/>
        <w:rPr>
          <w:rFonts w:cs="Arial"/>
        </w:rPr>
      </w:pPr>
    </w:p>
    <w:p w14:paraId="02C0525F" w14:textId="77777777" w:rsidR="00932214" w:rsidRDefault="00932214" w:rsidP="00807DF0">
      <w:pPr>
        <w:spacing w:line="276" w:lineRule="auto"/>
        <w:ind w:right="-1"/>
        <w:jc w:val="both"/>
        <w:rPr>
          <w:rFonts w:cs="Arial"/>
        </w:rPr>
      </w:pPr>
    </w:p>
    <w:p w14:paraId="0CC147C7" w14:textId="77777777" w:rsidR="008641A6" w:rsidRPr="008641A6" w:rsidRDefault="008641A6" w:rsidP="00807DF0">
      <w:pPr>
        <w:spacing w:line="276" w:lineRule="auto"/>
        <w:ind w:right="-1"/>
        <w:jc w:val="center"/>
        <w:rPr>
          <w:rFonts w:eastAsia="Times New Roman" w:cs="Arial"/>
          <w:lang w:eastAsia="es-MX"/>
        </w:rPr>
      </w:pPr>
      <w:r w:rsidRPr="008641A6">
        <w:rPr>
          <w:rFonts w:eastAsia="Times New Roman" w:cs="Arial"/>
          <w:b/>
          <w:lang w:eastAsia="es-MX"/>
        </w:rPr>
        <w:t>Firmas</w:t>
      </w:r>
    </w:p>
    <w:tbl>
      <w:tblPr>
        <w:tblW w:w="9937" w:type="dxa"/>
        <w:jc w:val="center"/>
        <w:tblLook w:val="04A0" w:firstRow="1" w:lastRow="0" w:firstColumn="1" w:lastColumn="0" w:noHBand="0" w:noVBand="1"/>
      </w:tblPr>
      <w:tblGrid>
        <w:gridCol w:w="5447"/>
        <w:gridCol w:w="4490"/>
      </w:tblGrid>
      <w:tr w:rsidR="008641A6" w:rsidRPr="008641A6" w14:paraId="4B308286" w14:textId="77777777" w:rsidTr="009668CF">
        <w:trPr>
          <w:trHeight w:val="902"/>
          <w:jc w:val="center"/>
        </w:trPr>
        <w:tc>
          <w:tcPr>
            <w:tcW w:w="5447" w:type="dxa"/>
            <w:shd w:val="clear" w:color="auto" w:fill="auto"/>
          </w:tcPr>
          <w:p w14:paraId="6DEB6140" w14:textId="77777777" w:rsidR="008641A6" w:rsidRPr="008641A6" w:rsidRDefault="008641A6" w:rsidP="008641A6">
            <w:pPr>
              <w:spacing w:line="276" w:lineRule="auto"/>
              <w:ind w:right="-1"/>
              <w:jc w:val="center"/>
              <w:rPr>
                <w:rFonts w:cs="Arial"/>
              </w:rPr>
            </w:pPr>
          </w:p>
          <w:p w14:paraId="79FECAC9" w14:textId="77777777" w:rsidR="008641A6" w:rsidRDefault="008641A6" w:rsidP="008641A6">
            <w:pPr>
              <w:spacing w:line="276" w:lineRule="auto"/>
              <w:ind w:right="-1"/>
              <w:jc w:val="center"/>
              <w:rPr>
                <w:rFonts w:cs="Arial"/>
              </w:rPr>
            </w:pPr>
          </w:p>
          <w:p w14:paraId="3EB668A5" w14:textId="77777777" w:rsidR="00807DF0" w:rsidRPr="008641A6" w:rsidRDefault="00807DF0" w:rsidP="008641A6">
            <w:pPr>
              <w:spacing w:line="276" w:lineRule="auto"/>
              <w:ind w:right="-1"/>
              <w:jc w:val="center"/>
              <w:rPr>
                <w:rFonts w:cs="Arial"/>
              </w:rPr>
            </w:pPr>
          </w:p>
          <w:p w14:paraId="76D963DF" w14:textId="77777777" w:rsidR="008641A6" w:rsidRPr="008641A6" w:rsidRDefault="008641A6" w:rsidP="008641A6">
            <w:pPr>
              <w:spacing w:line="276" w:lineRule="auto"/>
              <w:ind w:right="-1"/>
              <w:jc w:val="center"/>
              <w:rPr>
                <w:rFonts w:cs="Arial"/>
              </w:rPr>
            </w:pPr>
            <w:r w:rsidRPr="008641A6">
              <w:rPr>
                <w:rFonts w:cs="Arial"/>
              </w:rPr>
              <w:t>________________________________</w:t>
            </w:r>
          </w:p>
          <w:p w14:paraId="0CD94B5D" w14:textId="77777777" w:rsidR="008641A6" w:rsidRPr="008641A6" w:rsidRDefault="008641A6" w:rsidP="008641A6">
            <w:pPr>
              <w:spacing w:after="0" w:line="276" w:lineRule="auto"/>
              <w:ind w:right="-1"/>
              <w:jc w:val="center"/>
              <w:rPr>
                <w:rFonts w:cs="Arial"/>
              </w:rPr>
            </w:pPr>
            <w:r w:rsidRPr="008641A6">
              <w:rPr>
                <w:rFonts w:cs="Arial"/>
              </w:rPr>
              <w:t xml:space="preserve">L. en D. Christian Gerardo Gasca </w:t>
            </w:r>
            <w:proofErr w:type="spellStart"/>
            <w:r w:rsidRPr="008641A6">
              <w:rPr>
                <w:rFonts w:cs="Arial"/>
              </w:rPr>
              <w:t>Droppert</w:t>
            </w:r>
            <w:proofErr w:type="spellEnd"/>
          </w:p>
          <w:p w14:paraId="072CF140" w14:textId="77777777" w:rsidR="008641A6" w:rsidRPr="008641A6" w:rsidRDefault="008641A6" w:rsidP="008641A6">
            <w:pPr>
              <w:spacing w:line="276" w:lineRule="auto"/>
              <w:ind w:right="-1"/>
              <w:jc w:val="center"/>
              <w:rPr>
                <w:rFonts w:cs="Arial"/>
              </w:rPr>
            </w:pPr>
            <w:r w:rsidRPr="008641A6">
              <w:rPr>
                <w:rFonts w:cs="Arial"/>
                <w:b/>
              </w:rPr>
              <w:t>Director General del IFREM</w:t>
            </w:r>
          </w:p>
        </w:tc>
        <w:tc>
          <w:tcPr>
            <w:tcW w:w="4490" w:type="dxa"/>
            <w:shd w:val="clear" w:color="auto" w:fill="auto"/>
          </w:tcPr>
          <w:p w14:paraId="622FDC25" w14:textId="77777777" w:rsidR="008641A6" w:rsidRPr="008641A6" w:rsidRDefault="008641A6" w:rsidP="008641A6">
            <w:pPr>
              <w:spacing w:line="276" w:lineRule="auto"/>
              <w:ind w:right="-1"/>
              <w:jc w:val="center"/>
              <w:rPr>
                <w:rFonts w:cs="Arial"/>
              </w:rPr>
            </w:pPr>
          </w:p>
          <w:p w14:paraId="611D649C" w14:textId="77777777" w:rsidR="008641A6" w:rsidRDefault="008641A6" w:rsidP="008641A6">
            <w:pPr>
              <w:spacing w:line="276" w:lineRule="auto"/>
              <w:ind w:right="-1"/>
              <w:jc w:val="center"/>
              <w:rPr>
                <w:rFonts w:cs="Arial"/>
              </w:rPr>
            </w:pPr>
          </w:p>
          <w:p w14:paraId="3FA9A776" w14:textId="77777777" w:rsidR="00807DF0" w:rsidRPr="008641A6" w:rsidRDefault="00807DF0" w:rsidP="008641A6">
            <w:pPr>
              <w:spacing w:line="276" w:lineRule="auto"/>
              <w:ind w:right="-1"/>
              <w:jc w:val="center"/>
              <w:rPr>
                <w:rFonts w:cs="Arial"/>
              </w:rPr>
            </w:pPr>
          </w:p>
          <w:p w14:paraId="6A8A3E32" w14:textId="77777777" w:rsidR="008641A6" w:rsidRPr="008641A6" w:rsidRDefault="008641A6" w:rsidP="008641A6">
            <w:pPr>
              <w:spacing w:line="276" w:lineRule="auto"/>
              <w:ind w:right="-1"/>
              <w:jc w:val="center"/>
              <w:rPr>
                <w:rFonts w:cs="Arial"/>
              </w:rPr>
            </w:pPr>
            <w:r w:rsidRPr="008641A6">
              <w:rPr>
                <w:rFonts w:cs="Arial"/>
              </w:rPr>
              <w:t>________________________________</w:t>
            </w:r>
          </w:p>
          <w:p w14:paraId="5480E652" w14:textId="77777777" w:rsidR="008641A6" w:rsidRPr="008641A6" w:rsidRDefault="008641A6" w:rsidP="008641A6">
            <w:pPr>
              <w:spacing w:after="0" w:line="276" w:lineRule="auto"/>
              <w:ind w:left="544" w:right="-1" w:hanging="261"/>
              <w:jc w:val="center"/>
              <w:rPr>
                <w:rFonts w:cs="Arial"/>
              </w:rPr>
            </w:pPr>
            <w:r w:rsidRPr="008641A6">
              <w:rPr>
                <w:rFonts w:cs="Arial"/>
              </w:rPr>
              <w:t>L.A.E. Raúl Napoleón Lazcano Martínez</w:t>
            </w:r>
          </w:p>
          <w:p w14:paraId="7010AFAD" w14:textId="77777777" w:rsidR="008641A6" w:rsidRPr="008641A6" w:rsidRDefault="008641A6" w:rsidP="008641A6">
            <w:pPr>
              <w:spacing w:line="276" w:lineRule="auto"/>
              <w:ind w:right="-1"/>
              <w:jc w:val="center"/>
              <w:rPr>
                <w:rFonts w:cs="Arial"/>
              </w:rPr>
            </w:pPr>
            <w:r w:rsidRPr="008641A6">
              <w:rPr>
                <w:rFonts w:cs="Arial"/>
                <w:b/>
              </w:rPr>
              <w:t>Director de Administración y Finanzas</w:t>
            </w:r>
          </w:p>
        </w:tc>
      </w:tr>
      <w:tr w:rsidR="008641A6" w:rsidRPr="008641A6" w14:paraId="2C07DE9D" w14:textId="77777777" w:rsidTr="009668CF">
        <w:tblPrEx>
          <w:tblCellMar>
            <w:left w:w="70" w:type="dxa"/>
            <w:right w:w="70" w:type="dxa"/>
          </w:tblCellMar>
        </w:tblPrEx>
        <w:trPr>
          <w:trHeight w:val="171"/>
          <w:jc w:val="center"/>
        </w:trPr>
        <w:tc>
          <w:tcPr>
            <w:tcW w:w="9937" w:type="dxa"/>
            <w:gridSpan w:val="2"/>
            <w:shd w:val="clear" w:color="auto" w:fill="auto"/>
            <w:noWrap/>
            <w:vAlign w:val="bottom"/>
            <w:hideMark/>
          </w:tcPr>
          <w:p w14:paraId="1F0C2021" w14:textId="77777777" w:rsidR="008641A6" w:rsidRDefault="008641A6" w:rsidP="008641A6">
            <w:pPr>
              <w:spacing w:line="276" w:lineRule="auto"/>
              <w:ind w:right="-1"/>
              <w:rPr>
                <w:rFonts w:cs="Arial"/>
              </w:rPr>
            </w:pPr>
          </w:p>
          <w:p w14:paraId="2F395679" w14:textId="77777777" w:rsidR="00807DF0" w:rsidRPr="008641A6" w:rsidRDefault="00807DF0" w:rsidP="008641A6">
            <w:pPr>
              <w:spacing w:line="276" w:lineRule="auto"/>
              <w:ind w:right="-1"/>
              <w:rPr>
                <w:rFonts w:cs="Arial"/>
              </w:rPr>
            </w:pPr>
          </w:p>
          <w:p w14:paraId="45B73A8C" w14:textId="77777777" w:rsidR="008641A6" w:rsidRPr="008641A6" w:rsidRDefault="008641A6" w:rsidP="008641A6">
            <w:pPr>
              <w:spacing w:line="276" w:lineRule="auto"/>
              <w:ind w:right="-1"/>
              <w:jc w:val="center"/>
              <w:rPr>
                <w:rFonts w:cs="Arial"/>
              </w:rPr>
            </w:pPr>
            <w:r w:rsidRPr="008641A6">
              <w:rPr>
                <w:rFonts w:cs="Arial"/>
              </w:rPr>
              <w:t>________________________________</w:t>
            </w:r>
          </w:p>
          <w:p w14:paraId="214DD77D" w14:textId="77777777" w:rsidR="008641A6" w:rsidRPr="008641A6" w:rsidRDefault="008641A6" w:rsidP="008641A6">
            <w:pPr>
              <w:spacing w:after="0" w:line="276" w:lineRule="auto"/>
              <w:ind w:right="-1"/>
              <w:jc w:val="center"/>
              <w:rPr>
                <w:rFonts w:cs="Arial"/>
              </w:rPr>
            </w:pPr>
            <w:r w:rsidRPr="008641A6">
              <w:rPr>
                <w:rFonts w:cs="Arial"/>
              </w:rPr>
              <w:t>M.A.P. Antonio Hernández Tenorio</w:t>
            </w:r>
          </w:p>
          <w:p w14:paraId="4250ACF4" w14:textId="77777777" w:rsidR="008641A6" w:rsidRPr="008641A6" w:rsidRDefault="008641A6" w:rsidP="008641A6">
            <w:pPr>
              <w:spacing w:line="276" w:lineRule="auto"/>
              <w:ind w:right="-1"/>
              <w:jc w:val="center"/>
              <w:rPr>
                <w:rFonts w:cs="Arial"/>
              </w:rPr>
            </w:pPr>
            <w:r w:rsidRPr="008641A6">
              <w:rPr>
                <w:rFonts w:cs="Arial"/>
                <w:b/>
              </w:rPr>
              <w:t>Subdirector de Finanzas</w:t>
            </w:r>
          </w:p>
        </w:tc>
      </w:tr>
    </w:tbl>
    <w:p w14:paraId="44F3FBEF" w14:textId="77777777" w:rsidR="006A0458" w:rsidRPr="00EB508B" w:rsidRDefault="006A0458" w:rsidP="00807DF0">
      <w:pPr>
        <w:spacing w:line="259" w:lineRule="auto"/>
      </w:pPr>
    </w:p>
    <w:sectPr w:rsidR="006A0458" w:rsidRPr="00EB508B" w:rsidSect="00553E8A">
      <w:headerReference w:type="default" r:id="rId30"/>
      <w:footerReference w:type="default" r:id="rId31"/>
      <w:pgSz w:w="12240" w:h="15840" w:code="1"/>
      <w:pgMar w:top="1418" w:right="902" w:bottom="1843" w:left="1276"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4C1E0" w14:textId="77777777" w:rsidR="00DA2347" w:rsidRDefault="00DA2347" w:rsidP="0033212B">
      <w:pPr>
        <w:spacing w:after="0" w:line="240" w:lineRule="auto"/>
      </w:pPr>
      <w:r>
        <w:separator/>
      </w:r>
    </w:p>
  </w:endnote>
  <w:endnote w:type="continuationSeparator" w:id="0">
    <w:p w14:paraId="297163FF" w14:textId="77777777" w:rsidR="00DA2347" w:rsidRDefault="00DA2347" w:rsidP="00332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elveticaNeueLT Std">
    <w:panose1 w:val="00000000000000000000"/>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enturyGothic">
    <w:panose1 w:val="00000000000000000000"/>
    <w:charset w:val="00"/>
    <w:family w:val="swiss"/>
    <w:notTrueType/>
    <w:pitch w:val="default"/>
    <w:sig w:usb0="00000003" w:usb1="00000000" w:usb2="00000000" w:usb3="00000000" w:csb0="00000001" w:csb1="00000000"/>
  </w:font>
  <w:font w:name="Gotham Bold">
    <w:panose1 w:val="02000803030000020004"/>
    <w:charset w:val="00"/>
    <w:family w:val="auto"/>
    <w:pitch w:val="variable"/>
    <w:sig w:usb0="A00000AF" w:usb1="40000048"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9029720"/>
      <w:docPartObj>
        <w:docPartGallery w:val="Page Numbers (Bottom of Page)"/>
        <w:docPartUnique/>
      </w:docPartObj>
    </w:sdtPr>
    <w:sdtEndPr/>
    <w:sdtContent>
      <w:p w14:paraId="65CFC1AB" w14:textId="77777777" w:rsidR="00A804C5" w:rsidRDefault="00A804C5" w:rsidP="006351E0">
        <w:pPr>
          <w:tabs>
            <w:tab w:val="left" w:pos="5685"/>
            <w:tab w:val="left" w:pos="8745"/>
            <w:tab w:val="right" w:pos="10062"/>
          </w:tabs>
        </w:pPr>
      </w:p>
      <w:p w14:paraId="6E45AB1D" w14:textId="77777777" w:rsidR="00A804C5" w:rsidRDefault="00A804C5" w:rsidP="006351E0">
        <w:pPr>
          <w:tabs>
            <w:tab w:val="left" w:pos="5685"/>
            <w:tab w:val="left" w:pos="8745"/>
            <w:tab w:val="right" w:pos="10062"/>
          </w:tabs>
        </w:pPr>
        <w:r>
          <w:rPr>
            <w:noProof/>
            <w:lang w:eastAsia="es-MX"/>
          </w:rPr>
          <w:drawing>
            <wp:anchor distT="0" distB="0" distL="114300" distR="114300" simplePos="0" relativeHeight="251657216" behindDoc="1" locked="0" layoutInCell="1" allowOverlap="1" wp14:anchorId="254CD8A8" wp14:editId="10205CC8">
              <wp:simplePos x="0" y="0"/>
              <wp:positionH relativeFrom="column">
                <wp:posOffset>-800735</wp:posOffset>
              </wp:positionH>
              <wp:positionV relativeFrom="paragraph">
                <wp:posOffset>-179070</wp:posOffset>
              </wp:positionV>
              <wp:extent cx="7760970" cy="1419225"/>
              <wp:effectExtent l="0" t="0" r="0" b="952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ja IFREM pie.jpg"/>
                      <pic:cNvPicPr/>
                    </pic:nvPicPr>
                    <pic:blipFill>
                      <a:blip r:embed="rId1">
                        <a:extLst>
                          <a:ext uri="{28A0092B-C50C-407E-A947-70E740481C1C}">
                            <a14:useLocalDpi xmlns:a14="http://schemas.microsoft.com/office/drawing/2010/main" val="0"/>
                          </a:ext>
                        </a:extLst>
                      </a:blip>
                      <a:stretch>
                        <a:fillRect/>
                      </a:stretch>
                    </pic:blipFill>
                    <pic:spPr>
                      <a:xfrm>
                        <a:off x="0" y="0"/>
                        <a:ext cx="7760970" cy="1419225"/>
                      </a:xfrm>
                      <a:prstGeom prst="rect">
                        <a:avLst/>
                      </a:prstGeom>
                    </pic:spPr>
                  </pic:pic>
                </a:graphicData>
              </a:graphic>
              <wp14:sizeRelH relativeFrom="margin">
                <wp14:pctWidth>0</wp14:pctWidth>
              </wp14:sizeRelH>
              <wp14:sizeRelV relativeFrom="margin">
                <wp14:pctHeight>0</wp14:pctHeight>
              </wp14:sizeRelV>
            </wp:anchor>
          </w:drawing>
        </w:r>
        <w:r>
          <w:tab/>
        </w:r>
      </w:p>
      <w:p w14:paraId="01C26A41" w14:textId="77777777" w:rsidR="00A804C5" w:rsidRDefault="00A804C5" w:rsidP="00FD4233">
        <w:pPr>
          <w:tabs>
            <w:tab w:val="left" w:pos="1635"/>
            <w:tab w:val="center" w:pos="5031"/>
            <w:tab w:val="left" w:pos="6360"/>
            <w:tab w:val="left" w:pos="8445"/>
            <w:tab w:val="right" w:pos="10062"/>
          </w:tabs>
        </w:pPr>
        <w:r>
          <w:tab/>
        </w:r>
        <w:r>
          <w:tab/>
        </w:r>
        <w:r>
          <w:rPr>
            <w:b/>
            <w:bCs/>
          </w:rPr>
          <w:fldChar w:fldCharType="begin"/>
        </w:r>
        <w:r>
          <w:rPr>
            <w:b/>
            <w:bCs/>
          </w:rPr>
          <w:instrText>PAGE  \* Arabic  \* MERGEFORMAT</w:instrText>
        </w:r>
        <w:r>
          <w:rPr>
            <w:b/>
            <w:bCs/>
          </w:rPr>
          <w:fldChar w:fldCharType="separate"/>
        </w:r>
        <w:r w:rsidR="00B20AA9">
          <w:rPr>
            <w:b/>
            <w:bCs/>
            <w:noProof/>
          </w:rPr>
          <w:t>28</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B20AA9">
          <w:rPr>
            <w:b/>
            <w:bCs/>
            <w:noProof/>
          </w:rPr>
          <w:t>29</w:t>
        </w:r>
        <w:r>
          <w:rPr>
            <w:b/>
            <w:bCs/>
          </w:rPr>
          <w:fldChar w:fldCharType="end"/>
        </w:r>
      </w:p>
      <w:p w14:paraId="1A72F6B0" w14:textId="77777777" w:rsidR="00A804C5" w:rsidRDefault="00A804C5" w:rsidP="00FD4233">
        <w:pPr>
          <w:tabs>
            <w:tab w:val="left" w:pos="1635"/>
            <w:tab w:val="center" w:pos="5031"/>
            <w:tab w:val="left" w:pos="6360"/>
            <w:tab w:val="left" w:pos="8445"/>
            <w:tab w:val="right" w:pos="10062"/>
          </w:tabs>
        </w:pPr>
        <w:r>
          <w:tab/>
        </w:r>
        <w:r>
          <w:tab/>
        </w:r>
        <w:r>
          <w:tab/>
        </w:r>
      </w:p>
      <w:p w14:paraId="476E84D2" w14:textId="77777777" w:rsidR="00A804C5" w:rsidRDefault="00A804C5" w:rsidP="001A70A8">
        <w:pPr>
          <w:pStyle w:val="Piedepgina"/>
          <w:jc w:val="center"/>
        </w:pPr>
      </w:p>
      <w:p w14:paraId="75EA56AF" w14:textId="77777777" w:rsidR="00A804C5" w:rsidRDefault="00A804C5" w:rsidP="00FD4233">
        <w:pPr>
          <w:pStyle w:val="Piedepgina"/>
          <w:jc w:val="right"/>
        </w:pPr>
      </w:p>
      <w:p w14:paraId="3A0C7514" w14:textId="77777777" w:rsidR="00A804C5" w:rsidRDefault="00A804C5" w:rsidP="001A70A8">
        <w:pPr>
          <w:pStyle w:val="Piedepgina"/>
          <w:jc w:val="center"/>
        </w:pPr>
      </w:p>
      <w:p w14:paraId="0AF463B3" w14:textId="77777777" w:rsidR="00A804C5" w:rsidRDefault="00A804C5" w:rsidP="00AB0FF1">
        <w:pPr>
          <w:pStyle w:val="Piedepgina"/>
          <w:tabs>
            <w:tab w:val="center" w:pos="5031"/>
            <w:tab w:val="left" w:pos="8520"/>
          </w:tabs>
        </w:pPr>
        <w:r>
          <w:tab/>
        </w:r>
        <w:r>
          <w:tab/>
        </w:r>
        <w:r>
          <w:tab/>
        </w:r>
      </w:p>
    </w:sdtContent>
  </w:sdt>
  <w:p w14:paraId="5CA17EED" w14:textId="77777777" w:rsidR="00A804C5" w:rsidRDefault="00A804C5" w:rsidP="00CA6DC8">
    <w:pPr>
      <w:pStyle w:val="Piedepgina"/>
      <w:tabs>
        <w:tab w:val="clear" w:pos="4419"/>
        <w:tab w:val="center" w:pos="4181"/>
        <w:tab w:val="left" w:pos="8838"/>
      </w:tabs>
      <w:ind w:left="-1701"/>
    </w:pPr>
    <w:r>
      <w:rPr>
        <w:noProof/>
        <w:lang w:eastAsia="es-MX"/>
      </w:rPr>
      <w:t xml:space="preserve"> </w:t>
    </w:r>
    <w:r>
      <w:rPr>
        <w:noProof/>
        <w:lang w:eastAsia="es-MX"/>
      </w:rPr>
      <w:tab/>
    </w:r>
    <w:r>
      <w:rPr>
        <w:noProof/>
        <w:lang w:eastAsia="es-MX"/>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18F78E" w14:textId="77777777" w:rsidR="00DA2347" w:rsidRDefault="00DA2347" w:rsidP="0033212B">
      <w:pPr>
        <w:spacing w:after="0" w:line="240" w:lineRule="auto"/>
      </w:pPr>
      <w:r>
        <w:separator/>
      </w:r>
    </w:p>
  </w:footnote>
  <w:footnote w:type="continuationSeparator" w:id="0">
    <w:p w14:paraId="27B7B1CB" w14:textId="77777777" w:rsidR="00DA2347" w:rsidRDefault="00DA2347" w:rsidP="0033212B">
      <w:pPr>
        <w:spacing w:after="0" w:line="240" w:lineRule="auto"/>
      </w:pPr>
      <w:r>
        <w:continuationSeparator/>
      </w:r>
    </w:p>
  </w:footnote>
  <w:footnote w:id="1">
    <w:p w14:paraId="44941D87" w14:textId="77777777" w:rsidR="008641A6" w:rsidRPr="00403586" w:rsidRDefault="008641A6" w:rsidP="008641A6">
      <w:pPr>
        <w:pStyle w:val="Textonotapie"/>
        <w:rPr>
          <w:rStyle w:val="Hipervnculo"/>
          <w:sz w:val="18"/>
        </w:rPr>
      </w:pPr>
      <w:r>
        <w:rPr>
          <w:rStyle w:val="Refdenotaalpie"/>
          <w:rFonts w:ascii="HelveticaNeueLT Std" w:hAnsi="HelveticaNeueLT Std"/>
        </w:rPr>
        <w:t>[1]</w:t>
      </w:r>
      <w:r>
        <w:rPr>
          <w:rFonts w:ascii="HelveticaNeueLT Std" w:hAnsi="HelveticaNeueLT Std"/>
        </w:rPr>
        <w:t xml:space="preserve"> </w:t>
      </w:r>
      <w:r w:rsidRPr="00403586">
        <w:rPr>
          <w:rStyle w:val="Hipervnculo"/>
          <w:sz w:val="18"/>
        </w:rPr>
        <w:t>https://www.fitchratings.com/research/es/international-public-finance/fitch-affirms-national-ratings-of-ifrem-28-10-2020</w:t>
      </w:r>
    </w:p>
  </w:footnote>
  <w:footnote w:id="2">
    <w:p w14:paraId="013D98B7" w14:textId="77777777" w:rsidR="008641A6" w:rsidRPr="004440B1" w:rsidRDefault="008641A6" w:rsidP="008641A6">
      <w:pPr>
        <w:pStyle w:val="Textonotapie"/>
        <w:rPr>
          <w:rFonts w:ascii="HelveticaNeueLT Std" w:hAnsi="HelveticaNeueLT Std"/>
          <w:sz w:val="18"/>
        </w:rPr>
      </w:pPr>
      <w:r>
        <w:rPr>
          <w:rStyle w:val="Refdenotaalpie"/>
          <w:rFonts w:ascii="HelveticaNeueLT Std" w:hAnsi="HelveticaNeueLT Std"/>
        </w:rPr>
        <w:t>[2]</w:t>
      </w:r>
      <w:r>
        <w:rPr>
          <w:rFonts w:ascii="HelveticaNeueLT Std" w:hAnsi="HelveticaNeueLT Std"/>
        </w:rPr>
        <w:t xml:space="preserve"> </w:t>
      </w:r>
      <w:hyperlink r:id="rId1" w:history="1">
        <w:r w:rsidRPr="004440B1">
          <w:rPr>
            <w:rStyle w:val="Hipervnculo"/>
            <w:sz w:val="18"/>
          </w:rPr>
          <w:t>https://www.standardandpoors.com/es_LA/delegate/getPDF?articleId=2485922&amp;type=NEWS&amp;subType=RATING_ACTION</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2D459" w14:textId="77777777" w:rsidR="00A804C5" w:rsidRDefault="00A804C5" w:rsidP="000316D9">
    <w:pPr>
      <w:pStyle w:val="Encabezado"/>
      <w:tabs>
        <w:tab w:val="clear" w:pos="4419"/>
        <w:tab w:val="clear" w:pos="8838"/>
      </w:tabs>
      <w:ind w:left="-1560" w:right="-1652"/>
      <w:jc w:val="center"/>
      <w:rPr>
        <w:noProof/>
        <w:lang w:eastAsia="es-MX"/>
      </w:rPr>
    </w:pPr>
    <w:r w:rsidRPr="007C7EC0">
      <w:rPr>
        <w:noProof/>
        <w:lang w:eastAsia="es-MX"/>
      </w:rPr>
      <w:drawing>
        <wp:anchor distT="0" distB="0" distL="114300" distR="114300" simplePos="0" relativeHeight="251660800" behindDoc="1" locked="0" layoutInCell="1" allowOverlap="1" wp14:anchorId="0B5E6AFA" wp14:editId="403AA807">
          <wp:simplePos x="0" y="0"/>
          <wp:positionH relativeFrom="page">
            <wp:posOffset>209550</wp:posOffset>
          </wp:positionH>
          <wp:positionV relativeFrom="page">
            <wp:posOffset>161925</wp:posOffset>
          </wp:positionV>
          <wp:extent cx="7356475" cy="657225"/>
          <wp:effectExtent l="0" t="0" r="0" b="0"/>
          <wp:wrapNone/>
          <wp:docPr id="37" name="Imagen 37" descr="C:\Users\Bruce\Google Drive\U - Informática_\Diseño Grafico\Diseño 2018\Hoja Membretada 2018\VertiU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ce\Google Drive\U - Informática_\Diseño Grafico\Diseño 2018\Hoja Membretada 2018\VertiUp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5647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8925CA" w14:textId="77777777" w:rsidR="00A804C5" w:rsidRDefault="00A804C5" w:rsidP="000316D9">
    <w:pPr>
      <w:pStyle w:val="Encabezado"/>
      <w:tabs>
        <w:tab w:val="clear" w:pos="4419"/>
        <w:tab w:val="clear" w:pos="8838"/>
      </w:tabs>
      <w:ind w:left="-1560" w:right="-1652"/>
      <w:jc w:val="center"/>
      <w:rPr>
        <w:noProof/>
        <w:lang w:eastAsia="es-MX"/>
      </w:rPr>
    </w:pPr>
  </w:p>
  <w:p w14:paraId="557B667C" w14:textId="77777777" w:rsidR="00A804C5" w:rsidRDefault="00A804C5" w:rsidP="000316D9">
    <w:pPr>
      <w:pStyle w:val="Encabezado"/>
      <w:tabs>
        <w:tab w:val="clear" w:pos="4419"/>
        <w:tab w:val="clear" w:pos="8838"/>
      </w:tabs>
      <w:ind w:left="-1560" w:right="-1652"/>
      <w:jc w:val="center"/>
      <w:rPr>
        <w:noProof/>
        <w:lang w:eastAsia="es-MX"/>
      </w:rPr>
    </w:pPr>
  </w:p>
  <w:p w14:paraId="7A179469" w14:textId="77777777" w:rsidR="00A804C5" w:rsidRDefault="00A804C5" w:rsidP="00834FA0">
    <w:pPr>
      <w:pStyle w:val="Encabezado"/>
      <w:tabs>
        <w:tab w:val="clear" w:pos="4419"/>
        <w:tab w:val="clear" w:pos="8838"/>
        <w:tab w:val="left" w:pos="165"/>
        <w:tab w:val="left" w:pos="1710"/>
        <w:tab w:val="left" w:pos="5745"/>
      </w:tabs>
      <w:ind w:left="-1560" w:right="-1652"/>
      <w:rPr>
        <w:noProof/>
        <w:lang w:eastAsia="es-MX"/>
      </w:rPr>
    </w:pPr>
    <w:r>
      <w:rPr>
        <w:noProof/>
        <w:lang w:eastAsia="es-MX"/>
      </w:rPr>
      <w:tab/>
    </w:r>
    <w:r>
      <w:rPr>
        <w:noProof/>
        <w:lang w:eastAsia="es-MX"/>
      </w:rPr>
      <w:tab/>
    </w:r>
    <w:r>
      <w:rPr>
        <w:noProof/>
        <w:lang w:eastAsia="es-MX"/>
      </w:rPr>
      <w:tab/>
    </w:r>
  </w:p>
  <w:p w14:paraId="75A57987" w14:textId="77777777" w:rsidR="00A804C5" w:rsidRDefault="00A804C5" w:rsidP="00AB0FF1">
    <w:pPr>
      <w:pStyle w:val="Encabezado"/>
      <w:tabs>
        <w:tab w:val="clear" w:pos="4419"/>
        <w:tab w:val="clear" w:pos="8838"/>
        <w:tab w:val="left" w:pos="6345"/>
      </w:tabs>
      <w:ind w:left="-1560" w:right="-1652"/>
      <w:rPr>
        <w:noProof/>
        <w:lang w:eastAsia="es-MX"/>
      </w:rPr>
    </w:pPr>
    <w:r>
      <w:rPr>
        <w:noProof/>
        <w:lang w:eastAsia="es-MX"/>
      </w:rPr>
      <w:tab/>
    </w:r>
  </w:p>
  <w:p w14:paraId="683413C5" w14:textId="77777777" w:rsidR="00FE1A3F" w:rsidRPr="0019217C" w:rsidRDefault="00FE1A3F" w:rsidP="00FE1A3F">
    <w:pPr>
      <w:pStyle w:val="Encabezado"/>
      <w:tabs>
        <w:tab w:val="left" w:pos="708"/>
      </w:tabs>
      <w:ind w:left="-1560" w:right="-1652"/>
      <w:jc w:val="center"/>
      <w:rPr>
        <w:i/>
      </w:rPr>
    </w:pPr>
    <w:r w:rsidRPr="0019217C">
      <w:rPr>
        <w:rFonts w:ascii="Gotham Bold" w:hAnsi="Gotham Bold"/>
        <w:i/>
      </w:rPr>
      <w:t>“2020. Año de Laura Méndez de Cuenca; emblema de la mujer Mexiquense”.</w:t>
    </w:r>
  </w:p>
  <w:p w14:paraId="30E763C7" w14:textId="77777777" w:rsidR="00A804C5" w:rsidRPr="00DF66A9" w:rsidRDefault="00A804C5" w:rsidP="00E77535">
    <w:pPr>
      <w:pStyle w:val="Encabezado"/>
      <w:tabs>
        <w:tab w:val="clear" w:pos="4419"/>
        <w:tab w:val="clear" w:pos="8838"/>
      </w:tabs>
      <w:jc w:val="center"/>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099A"/>
    <w:multiLevelType w:val="hybridMultilevel"/>
    <w:tmpl w:val="292854E6"/>
    <w:lvl w:ilvl="0" w:tplc="871A611E">
      <w:start w:val="4"/>
      <w:numFmt w:val="upperRoman"/>
      <w:lvlText w:val="%1."/>
      <w:lvlJc w:val="left"/>
      <w:pPr>
        <w:ind w:left="1428" w:hanging="720"/>
      </w:pPr>
      <w:rPr>
        <w:rFonts w:eastAsia="Times New Roman"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9DA2EBC"/>
    <w:multiLevelType w:val="hybridMultilevel"/>
    <w:tmpl w:val="5B38F8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7F6BFF"/>
    <w:multiLevelType w:val="hybridMultilevel"/>
    <w:tmpl w:val="0F7C46BA"/>
    <w:lvl w:ilvl="0" w:tplc="080A0013">
      <w:start w:val="1"/>
      <w:numFmt w:val="upperRoman"/>
      <w:lvlText w:val="%1."/>
      <w:lvlJc w:val="righ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122136D0"/>
    <w:multiLevelType w:val="hybridMultilevel"/>
    <w:tmpl w:val="F47E43FE"/>
    <w:lvl w:ilvl="0" w:tplc="FB884962">
      <w:start w:val="7"/>
      <w:numFmt w:val="decimal"/>
      <w:lvlText w:val="%1."/>
      <w:lvlJc w:val="left"/>
      <w:pPr>
        <w:ind w:left="927" w:hanging="360"/>
      </w:pPr>
      <w:rPr>
        <w:rFonts w:ascii="HelveticaNeueLT Std" w:hAnsi="HelveticaNeueLT Std"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236F80"/>
    <w:multiLevelType w:val="hybridMultilevel"/>
    <w:tmpl w:val="C80868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5728BD"/>
    <w:multiLevelType w:val="hybridMultilevel"/>
    <w:tmpl w:val="497EDE4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8925FCA"/>
    <w:multiLevelType w:val="hybridMultilevel"/>
    <w:tmpl w:val="AA6EC10E"/>
    <w:lvl w:ilvl="0" w:tplc="077A556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AE7C0B"/>
    <w:multiLevelType w:val="hybridMultilevel"/>
    <w:tmpl w:val="D3E81118"/>
    <w:lvl w:ilvl="0" w:tplc="F1ACF04E">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1E0D2286"/>
    <w:multiLevelType w:val="hybridMultilevel"/>
    <w:tmpl w:val="6D92D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394F90"/>
    <w:multiLevelType w:val="hybridMultilevel"/>
    <w:tmpl w:val="6FD6DFE4"/>
    <w:lvl w:ilvl="0" w:tplc="6C7E976C">
      <w:start w:val="1"/>
      <w:numFmt w:val="decimal"/>
      <w:lvlText w:val="%1."/>
      <w:lvlJc w:val="left"/>
      <w:pPr>
        <w:ind w:left="644" w:hanging="360"/>
      </w:pPr>
      <w:rPr>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27437978"/>
    <w:multiLevelType w:val="hybridMultilevel"/>
    <w:tmpl w:val="F2FEA366"/>
    <w:lvl w:ilvl="0" w:tplc="FDCC1F98">
      <w:start w:val="7"/>
      <w:numFmt w:val="decimal"/>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282485"/>
    <w:multiLevelType w:val="multilevel"/>
    <w:tmpl w:val="5E929742"/>
    <w:lvl w:ilvl="0">
      <w:start w:val="1"/>
      <w:numFmt w:val="decimal"/>
      <w:lvlText w:val="%1."/>
      <w:lvlJc w:val="left"/>
      <w:pPr>
        <w:ind w:left="502" w:hanging="360"/>
      </w:pPr>
      <w:rPr>
        <w:rFonts w:ascii="HelveticaNeueLT Std" w:hAnsi="HelveticaNeueLT Std" w:hint="default"/>
        <w:b/>
        <w:sz w:val="20"/>
        <w:szCs w:val="20"/>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A7B6922"/>
    <w:multiLevelType w:val="hybridMultilevel"/>
    <w:tmpl w:val="0EEE0C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2B6C21"/>
    <w:multiLevelType w:val="multilevel"/>
    <w:tmpl w:val="5E929742"/>
    <w:lvl w:ilvl="0">
      <w:start w:val="1"/>
      <w:numFmt w:val="decimal"/>
      <w:lvlText w:val="%1."/>
      <w:lvlJc w:val="left"/>
      <w:pPr>
        <w:ind w:left="502" w:hanging="360"/>
      </w:pPr>
      <w:rPr>
        <w:rFonts w:ascii="HelveticaNeueLT Std" w:hAnsi="HelveticaNeueLT Std" w:hint="default"/>
        <w:b/>
        <w:sz w:val="20"/>
        <w:szCs w:val="20"/>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53A2A73"/>
    <w:multiLevelType w:val="hybridMultilevel"/>
    <w:tmpl w:val="9740EFA8"/>
    <w:lvl w:ilvl="0" w:tplc="080A0017">
      <w:start w:val="1"/>
      <w:numFmt w:val="lowerLetter"/>
      <w:lvlText w:val="%1)"/>
      <w:lvlJc w:val="left"/>
      <w:pPr>
        <w:ind w:left="786"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6A9284A"/>
    <w:multiLevelType w:val="hybridMultilevel"/>
    <w:tmpl w:val="0F7C46BA"/>
    <w:lvl w:ilvl="0" w:tplc="080A0013">
      <w:start w:val="1"/>
      <w:numFmt w:val="upperRoman"/>
      <w:lvlText w:val="%1."/>
      <w:lvlJc w:val="righ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8CF275F"/>
    <w:multiLevelType w:val="hybridMultilevel"/>
    <w:tmpl w:val="95F2E5A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AD84045"/>
    <w:multiLevelType w:val="hybridMultilevel"/>
    <w:tmpl w:val="86EEDAF2"/>
    <w:lvl w:ilvl="0" w:tplc="202826A4">
      <w:start w:val="1"/>
      <w:numFmt w:val="decimal"/>
      <w:lvlText w:val="%1."/>
      <w:lvlJc w:val="left"/>
      <w:pPr>
        <w:ind w:left="644" w:hanging="360"/>
      </w:pPr>
      <w:rPr>
        <w:rFonts w:ascii="HelveticaNeueLT Std" w:hAnsi="HelveticaNeueLT Std" w:hint="default"/>
        <w:b/>
        <w:sz w:val="20"/>
        <w:szCs w:val="2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8" w15:restartNumberingAfterBreak="0">
    <w:nsid w:val="3C716C09"/>
    <w:multiLevelType w:val="hybridMultilevel"/>
    <w:tmpl w:val="DBD2BA4A"/>
    <w:lvl w:ilvl="0" w:tplc="95AEBE2E">
      <w:start w:val="5"/>
      <w:numFmt w:val="upperRoman"/>
      <w:lvlText w:val="%1."/>
      <w:lvlJc w:val="right"/>
      <w:pPr>
        <w:ind w:left="64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FA14BF1"/>
    <w:multiLevelType w:val="hybridMultilevel"/>
    <w:tmpl w:val="4922146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43085BB8"/>
    <w:multiLevelType w:val="multilevel"/>
    <w:tmpl w:val="5E929742"/>
    <w:lvl w:ilvl="0">
      <w:start w:val="1"/>
      <w:numFmt w:val="decimal"/>
      <w:lvlText w:val="%1."/>
      <w:lvlJc w:val="left"/>
      <w:pPr>
        <w:ind w:left="502" w:hanging="360"/>
      </w:pPr>
      <w:rPr>
        <w:rFonts w:ascii="HelveticaNeueLT Std" w:hAnsi="HelveticaNeueLT Std" w:hint="default"/>
        <w:b/>
        <w:sz w:val="20"/>
        <w:szCs w:val="20"/>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5964A2D"/>
    <w:multiLevelType w:val="hybridMultilevel"/>
    <w:tmpl w:val="95F2E5A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49674AB3"/>
    <w:multiLevelType w:val="hybridMultilevel"/>
    <w:tmpl w:val="0E78647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49FA3EED"/>
    <w:multiLevelType w:val="hybridMultilevel"/>
    <w:tmpl w:val="B5D40F92"/>
    <w:lvl w:ilvl="0" w:tplc="9CFAC170">
      <w:start w:val="11"/>
      <w:numFmt w:val="decimal"/>
      <w:lvlText w:val="%1."/>
      <w:lvlJc w:val="left"/>
      <w:pPr>
        <w:ind w:left="142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A333E5"/>
    <w:multiLevelType w:val="hybridMultilevel"/>
    <w:tmpl w:val="300A52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A44EB2"/>
    <w:multiLevelType w:val="hybridMultilevel"/>
    <w:tmpl w:val="A4C0D0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362DB9"/>
    <w:multiLevelType w:val="multilevel"/>
    <w:tmpl w:val="5E929742"/>
    <w:lvl w:ilvl="0">
      <w:start w:val="1"/>
      <w:numFmt w:val="decimal"/>
      <w:lvlText w:val="%1."/>
      <w:lvlJc w:val="left"/>
      <w:pPr>
        <w:ind w:left="502" w:hanging="360"/>
      </w:pPr>
      <w:rPr>
        <w:rFonts w:ascii="HelveticaNeueLT Std" w:hAnsi="HelveticaNeueLT Std" w:hint="default"/>
        <w:b/>
        <w:sz w:val="20"/>
        <w:szCs w:val="20"/>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A15157B"/>
    <w:multiLevelType w:val="hybridMultilevel"/>
    <w:tmpl w:val="80A0101A"/>
    <w:lvl w:ilvl="0" w:tplc="74181AF0">
      <w:start w:val="11"/>
      <w:numFmt w:val="decimal"/>
      <w:lvlText w:val="%1."/>
      <w:lvlJc w:val="left"/>
      <w:pPr>
        <w:ind w:left="644" w:hanging="360"/>
      </w:pPr>
      <w:rPr>
        <w:rFonts w:ascii="HelveticaNeueLT Std" w:hAnsi="HelveticaNeueLT Std"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A83998"/>
    <w:multiLevelType w:val="hybridMultilevel"/>
    <w:tmpl w:val="6E146308"/>
    <w:lvl w:ilvl="0" w:tplc="A810E21A">
      <w:start w:val="5"/>
      <w:numFmt w:val="decimal"/>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2C641A"/>
    <w:multiLevelType w:val="hybridMultilevel"/>
    <w:tmpl w:val="A8E4D0E4"/>
    <w:lvl w:ilvl="0" w:tplc="65DABA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0" w15:restartNumberingAfterBreak="0">
    <w:nsid w:val="64677FB9"/>
    <w:multiLevelType w:val="hybridMultilevel"/>
    <w:tmpl w:val="3CEECF22"/>
    <w:lvl w:ilvl="0" w:tplc="70F62FD0">
      <w:start w:val="9"/>
      <w:numFmt w:val="decimal"/>
      <w:lvlText w:val="%1."/>
      <w:lvlJc w:val="left"/>
      <w:pPr>
        <w:ind w:left="644" w:hanging="360"/>
      </w:pPr>
      <w:rPr>
        <w:rFonts w:ascii="HelveticaNeueLT Std" w:hAnsi="HelveticaNeueLT Std"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60B1180"/>
    <w:multiLevelType w:val="hybridMultilevel"/>
    <w:tmpl w:val="14600436"/>
    <w:lvl w:ilvl="0" w:tplc="625CC13C">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274ED9"/>
    <w:multiLevelType w:val="hybridMultilevel"/>
    <w:tmpl w:val="4E3A91D0"/>
    <w:lvl w:ilvl="0" w:tplc="4E2EADB0">
      <w:start w:val="9"/>
      <w:numFmt w:val="decimal"/>
      <w:lvlText w:val="%1."/>
      <w:lvlJc w:val="left"/>
      <w:pPr>
        <w:ind w:left="142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697394"/>
    <w:multiLevelType w:val="multilevel"/>
    <w:tmpl w:val="5E929742"/>
    <w:lvl w:ilvl="0">
      <w:start w:val="1"/>
      <w:numFmt w:val="decimal"/>
      <w:lvlText w:val="%1."/>
      <w:lvlJc w:val="left"/>
      <w:pPr>
        <w:ind w:left="502" w:hanging="360"/>
      </w:pPr>
      <w:rPr>
        <w:rFonts w:ascii="HelveticaNeueLT Std" w:hAnsi="HelveticaNeueLT Std" w:hint="default"/>
        <w:b/>
        <w:sz w:val="20"/>
        <w:szCs w:val="20"/>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BD93C3A"/>
    <w:multiLevelType w:val="hybridMultilevel"/>
    <w:tmpl w:val="F47E43FE"/>
    <w:lvl w:ilvl="0" w:tplc="FB884962">
      <w:start w:val="7"/>
      <w:numFmt w:val="decimal"/>
      <w:lvlText w:val="%1."/>
      <w:lvlJc w:val="left"/>
      <w:pPr>
        <w:ind w:left="785" w:hanging="360"/>
      </w:pPr>
      <w:rPr>
        <w:rFonts w:ascii="HelveticaNeueLT Std" w:hAnsi="HelveticaNeueLT Std"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85413C"/>
    <w:multiLevelType w:val="multilevel"/>
    <w:tmpl w:val="5E929742"/>
    <w:lvl w:ilvl="0">
      <w:start w:val="1"/>
      <w:numFmt w:val="decimal"/>
      <w:lvlText w:val="%1."/>
      <w:lvlJc w:val="left"/>
      <w:pPr>
        <w:ind w:left="502" w:hanging="360"/>
      </w:pPr>
      <w:rPr>
        <w:rFonts w:ascii="HelveticaNeueLT Std" w:hAnsi="HelveticaNeueLT Std" w:hint="default"/>
        <w:b/>
        <w:sz w:val="20"/>
        <w:szCs w:val="20"/>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D931B4"/>
    <w:multiLevelType w:val="hybridMultilevel"/>
    <w:tmpl w:val="240C442E"/>
    <w:lvl w:ilvl="0" w:tplc="E3FA7F22">
      <w:start w:val="10"/>
      <w:numFmt w:val="decimal"/>
      <w:lvlText w:val="%1."/>
      <w:lvlJc w:val="left"/>
      <w:pPr>
        <w:ind w:left="142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D15AF0"/>
    <w:multiLevelType w:val="hybridMultilevel"/>
    <w:tmpl w:val="AA6EC10E"/>
    <w:lvl w:ilvl="0" w:tplc="077A556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69454E5"/>
    <w:multiLevelType w:val="hybridMultilevel"/>
    <w:tmpl w:val="1346B96A"/>
    <w:lvl w:ilvl="0" w:tplc="2B62B07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041649"/>
    <w:multiLevelType w:val="multilevel"/>
    <w:tmpl w:val="5E929742"/>
    <w:lvl w:ilvl="0">
      <w:start w:val="1"/>
      <w:numFmt w:val="decimal"/>
      <w:lvlText w:val="%1."/>
      <w:lvlJc w:val="left"/>
      <w:pPr>
        <w:ind w:left="502" w:hanging="360"/>
      </w:pPr>
      <w:rPr>
        <w:rFonts w:ascii="HelveticaNeueLT Std" w:hAnsi="HelveticaNeueLT Std" w:hint="default"/>
        <w:b/>
        <w:sz w:val="20"/>
        <w:szCs w:val="20"/>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B757B43"/>
    <w:multiLevelType w:val="hybridMultilevel"/>
    <w:tmpl w:val="50F88E26"/>
    <w:lvl w:ilvl="0" w:tplc="FA88C78E">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1" w15:restartNumberingAfterBreak="0">
    <w:nsid w:val="7E7A66D6"/>
    <w:multiLevelType w:val="hybridMultilevel"/>
    <w:tmpl w:val="AA6EC10E"/>
    <w:lvl w:ilvl="0" w:tplc="077A556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7"/>
  </w:num>
  <w:num w:numId="3">
    <w:abstractNumId w:val="2"/>
  </w:num>
  <w:num w:numId="4">
    <w:abstractNumId w:val="9"/>
  </w:num>
  <w:num w:numId="5">
    <w:abstractNumId w:val="41"/>
  </w:num>
  <w:num w:numId="6">
    <w:abstractNumId w:val="7"/>
  </w:num>
  <w:num w:numId="7">
    <w:abstractNumId w:val="29"/>
  </w:num>
  <w:num w:numId="8">
    <w:abstractNumId w:val="38"/>
  </w:num>
  <w:num w:numId="9">
    <w:abstractNumId w:val="40"/>
  </w:num>
  <w:num w:numId="10">
    <w:abstractNumId w:val="28"/>
  </w:num>
  <w:num w:numId="11">
    <w:abstractNumId w:val="15"/>
  </w:num>
  <w:num w:numId="12">
    <w:abstractNumId w:val="3"/>
  </w:num>
  <w:num w:numId="13">
    <w:abstractNumId w:val="14"/>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9"/>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1"/>
  </w:num>
  <w:num w:numId="25">
    <w:abstractNumId w:val="21"/>
  </w:num>
  <w:num w:numId="26">
    <w:abstractNumId w:val="26"/>
  </w:num>
  <w:num w:numId="27">
    <w:abstractNumId w:val="16"/>
  </w:num>
  <w:num w:numId="28">
    <w:abstractNumId w:val="18"/>
  </w:num>
  <w:num w:numId="29">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12"/>
  </w:num>
  <w:num w:numId="32">
    <w:abstractNumId w:val="36"/>
  </w:num>
  <w:num w:numId="33">
    <w:abstractNumId w:val="1"/>
  </w:num>
  <w:num w:numId="34">
    <w:abstractNumId w:val="23"/>
  </w:num>
  <w:num w:numId="35">
    <w:abstractNumId w:val="27"/>
  </w:num>
  <w:num w:numId="36">
    <w:abstractNumId w:val="30"/>
  </w:num>
  <w:num w:numId="37">
    <w:abstractNumId w:val="24"/>
  </w:num>
  <w:num w:numId="38">
    <w:abstractNumId w:val="25"/>
  </w:num>
  <w:num w:numId="39">
    <w:abstractNumId w:val="32"/>
  </w:num>
  <w:num w:numId="40">
    <w:abstractNumId w:val="35"/>
  </w:num>
  <w:num w:numId="41">
    <w:abstractNumId w:val="11"/>
  </w:num>
  <w:num w:numId="42">
    <w:abstractNumId w:val="20"/>
  </w:num>
  <w:num w:numId="43">
    <w:abstractNumId w:val="33"/>
  </w:num>
  <w:num w:numId="44">
    <w:abstractNumId w:val="0"/>
  </w:num>
  <w:num w:numId="45">
    <w:abstractNumId w:val="37"/>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34"/>
  </w:num>
  <w:num w:numId="49">
    <w:abstractNumId w:val="39"/>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ocumentProtection w:edit="trackedChanges"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12B"/>
    <w:rsid w:val="000000D0"/>
    <w:rsid w:val="000027DB"/>
    <w:rsid w:val="00003910"/>
    <w:rsid w:val="00003AD6"/>
    <w:rsid w:val="00003D73"/>
    <w:rsid w:val="00006ED2"/>
    <w:rsid w:val="00010FD9"/>
    <w:rsid w:val="00012845"/>
    <w:rsid w:val="0001352F"/>
    <w:rsid w:val="00013CA0"/>
    <w:rsid w:val="00014705"/>
    <w:rsid w:val="00015E63"/>
    <w:rsid w:val="00015FA6"/>
    <w:rsid w:val="00016F2A"/>
    <w:rsid w:val="0001768C"/>
    <w:rsid w:val="00020432"/>
    <w:rsid w:val="00021DE1"/>
    <w:rsid w:val="00022C7E"/>
    <w:rsid w:val="000251C1"/>
    <w:rsid w:val="0002608C"/>
    <w:rsid w:val="000265E6"/>
    <w:rsid w:val="00026EBB"/>
    <w:rsid w:val="00027777"/>
    <w:rsid w:val="00030B0F"/>
    <w:rsid w:val="00030B5E"/>
    <w:rsid w:val="000316D9"/>
    <w:rsid w:val="000317E9"/>
    <w:rsid w:val="000326A2"/>
    <w:rsid w:val="0003577A"/>
    <w:rsid w:val="0003620D"/>
    <w:rsid w:val="0003731C"/>
    <w:rsid w:val="00037C59"/>
    <w:rsid w:val="000405AF"/>
    <w:rsid w:val="000413C6"/>
    <w:rsid w:val="00043D55"/>
    <w:rsid w:val="00045845"/>
    <w:rsid w:val="000476DA"/>
    <w:rsid w:val="00050B6C"/>
    <w:rsid w:val="000526C7"/>
    <w:rsid w:val="000564CF"/>
    <w:rsid w:val="00057473"/>
    <w:rsid w:val="00057789"/>
    <w:rsid w:val="00061AB7"/>
    <w:rsid w:val="00062DFB"/>
    <w:rsid w:val="000638B3"/>
    <w:rsid w:val="00063DF7"/>
    <w:rsid w:val="00064186"/>
    <w:rsid w:val="000641A2"/>
    <w:rsid w:val="00065EED"/>
    <w:rsid w:val="00065FD4"/>
    <w:rsid w:val="0007108F"/>
    <w:rsid w:val="00072B06"/>
    <w:rsid w:val="00073B8C"/>
    <w:rsid w:val="00077BCD"/>
    <w:rsid w:val="00077E11"/>
    <w:rsid w:val="00081271"/>
    <w:rsid w:val="0008290A"/>
    <w:rsid w:val="00082CB1"/>
    <w:rsid w:val="00083D56"/>
    <w:rsid w:val="00084D06"/>
    <w:rsid w:val="00084D64"/>
    <w:rsid w:val="0008605F"/>
    <w:rsid w:val="00087BD1"/>
    <w:rsid w:val="00091600"/>
    <w:rsid w:val="00094250"/>
    <w:rsid w:val="00094DD0"/>
    <w:rsid w:val="0009517D"/>
    <w:rsid w:val="00096447"/>
    <w:rsid w:val="000968F8"/>
    <w:rsid w:val="0009757F"/>
    <w:rsid w:val="000A081E"/>
    <w:rsid w:val="000A228A"/>
    <w:rsid w:val="000A2ADF"/>
    <w:rsid w:val="000A2B0A"/>
    <w:rsid w:val="000A30E0"/>
    <w:rsid w:val="000A3489"/>
    <w:rsid w:val="000A3DA3"/>
    <w:rsid w:val="000A43FC"/>
    <w:rsid w:val="000A4773"/>
    <w:rsid w:val="000A4B51"/>
    <w:rsid w:val="000A4CD9"/>
    <w:rsid w:val="000A4FB8"/>
    <w:rsid w:val="000A52F1"/>
    <w:rsid w:val="000A7CAE"/>
    <w:rsid w:val="000B027A"/>
    <w:rsid w:val="000B03BB"/>
    <w:rsid w:val="000B07D7"/>
    <w:rsid w:val="000B0F33"/>
    <w:rsid w:val="000B124F"/>
    <w:rsid w:val="000B14E6"/>
    <w:rsid w:val="000C0132"/>
    <w:rsid w:val="000C08D7"/>
    <w:rsid w:val="000C5056"/>
    <w:rsid w:val="000C5544"/>
    <w:rsid w:val="000C7DD0"/>
    <w:rsid w:val="000D01F5"/>
    <w:rsid w:val="000D09FF"/>
    <w:rsid w:val="000D1290"/>
    <w:rsid w:val="000D1B63"/>
    <w:rsid w:val="000D40F1"/>
    <w:rsid w:val="000D5865"/>
    <w:rsid w:val="000D5A73"/>
    <w:rsid w:val="000E0552"/>
    <w:rsid w:val="000E31FD"/>
    <w:rsid w:val="000E38D9"/>
    <w:rsid w:val="000E5435"/>
    <w:rsid w:val="000E57F1"/>
    <w:rsid w:val="000E650B"/>
    <w:rsid w:val="000E7537"/>
    <w:rsid w:val="000F0D32"/>
    <w:rsid w:val="000F401A"/>
    <w:rsid w:val="000F4A95"/>
    <w:rsid w:val="000F4FF2"/>
    <w:rsid w:val="000F737A"/>
    <w:rsid w:val="00100535"/>
    <w:rsid w:val="00105047"/>
    <w:rsid w:val="00105746"/>
    <w:rsid w:val="001061D6"/>
    <w:rsid w:val="001104E6"/>
    <w:rsid w:val="001104EE"/>
    <w:rsid w:val="00110CC9"/>
    <w:rsid w:val="001120FF"/>
    <w:rsid w:val="00113064"/>
    <w:rsid w:val="001135F5"/>
    <w:rsid w:val="00114174"/>
    <w:rsid w:val="00116705"/>
    <w:rsid w:val="001167C1"/>
    <w:rsid w:val="00121D31"/>
    <w:rsid w:val="0012306F"/>
    <w:rsid w:val="00123396"/>
    <w:rsid w:val="00124778"/>
    <w:rsid w:val="00124F83"/>
    <w:rsid w:val="00125235"/>
    <w:rsid w:val="001255FF"/>
    <w:rsid w:val="00130387"/>
    <w:rsid w:val="00130799"/>
    <w:rsid w:val="00130EA5"/>
    <w:rsid w:val="001362C9"/>
    <w:rsid w:val="00136FAC"/>
    <w:rsid w:val="00140429"/>
    <w:rsid w:val="001433AD"/>
    <w:rsid w:val="001436FB"/>
    <w:rsid w:val="00143879"/>
    <w:rsid w:val="0014449F"/>
    <w:rsid w:val="00145D52"/>
    <w:rsid w:val="00147372"/>
    <w:rsid w:val="00152B8F"/>
    <w:rsid w:val="00152CE4"/>
    <w:rsid w:val="00153C26"/>
    <w:rsid w:val="00154103"/>
    <w:rsid w:val="00154D1C"/>
    <w:rsid w:val="00155156"/>
    <w:rsid w:val="001554DD"/>
    <w:rsid w:val="00155A9D"/>
    <w:rsid w:val="001570DC"/>
    <w:rsid w:val="001600FB"/>
    <w:rsid w:val="0016041F"/>
    <w:rsid w:val="00160821"/>
    <w:rsid w:val="00163812"/>
    <w:rsid w:val="0016506D"/>
    <w:rsid w:val="00167820"/>
    <w:rsid w:val="001678EA"/>
    <w:rsid w:val="00171698"/>
    <w:rsid w:val="00171741"/>
    <w:rsid w:val="00173CC3"/>
    <w:rsid w:val="00173DBF"/>
    <w:rsid w:val="00174100"/>
    <w:rsid w:val="00175DCD"/>
    <w:rsid w:val="001760E2"/>
    <w:rsid w:val="001800B6"/>
    <w:rsid w:val="00180232"/>
    <w:rsid w:val="00180A93"/>
    <w:rsid w:val="001811A8"/>
    <w:rsid w:val="001811DB"/>
    <w:rsid w:val="0018123E"/>
    <w:rsid w:val="00181B3F"/>
    <w:rsid w:val="00183F2F"/>
    <w:rsid w:val="00184BE1"/>
    <w:rsid w:val="00191331"/>
    <w:rsid w:val="00191E56"/>
    <w:rsid w:val="001945FE"/>
    <w:rsid w:val="00194F29"/>
    <w:rsid w:val="00195ADE"/>
    <w:rsid w:val="001A0DBE"/>
    <w:rsid w:val="001A3EA4"/>
    <w:rsid w:val="001A42C4"/>
    <w:rsid w:val="001A6D07"/>
    <w:rsid w:val="001A70A8"/>
    <w:rsid w:val="001B054A"/>
    <w:rsid w:val="001B0613"/>
    <w:rsid w:val="001B1326"/>
    <w:rsid w:val="001B1E2C"/>
    <w:rsid w:val="001B3BFD"/>
    <w:rsid w:val="001B4811"/>
    <w:rsid w:val="001B6A78"/>
    <w:rsid w:val="001B6ED6"/>
    <w:rsid w:val="001B79F0"/>
    <w:rsid w:val="001B7A3D"/>
    <w:rsid w:val="001C17CE"/>
    <w:rsid w:val="001C1913"/>
    <w:rsid w:val="001C2D9F"/>
    <w:rsid w:val="001C32DD"/>
    <w:rsid w:val="001C33D8"/>
    <w:rsid w:val="001C36BA"/>
    <w:rsid w:val="001C6622"/>
    <w:rsid w:val="001C72C4"/>
    <w:rsid w:val="001D1BE7"/>
    <w:rsid w:val="001D237E"/>
    <w:rsid w:val="001D5057"/>
    <w:rsid w:val="001D5210"/>
    <w:rsid w:val="001D5A6E"/>
    <w:rsid w:val="001D74CB"/>
    <w:rsid w:val="001D793E"/>
    <w:rsid w:val="001E06EF"/>
    <w:rsid w:val="001E1B89"/>
    <w:rsid w:val="001E25C6"/>
    <w:rsid w:val="001E396C"/>
    <w:rsid w:val="001E4762"/>
    <w:rsid w:val="001E4D68"/>
    <w:rsid w:val="001E5489"/>
    <w:rsid w:val="001F05AD"/>
    <w:rsid w:val="001F0CE1"/>
    <w:rsid w:val="001F1301"/>
    <w:rsid w:val="001F1B28"/>
    <w:rsid w:val="001F1EE1"/>
    <w:rsid w:val="001F1FF9"/>
    <w:rsid w:val="001F5305"/>
    <w:rsid w:val="001F58A5"/>
    <w:rsid w:val="001F69B3"/>
    <w:rsid w:val="00200343"/>
    <w:rsid w:val="00200637"/>
    <w:rsid w:val="00201773"/>
    <w:rsid w:val="0020245B"/>
    <w:rsid w:val="0020416B"/>
    <w:rsid w:val="0020644C"/>
    <w:rsid w:val="00207337"/>
    <w:rsid w:val="002111A9"/>
    <w:rsid w:val="002134C1"/>
    <w:rsid w:val="00213972"/>
    <w:rsid w:val="00216916"/>
    <w:rsid w:val="00216D3C"/>
    <w:rsid w:val="002174D6"/>
    <w:rsid w:val="00217C12"/>
    <w:rsid w:val="002201A1"/>
    <w:rsid w:val="00221377"/>
    <w:rsid w:val="00221CB3"/>
    <w:rsid w:val="00225B52"/>
    <w:rsid w:val="00225CA1"/>
    <w:rsid w:val="00226C82"/>
    <w:rsid w:val="002279D7"/>
    <w:rsid w:val="00230732"/>
    <w:rsid w:val="002332C2"/>
    <w:rsid w:val="00234940"/>
    <w:rsid w:val="0023626F"/>
    <w:rsid w:val="002404C8"/>
    <w:rsid w:val="002406D4"/>
    <w:rsid w:val="00240CFC"/>
    <w:rsid w:val="00240E9D"/>
    <w:rsid w:val="00241CF2"/>
    <w:rsid w:val="0024210F"/>
    <w:rsid w:val="00242134"/>
    <w:rsid w:val="00243011"/>
    <w:rsid w:val="00243580"/>
    <w:rsid w:val="00244598"/>
    <w:rsid w:val="00245317"/>
    <w:rsid w:val="0024535F"/>
    <w:rsid w:val="00246044"/>
    <w:rsid w:val="002465BB"/>
    <w:rsid w:val="0025080E"/>
    <w:rsid w:val="00251395"/>
    <w:rsid w:val="00251DC8"/>
    <w:rsid w:val="00256473"/>
    <w:rsid w:val="00256F96"/>
    <w:rsid w:val="002577A6"/>
    <w:rsid w:val="002647BE"/>
    <w:rsid w:val="00264D0E"/>
    <w:rsid w:val="0026502F"/>
    <w:rsid w:val="00267222"/>
    <w:rsid w:val="0026744F"/>
    <w:rsid w:val="00272116"/>
    <w:rsid w:val="00272BA0"/>
    <w:rsid w:val="002734FE"/>
    <w:rsid w:val="00273EB5"/>
    <w:rsid w:val="00274345"/>
    <w:rsid w:val="00276066"/>
    <w:rsid w:val="002804D1"/>
    <w:rsid w:val="00280535"/>
    <w:rsid w:val="00280B40"/>
    <w:rsid w:val="0028147E"/>
    <w:rsid w:val="00281C21"/>
    <w:rsid w:val="002859B7"/>
    <w:rsid w:val="00287E5C"/>
    <w:rsid w:val="002909EB"/>
    <w:rsid w:val="002911AD"/>
    <w:rsid w:val="00292418"/>
    <w:rsid w:val="0029241F"/>
    <w:rsid w:val="00293DA7"/>
    <w:rsid w:val="00294457"/>
    <w:rsid w:val="00296101"/>
    <w:rsid w:val="002969C0"/>
    <w:rsid w:val="002A193B"/>
    <w:rsid w:val="002A2A0E"/>
    <w:rsid w:val="002A2AAD"/>
    <w:rsid w:val="002A5B22"/>
    <w:rsid w:val="002A7A96"/>
    <w:rsid w:val="002B010B"/>
    <w:rsid w:val="002B0BED"/>
    <w:rsid w:val="002B23B8"/>
    <w:rsid w:val="002B344E"/>
    <w:rsid w:val="002B6494"/>
    <w:rsid w:val="002B747B"/>
    <w:rsid w:val="002B7DCD"/>
    <w:rsid w:val="002C089B"/>
    <w:rsid w:val="002C1500"/>
    <w:rsid w:val="002C2C79"/>
    <w:rsid w:val="002C44BF"/>
    <w:rsid w:val="002C6A51"/>
    <w:rsid w:val="002D0E71"/>
    <w:rsid w:val="002D109B"/>
    <w:rsid w:val="002D1F2E"/>
    <w:rsid w:val="002D29BC"/>
    <w:rsid w:val="002D2E53"/>
    <w:rsid w:val="002D4356"/>
    <w:rsid w:val="002D5D22"/>
    <w:rsid w:val="002E0E52"/>
    <w:rsid w:val="002E2BBF"/>
    <w:rsid w:val="002E378E"/>
    <w:rsid w:val="002E3C79"/>
    <w:rsid w:val="002E3F40"/>
    <w:rsid w:val="002E3F91"/>
    <w:rsid w:val="002E4880"/>
    <w:rsid w:val="002E55E9"/>
    <w:rsid w:val="002E63CE"/>
    <w:rsid w:val="002E6B08"/>
    <w:rsid w:val="002E7BFD"/>
    <w:rsid w:val="002F1339"/>
    <w:rsid w:val="002F29EA"/>
    <w:rsid w:val="002F561B"/>
    <w:rsid w:val="002F7027"/>
    <w:rsid w:val="002F7710"/>
    <w:rsid w:val="002F7CAF"/>
    <w:rsid w:val="00300C9C"/>
    <w:rsid w:val="00301158"/>
    <w:rsid w:val="003042BB"/>
    <w:rsid w:val="003047F9"/>
    <w:rsid w:val="00305455"/>
    <w:rsid w:val="00306181"/>
    <w:rsid w:val="00306E07"/>
    <w:rsid w:val="00307B73"/>
    <w:rsid w:val="003122EC"/>
    <w:rsid w:val="003135E5"/>
    <w:rsid w:val="003147A5"/>
    <w:rsid w:val="00316036"/>
    <w:rsid w:val="0031644B"/>
    <w:rsid w:val="00316D48"/>
    <w:rsid w:val="00316D5D"/>
    <w:rsid w:val="00316DEB"/>
    <w:rsid w:val="00320151"/>
    <w:rsid w:val="00320C0E"/>
    <w:rsid w:val="00321046"/>
    <w:rsid w:val="003217AE"/>
    <w:rsid w:val="00322CA9"/>
    <w:rsid w:val="00323890"/>
    <w:rsid w:val="0032595A"/>
    <w:rsid w:val="00331541"/>
    <w:rsid w:val="0033212B"/>
    <w:rsid w:val="00333772"/>
    <w:rsid w:val="0033471E"/>
    <w:rsid w:val="00336040"/>
    <w:rsid w:val="0033665F"/>
    <w:rsid w:val="00340A9D"/>
    <w:rsid w:val="003432D8"/>
    <w:rsid w:val="00343555"/>
    <w:rsid w:val="00343EFA"/>
    <w:rsid w:val="0034689D"/>
    <w:rsid w:val="003476D9"/>
    <w:rsid w:val="00347A93"/>
    <w:rsid w:val="0035214D"/>
    <w:rsid w:val="003527BF"/>
    <w:rsid w:val="00352817"/>
    <w:rsid w:val="003537A0"/>
    <w:rsid w:val="0035391C"/>
    <w:rsid w:val="00353F8B"/>
    <w:rsid w:val="003542D6"/>
    <w:rsid w:val="00354592"/>
    <w:rsid w:val="003547B9"/>
    <w:rsid w:val="00356AAE"/>
    <w:rsid w:val="00356C4C"/>
    <w:rsid w:val="00356CF2"/>
    <w:rsid w:val="00361EF9"/>
    <w:rsid w:val="00362C2A"/>
    <w:rsid w:val="00363D07"/>
    <w:rsid w:val="003648E4"/>
    <w:rsid w:val="003651B1"/>
    <w:rsid w:val="0036630F"/>
    <w:rsid w:val="00367E78"/>
    <w:rsid w:val="00370BA2"/>
    <w:rsid w:val="00370DAC"/>
    <w:rsid w:val="00372A64"/>
    <w:rsid w:val="003734DF"/>
    <w:rsid w:val="00373642"/>
    <w:rsid w:val="00373AD7"/>
    <w:rsid w:val="00373C05"/>
    <w:rsid w:val="00374D28"/>
    <w:rsid w:val="0037547A"/>
    <w:rsid w:val="00375A6D"/>
    <w:rsid w:val="00376CAF"/>
    <w:rsid w:val="0038035B"/>
    <w:rsid w:val="003807BD"/>
    <w:rsid w:val="00380CB3"/>
    <w:rsid w:val="0038121B"/>
    <w:rsid w:val="003826EC"/>
    <w:rsid w:val="0038291E"/>
    <w:rsid w:val="00383861"/>
    <w:rsid w:val="0038425C"/>
    <w:rsid w:val="00390BB9"/>
    <w:rsid w:val="00392564"/>
    <w:rsid w:val="003936EC"/>
    <w:rsid w:val="0039385E"/>
    <w:rsid w:val="00394024"/>
    <w:rsid w:val="00396D4F"/>
    <w:rsid w:val="003A05A0"/>
    <w:rsid w:val="003A2CD8"/>
    <w:rsid w:val="003A39D3"/>
    <w:rsid w:val="003A3A0B"/>
    <w:rsid w:val="003A4CCC"/>
    <w:rsid w:val="003A50C1"/>
    <w:rsid w:val="003A53F6"/>
    <w:rsid w:val="003A7B09"/>
    <w:rsid w:val="003B2588"/>
    <w:rsid w:val="003B3E10"/>
    <w:rsid w:val="003B5A88"/>
    <w:rsid w:val="003B6142"/>
    <w:rsid w:val="003B78FF"/>
    <w:rsid w:val="003C037F"/>
    <w:rsid w:val="003C03E7"/>
    <w:rsid w:val="003C09F5"/>
    <w:rsid w:val="003C0FA2"/>
    <w:rsid w:val="003C1F1B"/>
    <w:rsid w:val="003C5964"/>
    <w:rsid w:val="003C5EF2"/>
    <w:rsid w:val="003C6C0E"/>
    <w:rsid w:val="003C7D90"/>
    <w:rsid w:val="003D03BC"/>
    <w:rsid w:val="003D1F6A"/>
    <w:rsid w:val="003D3B9A"/>
    <w:rsid w:val="003D677E"/>
    <w:rsid w:val="003D73E4"/>
    <w:rsid w:val="003D79D8"/>
    <w:rsid w:val="003D7CBE"/>
    <w:rsid w:val="003E5B9A"/>
    <w:rsid w:val="003E779C"/>
    <w:rsid w:val="003F0258"/>
    <w:rsid w:val="003F07F3"/>
    <w:rsid w:val="003F18B1"/>
    <w:rsid w:val="003F517E"/>
    <w:rsid w:val="003F51BF"/>
    <w:rsid w:val="003F6EAF"/>
    <w:rsid w:val="003F76F5"/>
    <w:rsid w:val="003F77FC"/>
    <w:rsid w:val="00402DCF"/>
    <w:rsid w:val="004039C8"/>
    <w:rsid w:val="00403D57"/>
    <w:rsid w:val="004047EA"/>
    <w:rsid w:val="004059A4"/>
    <w:rsid w:val="00407871"/>
    <w:rsid w:val="00407A26"/>
    <w:rsid w:val="00407C3C"/>
    <w:rsid w:val="00412FBB"/>
    <w:rsid w:val="004161C8"/>
    <w:rsid w:val="00416639"/>
    <w:rsid w:val="00416696"/>
    <w:rsid w:val="00416D8B"/>
    <w:rsid w:val="004172FF"/>
    <w:rsid w:val="0041778B"/>
    <w:rsid w:val="00422466"/>
    <w:rsid w:val="00422EE1"/>
    <w:rsid w:val="00424CE4"/>
    <w:rsid w:val="00425087"/>
    <w:rsid w:val="00425957"/>
    <w:rsid w:val="00425ED0"/>
    <w:rsid w:val="004264A2"/>
    <w:rsid w:val="00430CC0"/>
    <w:rsid w:val="00430DBD"/>
    <w:rsid w:val="004311F7"/>
    <w:rsid w:val="00431246"/>
    <w:rsid w:val="0043257C"/>
    <w:rsid w:val="00432E72"/>
    <w:rsid w:val="00435EDC"/>
    <w:rsid w:val="00436399"/>
    <w:rsid w:val="004378BA"/>
    <w:rsid w:val="00440F0A"/>
    <w:rsid w:val="00441158"/>
    <w:rsid w:val="00443064"/>
    <w:rsid w:val="004443F1"/>
    <w:rsid w:val="004448D3"/>
    <w:rsid w:val="0044500C"/>
    <w:rsid w:val="004469C7"/>
    <w:rsid w:val="004472ED"/>
    <w:rsid w:val="004500FD"/>
    <w:rsid w:val="00450C2F"/>
    <w:rsid w:val="004520EC"/>
    <w:rsid w:val="004527F5"/>
    <w:rsid w:val="00452CB3"/>
    <w:rsid w:val="00452FAB"/>
    <w:rsid w:val="004559AD"/>
    <w:rsid w:val="0045633F"/>
    <w:rsid w:val="004579B6"/>
    <w:rsid w:val="00457D93"/>
    <w:rsid w:val="00457F14"/>
    <w:rsid w:val="00461CA3"/>
    <w:rsid w:val="00463C83"/>
    <w:rsid w:val="00465387"/>
    <w:rsid w:val="00465FAF"/>
    <w:rsid w:val="00467384"/>
    <w:rsid w:val="0047049F"/>
    <w:rsid w:val="00470F5A"/>
    <w:rsid w:val="0047114C"/>
    <w:rsid w:val="0047201F"/>
    <w:rsid w:val="004723C3"/>
    <w:rsid w:val="00473507"/>
    <w:rsid w:val="004749EA"/>
    <w:rsid w:val="00474B22"/>
    <w:rsid w:val="00475177"/>
    <w:rsid w:val="004756FF"/>
    <w:rsid w:val="00477F60"/>
    <w:rsid w:val="004804B4"/>
    <w:rsid w:val="004842BC"/>
    <w:rsid w:val="0048444A"/>
    <w:rsid w:val="0048474F"/>
    <w:rsid w:val="004852AC"/>
    <w:rsid w:val="004852C4"/>
    <w:rsid w:val="004860DC"/>
    <w:rsid w:val="004877CF"/>
    <w:rsid w:val="00490223"/>
    <w:rsid w:val="00493A69"/>
    <w:rsid w:val="00494444"/>
    <w:rsid w:val="0049527E"/>
    <w:rsid w:val="004A0297"/>
    <w:rsid w:val="004A0A66"/>
    <w:rsid w:val="004A1DEA"/>
    <w:rsid w:val="004A2C5A"/>
    <w:rsid w:val="004A3EEB"/>
    <w:rsid w:val="004A4070"/>
    <w:rsid w:val="004A4621"/>
    <w:rsid w:val="004A5E62"/>
    <w:rsid w:val="004A7DE6"/>
    <w:rsid w:val="004A7E69"/>
    <w:rsid w:val="004B02A5"/>
    <w:rsid w:val="004B276F"/>
    <w:rsid w:val="004B437E"/>
    <w:rsid w:val="004B580C"/>
    <w:rsid w:val="004B60E1"/>
    <w:rsid w:val="004B6E4E"/>
    <w:rsid w:val="004B7331"/>
    <w:rsid w:val="004B75FD"/>
    <w:rsid w:val="004B7798"/>
    <w:rsid w:val="004C0175"/>
    <w:rsid w:val="004C21AF"/>
    <w:rsid w:val="004C2625"/>
    <w:rsid w:val="004C2985"/>
    <w:rsid w:val="004C34C6"/>
    <w:rsid w:val="004C4D2F"/>
    <w:rsid w:val="004C615E"/>
    <w:rsid w:val="004C657B"/>
    <w:rsid w:val="004C6C82"/>
    <w:rsid w:val="004C7131"/>
    <w:rsid w:val="004D0A1F"/>
    <w:rsid w:val="004D25FE"/>
    <w:rsid w:val="004D2D73"/>
    <w:rsid w:val="004D31AC"/>
    <w:rsid w:val="004D3578"/>
    <w:rsid w:val="004D4C6E"/>
    <w:rsid w:val="004D51CE"/>
    <w:rsid w:val="004D5518"/>
    <w:rsid w:val="004D552B"/>
    <w:rsid w:val="004E18BD"/>
    <w:rsid w:val="004E32A4"/>
    <w:rsid w:val="004E50D3"/>
    <w:rsid w:val="004E5AD9"/>
    <w:rsid w:val="004E5C54"/>
    <w:rsid w:val="004E600D"/>
    <w:rsid w:val="004E62E7"/>
    <w:rsid w:val="004E7071"/>
    <w:rsid w:val="004F0F88"/>
    <w:rsid w:val="004F206A"/>
    <w:rsid w:val="004F62FB"/>
    <w:rsid w:val="004F7873"/>
    <w:rsid w:val="005007BC"/>
    <w:rsid w:val="00500D5E"/>
    <w:rsid w:val="005021B6"/>
    <w:rsid w:val="00502422"/>
    <w:rsid w:val="00502F90"/>
    <w:rsid w:val="0050315F"/>
    <w:rsid w:val="00503F8F"/>
    <w:rsid w:val="0050418D"/>
    <w:rsid w:val="0050496B"/>
    <w:rsid w:val="00505DD1"/>
    <w:rsid w:val="005061FC"/>
    <w:rsid w:val="00506F2B"/>
    <w:rsid w:val="00511D50"/>
    <w:rsid w:val="00516075"/>
    <w:rsid w:val="00516FE9"/>
    <w:rsid w:val="00521768"/>
    <w:rsid w:val="005232EF"/>
    <w:rsid w:val="005236DD"/>
    <w:rsid w:val="0052527A"/>
    <w:rsid w:val="00525B78"/>
    <w:rsid w:val="0052620D"/>
    <w:rsid w:val="00527FCE"/>
    <w:rsid w:val="00530C8F"/>
    <w:rsid w:val="005315CD"/>
    <w:rsid w:val="005315E2"/>
    <w:rsid w:val="00531E46"/>
    <w:rsid w:val="00531E6D"/>
    <w:rsid w:val="0053225F"/>
    <w:rsid w:val="00533D60"/>
    <w:rsid w:val="00535EEE"/>
    <w:rsid w:val="00540099"/>
    <w:rsid w:val="005401DA"/>
    <w:rsid w:val="00540D74"/>
    <w:rsid w:val="005422C9"/>
    <w:rsid w:val="005424DC"/>
    <w:rsid w:val="0054261B"/>
    <w:rsid w:val="0054345B"/>
    <w:rsid w:val="00543F0C"/>
    <w:rsid w:val="0054413A"/>
    <w:rsid w:val="0054468D"/>
    <w:rsid w:val="0054544A"/>
    <w:rsid w:val="0054583C"/>
    <w:rsid w:val="00545FCF"/>
    <w:rsid w:val="0054602F"/>
    <w:rsid w:val="00546879"/>
    <w:rsid w:val="00553633"/>
    <w:rsid w:val="00553AFE"/>
    <w:rsid w:val="00553E8A"/>
    <w:rsid w:val="005564DB"/>
    <w:rsid w:val="00560D30"/>
    <w:rsid w:val="00561128"/>
    <w:rsid w:val="00561944"/>
    <w:rsid w:val="00563832"/>
    <w:rsid w:val="005664C2"/>
    <w:rsid w:val="00566ACC"/>
    <w:rsid w:val="005675CB"/>
    <w:rsid w:val="00567F22"/>
    <w:rsid w:val="005712CC"/>
    <w:rsid w:val="00571B2E"/>
    <w:rsid w:val="005742F2"/>
    <w:rsid w:val="005749BF"/>
    <w:rsid w:val="00575F71"/>
    <w:rsid w:val="00576382"/>
    <w:rsid w:val="005775FD"/>
    <w:rsid w:val="00577D1D"/>
    <w:rsid w:val="00580993"/>
    <w:rsid w:val="005838D0"/>
    <w:rsid w:val="00583F1C"/>
    <w:rsid w:val="00585C33"/>
    <w:rsid w:val="0058618A"/>
    <w:rsid w:val="00586CC3"/>
    <w:rsid w:val="00587023"/>
    <w:rsid w:val="005918DD"/>
    <w:rsid w:val="005920E2"/>
    <w:rsid w:val="00592EEE"/>
    <w:rsid w:val="0059721A"/>
    <w:rsid w:val="00597F23"/>
    <w:rsid w:val="005A04FC"/>
    <w:rsid w:val="005A152D"/>
    <w:rsid w:val="005A19BD"/>
    <w:rsid w:val="005A2590"/>
    <w:rsid w:val="005A2D24"/>
    <w:rsid w:val="005A30FD"/>
    <w:rsid w:val="005A3ADB"/>
    <w:rsid w:val="005A71C4"/>
    <w:rsid w:val="005B0384"/>
    <w:rsid w:val="005B07E5"/>
    <w:rsid w:val="005B0C56"/>
    <w:rsid w:val="005B0D19"/>
    <w:rsid w:val="005B1A6C"/>
    <w:rsid w:val="005B1BC5"/>
    <w:rsid w:val="005B249B"/>
    <w:rsid w:val="005B2D41"/>
    <w:rsid w:val="005B3276"/>
    <w:rsid w:val="005B362E"/>
    <w:rsid w:val="005B5595"/>
    <w:rsid w:val="005B7E9C"/>
    <w:rsid w:val="005C0109"/>
    <w:rsid w:val="005C1363"/>
    <w:rsid w:val="005C31E4"/>
    <w:rsid w:val="005C38DA"/>
    <w:rsid w:val="005C5D67"/>
    <w:rsid w:val="005C7E42"/>
    <w:rsid w:val="005D0ABE"/>
    <w:rsid w:val="005D19DA"/>
    <w:rsid w:val="005D1EF0"/>
    <w:rsid w:val="005D3019"/>
    <w:rsid w:val="005D6F75"/>
    <w:rsid w:val="005E1C2B"/>
    <w:rsid w:val="005E1F09"/>
    <w:rsid w:val="005E256A"/>
    <w:rsid w:val="005E6375"/>
    <w:rsid w:val="005E71C8"/>
    <w:rsid w:val="005F08E3"/>
    <w:rsid w:val="005F2A70"/>
    <w:rsid w:val="005F49EE"/>
    <w:rsid w:val="005F4CC3"/>
    <w:rsid w:val="005F4D2A"/>
    <w:rsid w:val="005F5123"/>
    <w:rsid w:val="005F6990"/>
    <w:rsid w:val="005F78B1"/>
    <w:rsid w:val="006009FE"/>
    <w:rsid w:val="00601E78"/>
    <w:rsid w:val="00601EF7"/>
    <w:rsid w:val="006036C9"/>
    <w:rsid w:val="00605468"/>
    <w:rsid w:val="00605E19"/>
    <w:rsid w:val="00606708"/>
    <w:rsid w:val="006144D0"/>
    <w:rsid w:val="00615FD2"/>
    <w:rsid w:val="00621960"/>
    <w:rsid w:val="00625B63"/>
    <w:rsid w:val="00626153"/>
    <w:rsid w:val="006263F4"/>
    <w:rsid w:val="00626624"/>
    <w:rsid w:val="00626837"/>
    <w:rsid w:val="00627139"/>
    <w:rsid w:val="00627646"/>
    <w:rsid w:val="006316F5"/>
    <w:rsid w:val="006318D1"/>
    <w:rsid w:val="006323BF"/>
    <w:rsid w:val="006333E9"/>
    <w:rsid w:val="00633775"/>
    <w:rsid w:val="00634018"/>
    <w:rsid w:val="006349FF"/>
    <w:rsid w:val="006351E0"/>
    <w:rsid w:val="00641BEC"/>
    <w:rsid w:val="00642F85"/>
    <w:rsid w:val="00643245"/>
    <w:rsid w:val="006438DB"/>
    <w:rsid w:val="00644B34"/>
    <w:rsid w:val="006455A3"/>
    <w:rsid w:val="00646302"/>
    <w:rsid w:val="006469D5"/>
    <w:rsid w:val="00650A58"/>
    <w:rsid w:val="00650E02"/>
    <w:rsid w:val="0065176D"/>
    <w:rsid w:val="006520D8"/>
    <w:rsid w:val="006550DA"/>
    <w:rsid w:val="00656782"/>
    <w:rsid w:val="006606B4"/>
    <w:rsid w:val="00663398"/>
    <w:rsid w:val="00664E0B"/>
    <w:rsid w:val="0066623A"/>
    <w:rsid w:val="00666E99"/>
    <w:rsid w:val="006672D5"/>
    <w:rsid w:val="00670AFA"/>
    <w:rsid w:val="00672170"/>
    <w:rsid w:val="006728A2"/>
    <w:rsid w:val="00674801"/>
    <w:rsid w:val="00674E6E"/>
    <w:rsid w:val="00677C31"/>
    <w:rsid w:val="00680A49"/>
    <w:rsid w:val="00680B0D"/>
    <w:rsid w:val="00682688"/>
    <w:rsid w:val="00684B58"/>
    <w:rsid w:val="006879C5"/>
    <w:rsid w:val="00687CE9"/>
    <w:rsid w:val="00687E64"/>
    <w:rsid w:val="0069055E"/>
    <w:rsid w:val="0069079F"/>
    <w:rsid w:val="00690B43"/>
    <w:rsid w:val="006927F6"/>
    <w:rsid w:val="00692FA9"/>
    <w:rsid w:val="0069441D"/>
    <w:rsid w:val="00697072"/>
    <w:rsid w:val="006A0458"/>
    <w:rsid w:val="006A26F4"/>
    <w:rsid w:val="006A4D9A"/>
    <w:rsid w:val="006B39D4"/>
    <w:rsid w:val="006B48F6"/>
    <w:rsid w:val="006B7822"/>
    <w:rsid w:val="006B7E1E"/>
    <w:rsid w:val="006C0F78"/>
    <w:rsid w:val="006C2B12"/>
    <w:rsid w:val="006C304D"/>
    <w:rsid w:val="006C3420"/>
    <w:rsid w:val="006C38BA"/>
    <w:rsid w:val="006C418B"/>
    <w:rsid w:val="006C48FF"/>
    <w:rsid w:val="006C4937"/>
    <w:rsid w:val="006C528C"/>
    <w:rsid w:val="006C5E13"/>
    <w:rsid w:val="006C60C9"/>
    <w:rsid w:val="006D0054"/>
    <w:rsid w:val="006D0936"/>
    <w:rsid w:val="006D4910"/>
    <w:rsid w:val="006D4E0F"/>
    <w:rsid w:val="006D59EE"/>
    <w:rsid w:val="006D64B9"/>
    <w:rsid w:val="006D67E8"/>
    <w:rsid w:val="006D7A83"/>
    <w:rsid w:val="006E3956"/>
    <w:rsid w:val="006E4343"/>
    <w:rsid w:val="006E7E9B"/>
    <w:rsid w:val="006F0622"/>
    <w:rsid w:val="006F13E1"/>
    <w:rsid w:val="006F3551"/>
    <w:rsid w:val="006F3847"/>
    <w:rsid w:val="006F452D"/>
    <w:rsid w:val="006F4BB9"/>
    <w:rsid w:val="007006B5"/>
    <w:rsid w:val="00705C56"/>
    <w:rsid w:val="007063EF"/>
    <w:rsid w:val="007068B0"/>
    <w:rsid w:val="00707787"/>
    <w:rsid w:val="007079A7"/>
    <w:rsid w:val="007117A5"/>
    <w:rsid w:val="00711A9F"/>
    <w:rsid w:val="00714562"/>
    <w:rsid w:val="00714FBB"/>
    <w:rsid w:val="00717D74"/>
    <w:rsid w:val="0072028F"/>
    <w:rsid w:val="00721F8D"/>
    <w:rsid w:val="007230C9"/>
    <w:rsid w:val="007239A4"/>
    <w:rsid w:val="007240D6"/>
    <w:rsid w:val="0072571C"/>
    <w:rsid w:val="00725891"/>
    <w:rsid w:val="00725C9B"/>
    <w:rsid w:val="0072654B"/>
    <w:rsid w:val="00726A0A"/>
    <w:rsid w:val="00727B8C"/>
    <w:rsid w:val="007301D1"/>
    <w:rsid w:val="00731A5E"/>
    <w:rsid w:val="007325F2"/>
    <w:rsid w:val="00732F90"/>
    <w:rsid w:val="007338F6"/>
    <w:rsid w:val="007345BE"/>
    <w:rsid w:val="00735DD5"/>
    <w:rsid w:val="00736C5F"/>
    <w:rsid w:val="007408E5"/>
    <w:rsid w:val="00741A01"/>
    <w:rsid w:val="007443F9"/>
    <w:rsid w:val="007459BA"/>
    <w:rsid w:val="00747411"/>
    <w:rsid w:val="00747448"/>
    <w:rsid w:val="007504F6"/>
    <w:rsid w:val="0075184C"/>
    <w:rsid w:val="00752500"/>
    <w:rsid w:val="00752B61"/>
    <w:rsid w:val="00752C13"/>
    <w:rsid w:val="00753983"/>
    <w:rsid w:val="00753E4E"/>
    <w:rsid w:val="0075427E"/>
    <w:rsid w:val="007546B4"/>
    <w:rsid w:val="0075502E"/>
    <w:rsid w:val="00755BE2"/>
    <w:rsid w:val="0075655B"/>
    <w:rsid w:val="00756B31"/>
    <w:rsid w:val="00757FE6"/>
    <w:rsid w:val="00760B58"/>
    <w:rsid w:val="00760E82"/>
    <w:rsid w:val="00761032"/>
    <w:rsid w:val="00761311"/>
    <w:rsid w:val="007623BC"/>
    <w:rsid w:val="007628FC"/>
    <w:rsid w:val="00763B0C"/>
    <w:rsid w:val="00764597"/>
    <w:rsid w:val="007646CA"/>
    <w:rsid w:val="00765B40"/>
    <w:rsid w:val="00766978"/>
    <w:rsid w:val="00774172"/>
    <w:rsid w:val="00775047"/>
    <w:rsid w:val="00781304"/>
    <w:rsid w:val="00783D18"/>
    <w:rsid w:val="00783DEF"/>
    <w:rsid w:val="00783F66"/>
    <w:rsid w:val="0078429D"/>
    <w:rsid w:val="00784929"/>
    <w:rsid w:val="00784C3E"/>
    <w:rsid w:val="00785319"/>
    <w:rsid w:val="00785E22"/>
    <w:rsid w:val="00786F7D"/>
    <w:rsid w:val="0079110E"/>
    <w:rsid w:val="0079137D"/>
    <w:rsid w:val="00791488"/>
    <w:rsid w:val="00791C27"/>
    <w:rsid w:val="00792087"/>
    <w:rsid w:val="00792CCB"/>
    <w:rsid w:val="00792D61"/>
    <w:rsid w:val="00793AE1"/>
    <w:rsid w:val="00793CAB"/>
    <w:rsid w:val="0079423F"/>
    <w:rsid w:val="00795F73"/>
    <w:rsid w:val="007971CE"/>
    <w:rsid w:val="007A0667"/>
    <w:rsid w:val="007A1B58"/>
    <w:rsid w:val="007A21BE"/>
    <w:rsid w:val="007A30C7"/>
    <w:rsid w:val="007A3482"/>
    <w:rsid w:val="007A46CB"/>
    <w:rsid w:val="007A586B"/>
    <w:rsid w:val="007A5DB9"/>
    <w:rsid w:val="007A67F3"/>
    <w:rsid w:val="007A7E25"/>
    <w:rsid w:val="007B0AE7"/>
    <w:rsid w:val="007B3BFE"/>
    <w:rsid w:val="007B5B7F"/>
    <w:rsid w:val="007C042A"/>
    <w:rsid w:val="007C091C"/>
    <w:rsid w:val="007C593C"/>
    <w:rsid w:val="007C5FDC"/>
    <w:rsid w:val="007C6090"/>
    <w:rsid w:val="007C701B"/>
    <w:rsid w:val="007C7046"/>
    <w:rsid w:val="007D01C2"/>
    <w:rsid w:val="007D292F"/>
    <w:rsid w:val="007D2F15"/>
    <w:rsid w:val="007D3EBF"/>
    <w:rsid w:val="007D400C"/>
    <w:rsid w:val="007D4FFD"/>
    <w:rsid w:val="007D5713"/>
    <w:rsid w:val="007E1BD5"/>
    <w:rsid w:val="007E2496"/>
    <w:rsid w:val="007E26E8"/>
    <w:rsid w:val="007E2E82"/>
    <w:rsid w:val="007E4E7D"/>
    <w:rsid w:val="007E59A7"/>
    <w:rsid w:val="007E5D5E"/>
    <w:rsid w:val="007F0F78"/>
    <w:rsid w:val="007F1BA7"/>
    <w:rsid w:val="007F1C30"/>
    <w:rsid w:val="007F251E"/>
    <w:rsid w:val="007F2B29"/>
    <w:rsid w:val="007F5068"/>
    <w:rsid w:val="007F5F1A"/>
    <w:rsid w:val="007F5F3F"/>
    <w:rsid w:val="007F69A9"/>
    <w:rsid w:val="007F7333"/>
    <w:rsid w:val="007F76B0"/>
    <w:rsid w:val="007F7B65"/>
    <w:rsid w:val="007F7F08"/>
    <w:rsid w:val="008000D4"/>
    <w:rsid w:val="00800255"/>
    <w:rsid w:val="0080173F"/>
    <w:rsid w:val="008021B2"/>
    <w:rsid w:val="00802B5E"/>
    <w:rsid w:val="00803C02"/>
    <w:rsid w:val="00804268"/>
    <w:rsid w:val="0080451F"/>
    <w:rsid w:val="0080755B"/>
    <w:rsid w:val="00807DF0"/>
    <w:rsid w:val="00810C25"/>
    <w:rsid w:val="00811740"/>
    <w:rsid w:val="008119D8"/>
    <w:rsid w:val="008131C5"/>
    <w:rsid w:val="00820188"/>
    <w:rsid w:val="00820A1A"/>
    <w:rsid w:val="00820C0C"/>
    <w:rsid w:val="00821F53"/>
    <w:rsid w:val="00822865"/>
    <w:rsid w:val="00823DC6"/>
    <w:rsid w:val="00825DCC"/>
    <w:rsid w:val="00826352"/>
    <w:rsid w:val="00827824"/>
    <w:rsid w:val="00827B1A"/>
    <w:rsid w:val="00830650"/>
    <w:rsid w:val="00830C3E"/>
    <w:rsid w:val="00831437"/>
    <w:rsid w:val="0083237F"/>
    <w:rsid w:val="008328D1"/>
    <w:rsid w:val="00834FA0"/>
    <w:rsid w:val="00834FF2"/>
    <w:rsid w:val="0084311D"/>
    <w:rsid w:val="008434F1"/>
    <w:rsid w:val="00843E6B"/>
    <w:rsid w:val="008508F8"/>
    <w:rsid w:val="008523D4"/>
    <w:rsid w:val="008539AE"/>
    <w:rsid w:val="00853B8C"/>
    <w:rsid w:val="0086125E"/>
    <w:rsid w:val="00862B11"/>
    <w:rsid w:val="008641A6"/>
    <w:rsid w:val="00864416"/>
    <w:rsid w:val="008653DE"/>
    <w:rsid w:val="0086611F"/>
    <w:rsid w:val="008662B0"/>
    <w:rsid w:val="00867002"/>
    <w:rsid w:val="00867F9A"/>
    <w:rsid w:val="0087085A"/>
    <w:rsid w:val="00871C81"/>
    <w:rsid w:val="008732A1"/>
    <w:rsid w:val="00874363"/>
    <w:rsid w:val="00874598"/>
    <w:rsid w:val="00875C64"/>
    <w:rsid w:val="00875E19"/>
    <w:rsid w:val="00876140"/>
    <w:rsid w:val="0088225A"/>
    <w:rsid w:val="00883193"/>
    <w:rsid w:val="00887C37"/>
    <w:rsid w:val="00890130"/>
    <w:rsid w:val="00890F21"/>
    <w:rsid w:val="008921C4"/>
    <w:rsid w:val="00892230"/>
    <w:rsid w:val="00895572"/>
    <w:rsid w:val="00896138"/>
    <w:rsid w:val="0089650D"/>
    <w:rsid w:val="00896EB2"/>
    <w:rsid w:val="00897355"/>
    <w:rsid w:val="00897969"/>
    <w:rsid w:val="00897BE1"/>
    <w:rsid w:val="008A012E"/>
    <w:rsid w:val="008A022B"/>
    <w:rsid w:val="008A03A9"/>
    <w:rsid w:val="008A1BE4"/>
    <w:rsid w:val="008A3440"/>
    <w:rsid w:val="008A52B6"/>
    <w:rsid w:val="008A556F"/>
    <w:rsid w:val="008A6305"/>
    <w:rsid w:val="008A7301"/>
    <w:rsid w:val="008B00B4"/>
    <w:rsid w:val="008B0CEC"/>
    <w:rsid w:val="008B30E7"/>
    <w:rsid w:val="008B6E8F"/>
    <w:rsid w:val="008B7156"/>
    <w:rsid w:val="008C034D"/>
    <w:rsid w:val="008C055D"/>
    <w:rsid w:val="008C1095"/>
    <w:rsid w:val="008C2D66"/>
    <w:rsid w:val="008C3385"/>
    <w:rsid w:val="008C79A7"/>
    <w:rsid w:val="008D0126"/>
    <w:rsid w:val="008D0BF7"/>
    <w:rsid w:val="008D12EB"/>
    <w:rsid w:val="008D1C5A"/>
    <w:rsid w:val="008D330F"/>
    <w:rsid w:val="008D33A4"/>
    <w:rsid w:val="008D3C8C"/>
    <w:rsid w:val="008D3E04"/>
    <w:rsid w:val="008D565C"/>
    <w:rsid w:val="008D6F7B"/>
    <w:rsid w:val="008E59AA"/>
    <w:rsid w:val="008E5FC2"/>
    <w:rsid w:val="008E7569"/>
    <w:rsid w:val="008F0D9F"/>
    <w:rsid w:val="008F126C"/>
    <w:rsid w:val="008F14E4"/>
    <w:rsid w:val="008F1E48"/>
    <w:rsid w:val="008F3247"/>
    <w:rsid w:val="008F398D"/>
    <w:rsid w:val="008F4043"/>
    <w:rsid w:val="008F4238"/>
    <w:rsid w:val="008F4CB0"/>
    <w:rsid w:val="008F5594"/>
    <w:rsid w:val="008F5E8B"/>
    <w:rsid w:val="008F63BA"/>
    <w:rsid w:val="00900115"/>
    <w:rsid w:val="00902CE8"/>
    <w:rsid w:val="00904FB4"/>
    <w:rsid w:val="009057C4"/>
    <w:rsid w:val="009074DF"/>
    <w:rsid w:val="00907D12"/>
    <w:rsid w:val="00910D00"/>
    <w:rsid w:val="00911FAE"/>
    <w:rsid w:val="00912857"/>
    <w:rsid w:val="0091309B"/>
    <w:rsid w:val="009142E1"/>
    <w:rsid w:val="00915A6F"/>
    <w:rsid w:val="00917AAF"/>
    <w:rsid w:val="00921052"/>
    <w:rsid w:val="0092183E"/>
    <w:rsid w:val="00923B64"/>
    <w:rsid w:val="009258E5"/>
    <w:rsid w:val="00926548"/>
    <w:rsid w:val="0092741A"/>
    <w:rsid w:val="00930E4B"/>
    <w:rsid w:val="00931B6C"/>
    <w:rsid w:val="00932214"/>
    <w:rsid w:val="00933A7E"/>
    <w:rsid w:val="009359E2"/>
    <w:rsid w:val="0094010C"/>
    <w:rsid w:val="009402E4"/>
    <w:rsid w:val="00940400"/>
    <w:rsid w:val="0094250B"/>
    <w:rsid w:val="0094283C"/>
    <w:rsid w:val="00942948"/>
    <w:rsid w:val="00946589"/>
    <w:rsid w:val="00947284"/>
    <w:rsid w:val="009473A6"/>
    <w:rsid w:val="00947C18"/>
    <w:rsid w:val="00947C90"/>
    <w:rsid w:val="0095033D"/>
    <w:rsid w:val="00950E16"/>
    <w:rsid w:val="00951F57"/>
    <w:rsid w:val="00952388"/>
    <w:rsid w:val="00952A7F"/>
    <w:rsid w:val="00954369"/>
    <w:rsid w:val="0095616A"/>
    <w:rsid w:val="009564FE"/>
    <w:rsid w:val="00956F45"/>
    <w:rsid w:val="00962936"/>
    <w:rsid w:val="00962D25"/>
    <w:rsid w:val="00962EB1"/>
    <w:rsid w:val="00963DB6"/>
    <w:rsid w:val="0096540A"/>
    <w:rsid w:val="00970C90"/>
    <w:rsid w:val="009712EB"/>
    <w:rsid w:val="00973469"/>
    <w:rsid w:val="00974FF2"/>
    <w:rsid w:val="00977941"/>
    <w:rsid w:val="00981A6F"/>
    <w:rsid w:val="00982F2A"/>
    <w:rsid w:val="00983C0A"/>
    <w:rsid w:val="00985CF0"/>
    <w:rsid w:val="00985DB3"/>
    <w:rsid w:val="0098739E"/>
    <w:rsid w:val="00987CEE"/>
    <w:rsid w:val="0099016A"/>
    <w:rsid w:val="00991145"/>
    <w:rsid w:val="00991CBC"/>
    <w:rsid w:val="00993C5B"/>
    <w:rsid w:val="00994B1C"/>
    <w:rsid w:val="00996471"/>
    <w:rsid w:val="00997782"/>
    <w:rsid w:val="009A1D12"/>
    <w:rsid w:val="009A1E00"/>
    <w:rsid w:val="009A1EB8"/>
    <w:rsid w:val="009A2E41"/>
    <w:rsid w:val="009A2F63"/>
    <w:rsid w:val="009A3642"/>
    <w:rsid w:val="009A3A01"/>
    <w:rsid w:val="009A4B11"/>
    <w:rsid w:val="009A4B54"/>
    <w:rsid w:val="009A4F82"/>
    <w:rsid w:val="009A7302"/>
    <w:rsid w:val="009B23DC"/>
    <w:rsid w:val="009B3800"/>
    <w:rsid w:val="009B4ECA"/>
    <w:rsid w:val="009B6214"/>
    <w:rsid w:val="009B64BB"/>
    <w:rsid w:val="009B6EC5"/>
    <w:rsid w:val="009C11CF"/>
    <w:rsid w:val="009C1DA2"/>
    <w:rsid w:val="009C398F"/>
    <w:rsid w:val="009C3A16"/>
    <w:rsid w:val="009C44FD"/>
    <w:rsid w:val="009C64D2"/>
    <w:rsid w:val="009C672B"/>
    <w:rsid w:val="009D003C"/>
    <w:rsid w:val="009D2FCA"/>
    <w:rsid w:val="009D3036"/>
    <w:rsid w:val="009D4636"/>
    <w:rsid w:val="009D4658"/>
    <w:rsid w:val="009D7C62"/>
    <w:rsid w:val="009E0BA9"/>
    <w:rsid w:val="009E0BAB"/>
    <w:rsid w:val="009E1FE3"/>
    <w:rsid w:val="009E4120"/>
    <w:rsid w:val="009E444C"/>
    <w:rsid w:val="009E557D"/>
    <w:rsid w:val="009E5A17"/>
    <w:rsid w:val="009E5F12"/>
    <w:rsid w:val="009F239C"/>
    <w:rsid w:val="009F683B"/>
    <w:rsid w:val="009F6B76"/>
    <w:rsid w:val="00A02EAF"/>
    <w:rsid w:val="00A06D5A"/>
    <w:rsid w:val="00A119BF"/>
    <w:rsid w:val="00A1227D"/>
    <w:rsid w:val="00A12BC1"/>
    <w:rsid w:val="00A13DB9"/>
    <w:rsid w:val="00A1410C"/>
    <w:rsid w:val="00A16786"/>
    <w:rsid w:val="00A23E00"/>
    <w:rsid w:val="00A24B08"/>
    <w:rsid w:val="00A24B10"/>
    <w:rsid w:val="00A2638B"/>
    <w:rsid w:val="00A2671E"/>
    <w:rsid w:val="00A26CA6"/>
    <w:rsid w:val="00A26D6F"/>
    <w:rsid w:val="00A31A8B"/>
    <w:rsid w:val="00A328A0"/>
    <w:rsid w:val="00A32EDA"/>
    <w:rsid w:val="00A33131"/>
    <w:rsid w:val="00A34732"/>
    <w:rsid w:val="00A3578F"/>
    <w:rsid w:val="00A360CF"/>
    <w:rsid w:val="00A36D4E"/>
    <w:rsid w:val="00A40C5C"/>
    <w:rsid w:val="00A416C2"/>
    <w:rsid w:val="00A41AEE"/>
    <w:rsid w:val="00A42651"/>
    <w:rsid w:val="00A44016"/>
    <w:rsid w:val="00A459AE"/>
    <w:rsid w:val="00A4661C"/>
    <w:rsid w:val="00A47CED"/>
    <w:rsid w:val="00A51DEC"/>
    <w:rsid w:val="00A525C3"/>
    <w:rsid w:val="00A534F0"/>
    <w:rsid w:val="00A55EC5"/>
    <w:rsid w:val="00A569E7"/>
    <w:rsid w:val="00A56A6C"/>
    <w:rsid w:val="00A6055F"/>
    <w:rsid w:val="00A62333"/>
    <w:rsid w:val="00A62738"/>
    <w:rsid w:val="00A62BC0"/>
    <w:rsid w:val="00A63604"/>
    <w:rsid w:val="00A65071"/>
    <w:rsid w:val="00A6593D"/>
    <w:rsid w:val="00A66718"/>
    <w:rsid w:val="00A672D7"/>
    <w:rsid w:val="00A707BA"/>
    <w:rsid w:val="00A70EB4"/>
    <w:rsid w:val="00A71584"/>
    <w:rsid w:val="00A73A68"/>
    <w:rsid w:val="00A74195"/>
    <w:rsid w:val="00A74B2E"/>
    <w:rsid w:val="00A75A88"/>
    <w:rsid w:val="00A75D5B"/>
    <w:rsid w:val="00A76BB0"/>
    <w:rsid w:val="00A76DDF"/>
    <w:rsid w:val="00A7721D"/>
    <w:rsid w:val="00A77264"/>
    <w:rsid w:val="00A77C4E"/>
    <w:rsid w:val="00A77E1E"/>
    <w:rsid w:val="00A804C5"/>
    <w:rsid w:val="00A80AFC"/>
    <w:rsid w:val="00A81148"/>
    <w:rsid w:val="00A825B7"/>
    <w:rsid w:val="00A82606"/>
    <w:rsid w:val="00A82FDF"/>
    <w:rsid w:val="00A833B7"/>
    <w:rsid w:val="00A83D46"/>
    <w:rsid w:val="00A83E2A"/>
    <w:rsid w:val="00A84344"/>
    <w:rsid w:val="00A84C32"/>
    <w:rsid w:val="00A877B0"/>
    <w:rsid w:val="00A879BD"/>
    <w:rsid w:val="00A90B63"/>
    <w:rsid w:val="00A924A8"/>
    <w:rsid w:val="00A93F54"/>
    <w:rsid w:val="00A9428F"/>
    <w:rsid w:val="00A962BA"/>
    <w:rsid w:val="00A96815"/>
    <w:rsid w:val="00A9735F"/>
    <w:rsid w:val="00AA05BC"/>
    <w:rsid w:val="00AA191B"/>
    <w:rsid w:val="00AA27C6"/>
    <w:rsid w:val="00AA3263"/>
    <w:rsid w:val="00AA4279"/>
    <w:rsid w:val="00AA43B8"/>
    <w:rsid w:val="00AA52EB"/>
    <w:rsid w:val="00AA536E"/>
    <w:rsid w:val="00AA736A"/>
    <w:rsid w:val="00AA7849"/>
    <w:rsid w:val="00AB09FB"/>
    <w:rsid w:val="00AB0FF1"/>
    <w:rsid w:val="00AB1E5E"/>
    <w:rsid w:val="00AB4738"/>
    <w:rsid w:val="00AB4D91"/>
    <w:rsid w:val="00AB4DBC"/>
    <w:rsid w:val="00AB5BD0"/>
    <w:rsid w:val="00AB5E4D"/>
    <w:rsid w:val="00AB6B52"/>
    <w:rsid w:val="00AB7DEA"/>
    <w:rsid w:val="00AC3664"/>
    <w:rsid w:val="00AC429E"/>
    <w:rsid w:val="00AC55F6"/>
    <w:rsid w:val="00AC6BFF"/>
    <w:rsid w:val="00AD2C10"/>
    <w:rsid w:val="00AD2CD9"/>
    <w:rsid w:val="00AD46AF"/>
    <w:rsid w:val="00AD49DA"/>
    <w:rsid w:val="00AD53F5"/>
    <w:rsid w:val="00AD6BC1"/>
    <w:rsid w:val="00AD708B"/>
    <w:rsid w:val="00AE0682"/>
    <w:rsid w:val="00AE0997"/>
    <w:rsid w:val="00AE251A"/>
    <w:rsid w:val="00AE25F2"/>
    <w:rsid w:val="00AE5877"/>
    <w:rsid w:val="00AE62F2"/>
    <w:rsid w:val="00AF00BD"/>
    <w:rsid w:val="00AF1B57"/>
    <w:rsid w:val="00AF1DA3"/>
    <w:rsid w:val="00AF281C"/>
    <w:rsid w:val="00AF34C2"/>
    <w:rsid w:val="00AF45E5"/>
    <w:rsid w:val="00AF51FE"/>
    <w:rsid w:val="00B0168C"/>
    <w:rsid w:val="00B03967"/>
    <w:rsid w:val="00B043A9"/>
    <w:rsid w:val="00B044E8"/>
    <w:rsid w:val="00B05C27"/>
    <w:rsid w:val="00B05C98"/>
    <w:rsid w:val="00B10791"/>
    <w:rsid w:val="00B10C96"/>
    <w:rsid w:val="00B1158B"/>
    <w:rsid w:val="00B1318C"/>
    <w:rsid w:val="00B134C8"/>
    <w:rsid w:val="00B13F7E"/>
    <w:rsid w:val="00B1540F"/>
    <w:rsid w:val="00B15556"/>
    <w:rsid w:val="00B17E7C"/>
    <w:rsid w:val="00B20AA9"/>
    <w:rsid w:val="00B210BD"/>
    <w:rsid w:val="00B21998"/>
    <w:rsid w:val="00B24AFE"/>
    <w:rsid w:val="00B25057"/>
    <w:rsid w:val="00B274E8"/>
    <w:rsid w:val="00B32860"/>
    <w:rsid w:val="00B33C8E"/>
    <w:rsid w:val="00B365F4"/>
    <w:rsid w:val="00B36CC4"/>
    <w:rsid w:val="00B373F9"/>
    <w:rsid w:val="00B4105D"/>
    <w:rsid w:val="00B41652"/>
    <w:rsid w:val="00B42C27"/>
    <w:rsid w:val="00B42CAE"/>
    <w:rsid w:val="00B44A58"/>
    <w:rsid w:val="00B44E44"/>
    <w:rsid w:val="00B45292"/>
    <w:rsid w:val="00B455C0"/>
    <w:rsid w:val="00B52D61"/>
    <w:rsid w:val="00B52D98"/>
    <w:rsid w:val="00B53B61"/>
    <w:rsid w:val="00B55FC5"/>
    <w:rsid w:val="00B6021C"/>
    <w:rsid w:val="00B62631"/>
    <w:rsid w:val="00B62870"/>
    <w:rsid w:val="00B64830"/>
    <w:rsid w:val="00B6753D"/>
    <w:rsid w:val="00B70F1A"/>
    <w:rsid w:val="00B7172F"/>
    <w:rsid w:val="00B726A0"/>
    <w:rsid w:val="00B73277"/>
    <w:rsid w:val="00B73BEA"/>
    <w:rsid w:val="00B76395"/>
    <w:rsid w:val="00B8182E"/>
    <w:rsid w:val="00B82165"/>
    <w:rsid w:val="00B824B4"/>
    <w:rsid w:val="00B826B8"/>
    <w:rsid w:val="00B83713"/>
    <w:rsid w:val="00B84DA9"/>
    <w:rsid w:val="00B87561"/>
    <w:rsid w:val="00B87CDD"/>
    <w:rsid w:val="00B90C03"/>
    <w:rsid w:val="00B92B9D"/>
    <w:rsid w:val="00B93938"/>
    <w:rsid w:val="00B943ED"/>
    <w:rsid w:val="00B96795"/>
    <w:rsid w:val="00B969EF"/>
    <w:rsid w:val="00B971FE"/>
    <w:rsid w:val="00BA36FA"/>
    <w:rsid w:val="00BA38A0"/>
    <w:rsid w:val="00BA3B68"/>
    <w:rsid w:val="00BA4362"/>
    <w:rsid w:val="00BA55A8"/>
    <w:rsid w:val="00BA5651"/>
    <w:rsid w:val="00BA5D07"/>
    <w:rsid w:val="00BA606D"/>
    <w:rsid w:val="00BB127A"/>
    <w:rsid w:val="00BB1290"/>
    <w:rsid w:val="00BB12A2"/>
    <w:rsid w:val="00BB297A"/>
    <w:rsid w:val="00BB4121"/>
    <w:rsid w:val="00BB4D84"/>
    <w:rsid w:val="00BB6199"/>
    <w:rsid w:val="00BB7D4A"/>
    <w:rsid w:val="00BC0CC1"/>
    <w:rsid w:val="00BC286A"/>
    <w:rsid w:val="00BC337F"/>
    <w:rsid w:val="00BC5EAD"/>
    <w:rsid w:val="00BC5F41"/>
    <w:rsid w:val="00BC74B6"/>
    <w:rsid w:val="00BD0D53"/>
    <w:rsid w:val="00BD28D1"/>
    <w:rsid w:val="00BD56D0"/>
    <w:rsid w:val="00BD6960"/>
    <w:rsid w:val="00BD786F"/>
    <w:rsid w:val="00BE0CA7"/>
    <w:rsid w:val="00BE10ED"/>
    <w:rsid w:val="00BE207C"/>
    <w:rsid w:val="00BE3351"/>
    <w:rsid w:val="00BE3870"/>
    <w:rsid w:val="00BE7628"/>
    <w:rsid w:val="00BE79FD"/>
    <w:rsid w:val="00BF02B4"/>
    <w:rsid w:val="00BF2252"/>
    <w:rsid w:val="00BF43E6"/>
    <w:rsid w:val="00BF4B0E"/>
    <w:rsid w:val="00BF6C99"/>
    <w:rsid w:val="00C01A3D"/>
    <w:rsid w:val="00C032E2"/>
    <w:rsid w:val="00C058E1"/>
    <w:rsid w:val="00C06264"/>
    <w:rsid w:val="00C07266"/>
    <w:rsid w:val="00C073E3"/>
    <w:rsid w:val="00C10BBB"/>
    <w:rsid w:val="00C11228"/>
    <w:rsid w:val="00C11451"/>
    <w:rsid w:val="00C11C68"/>
    <w:rsid w:val="00C11C9D"/>
    <w:rsid w:val="00C1237F"/>
    <w:rsid w:val="00C129D4"/>
    <w:rsid w:val="00C12B43"/>
    <w:rsid w:val="00C137DC"/>
    <w:rsid w:val="00C14406"/>
    <w:rsid w:val="00C145E6"/>
    <w:rsid w:val="00C15F10"/>
    <w:rsid w:val="00C2028F"/>
    <w:rsid w:val="00C22D22"/>
    <w:rsid w:val="00C30B07"/>
    <w:rsid w:val="00C33325"/>
    <w:rsid w:val="00C348F6"/>
    <w:rsid w:val="00C359E9"/>
    <w:rsid w:val="00C423BB"/>
    <w:rsid w:val="00C4765B"/>
    <w:rsid w:val="00C5035E"/>
    <w:rsid w:val="00C50881"/>
    <w:rsid w:val="00C55043"/>
    <w:rsid w:val="00C56618"/>
    <w:rsid w:val="00C56E8A"/>
    <w:rsid w:val="00C623FE"/>
    <w:rsid w:val="00C627A6"/>
    <w:rsid w:val="00C62D0F"/>
    <w:rsid w:val="00C63CD3"/>
    <w:rsid w:val="00C64BD4"/>
    <w:rsid w:val="00C6572E"/>
    <w:rsid w:val="00C66639"/>
    <w:rsid w:val="00C67451"/>
    <w:rsid w:val="00C67D65"/>
    <w:rsid w:val="00C71EEE"/>
    <w:rsid w:val="00C72AA4"/>
    <w:rsid w:val="00C73A77"/>
    <w:rsid w:val="00C74680"/>
    <w:rsid w:val="00C7518D"/>
    <w:rsid w:val="00C77462"/>
    <w:rsid w:val="00C77DB6"/>
    <w:rsid w:val="00C81796"/>
    <w:rsid w:val="00C8241D"/>
    <w:rsid w:val="00C84238"/>
    <w:rsid w:val="00C847E1"/>
    <w:rsid w:val="00C85319"/>
    <w:rsid w:val="00C858F1"/>
    <w:rsid w:val="00C8748B"/>
    <w:rsid w:val="00C87A6A"/>
    <w:rsid w:val="00C90295"/>
    <w:rsid w:val="00C9043E"/>
    <w:rsid w:val="00C911D0"/>
    <w:rsid w:val="00C91311"/>
    <w:rsid w:val="00C9135B"/>
    <w:rsid w:val="00C93570"/>
    <w:rsid w:val="00C94F64"/>
    <w:rsid w:val="00C9554B"/>
    <w:rsid w:val="00C95B25"/>
    <w:rsid w:val="00C97C99"/>
    <w:rsid w:val="00CA1A4D"/>
    <w:rsid w:val="00CA1CB0"/>
    <w:rsid w:val="00CA2D8C"/>
    <w:rsid w:val="00CA3971"/>
    <w:rsid w:val="00CA43A1"/>
    <w:rsid w:val="00CA4557"/>
    <w:rsid w:val="00CA4EC6"/>
    <w:rsid w:val="00CA5A4F"/>
    <w:rsid w:val="00CA5DA4"/>
    <w:rsid w:val="00CA6384"/>
    <w:rsid w:val="00CA6DC8"/>
    <w:rsid w:val="00CA7153"/>
    <w:rsid w:val="00CA73DD"/>
    <w:rsid w:val="00CB04D2"/>
    <w:rsid w:val="00CB1786"/>
    <w:rsid w:val="00CB1BBF"/>
    <w:rsid w:val="00CB3A6C"/>
    <w:rsid w:val="00CB4004"/>
    <w:rsid w:val="00CB539C"/>
    <w:rsid w:val="00CB583E"/>
    <w:rsid w:val="00CC01F6"/>
    <w:rsid w:val="00CC0759"/>
    <w:rsid w:val="00CC1038"/>
    <w:rsid w:val="00CC4633"/>
    <w:rsid w:val="00CC5E86"/>
    <w:rsid w:val="00CC62AA"/>
    <w:rsid w:val="00CC6FD4"/>
    <w:rsid w:val="00CC719F"/>
    <w:rsid w:val="00CD01E6"/>
    <w:rsid w:val="00CD2403"/>
    <w:rsid w:val="00CD2FC1"/>
    <w:rsid w:val="00CD3581"/>
    <w:rsid w:val="00CD4FD5"/>
    <w:rsid w:val="00CD53CF"/>
    <w:rsid w:val="00CD6822"/>
    <w:rsid w:val="00CE10AA"/>
    <w:rsid w:val="00CE12DB"/>
    <w:rsid w:val="00CE26E2"/>
    <w:rsid w:val="00CE3990"/>
    <w:rsid w:val="00CE4959"/>
    <w:rsid w:val="00CE5798"/>
    <w:rsid w:val="00CE6BBD"/>
    <w:rsid w:val="00CE71EA"/>
    <w:rsid w:val="00CF06C5"/>
    <w:rsid w:val="00CF2803"/>
    <w:rsid w:val="00CF4562"/>
    <w:rsid w:val="00CF47ED"/>
    <w:rsid w:val="00CF4F39"/>
    <w:rsid w:val="00D02B80"/>
    <w:rsid w:val="00D06334"/>
    <w:rsid w:val="00D06EFA"/>
    <w:rsid w:val="00D076ED"/>
    <w:rsid w:val="00D1027F"/>
    <w:rsid w:val="00D109DF"/>
    <w:rsid w:val="00D10F1B"/>
    <w:rsid w:val="00D110A0"/>
    <w:rsid w:val="00D111F2"/>
    <w:rsid w:val="00D126AB"/>
    <w:rsid w:val="00D12E4B"/>
    <w:rsid w:val="00D14423"/>
    <w:rsid w:val="00D21642"/>
    <w:rsid w:val="00D21F01"/>
    <w:rsid w:val="00D23637"/>
    <w:rsid w:val="00D24128"/>
    <w:rsid w:val="00D275F1"/>
    <w:rsid w:val="00D30310"/>
    <w:rsid w:val="00D32016"/>
    <w:rsid w:val="00D329CC"/>
    <w:rsid w:val="00D33267"/>
    <w:rsid w:val="00D35C3D"/>
    <w:rsid w:val="00D37A25"/>
    <w:rsid w:val="00D42AD3"/>
    <w:rsid w:val="00D43516"/>
    <w:rsid w:val="00D44227"/>
    <w:rsid w:val="00D502B1"/>
    <w:rsid w:val="00D5122D"/>
    <w:rsid w:val="00D5281B"/>
    <w:rsid w:val="00D52BBD"/>
    <w:rsid w:val="00D52C9D"/>
    <w:rsid w:val="00D5300D"/>
    <w:rsid w:val="00D5420F"/>
    <w:rsid w:val="00D5471A"/>
    <w:rsid w:val="00D55A33"/>
    <w:rsid w:val="00D5776F"/>
    <w:rsid w:val="00D60D6E"/>
    <w:rsid w:val="00D6341F"/>
    <w:rsid w:val="00D63F1C"/>
    <w:rsid w:val="00D64A60"/>
    <w:rsid w:val="00D6573E"/>
    <w:rsid w:val="00D67BE0"/>
    <w:rsid w:val="00D71196"/>
    <w:rsid w:val="00D716CD"/>
    <w:rsid w:val="00D75000"/>
    <w:rsid w:val="00D80D18"/>
    <w:rsid w:val="00D815B6"/>
    <w:rsid w:val="00D82DDE"/>
    <w:rsid w:val="00D87042"/>
    <w:rsid w:val="00D87FFB"/>
    <w:rsid w:val="00D90606"/>
    <w:rsid w:val="00D91522"/>
    <w:rsid w:val="00D930A0"/>
    <w:rsid w:val="00D94475"/>
    <w:rsid w:val="00D9479F"/>
    <w:rsid w:val="00D94CFB"/>
    <w:rsid w:val="00D962C2"/>
    <w:rsid w:val="00D963C7"/>
    <w:rsid w:val="00D96406"/>
    <w:rsid w:val="00DA0350"/>
    <w:rsid w:val="00DA1660"/>
    <w:rsid w:val="00DA18A2"/>
    <w:rsid w:val="00DA21F3"/>
    <w:rsid w:val="00DA2347"/>
    <w:rsid w:val="00DA2B6C"/>
    <w:rsid w:val="00DA2B77"/>
    <w:rsid w:val="00DA3A6E"/>
    <w:rsid w:val="00DA51E4"/>
    <w:rsid w:val="00DA5AAC"/>
    <w:rsid w:val="00DA5FD6"/>
    <w:rsid w:val="00DA61F2"/>
    <w:rsid w:val="00DA679D"/>
    <w:rsid w:val="00DA7A18"/>
    <w:rsid w:val="00DB0282"/>
    <w:rsid w:val="00DB0DDD"/>
    <w:rsid w:val="00DB1C44"/>
    <w:rsid w:val="00DB1D36"/>
    <w:rsid w:val="00DB3675"/>
    <w:rsid w:val="00DB493E"/>
    <w:rsid w:val="00DB59EA"/>
    <w:rsid w:val="00DB6C54"/>
    <w:rsid w:val="00DC3551"/>
    <w:rsid w:val="00DC3DBA"/>
    <w:rsid w:val="00DC646E"/>
    <w:rsid w:val="00DC7066"/>
    <w:rsid w:val="00DC785A"/>
    <w:rsid w:val="00DD02A7"/>
    <w:rsid w:val="00DD0AF8"/>
    <w:rsid w:val="00DD11AC"/>
    <w:rsid w:val="00DD1E55"/>
    <w:rsid w:val="00DD227E"/>
    <w:rsid w:val="00DD22DA"/>
    <w:rsid w:val="00DD304D"/>
    <w:rsid w:val="00DD5F75"/>
    <w:rsid w:val="00DE16F2"/>
    <w:rsid w:val="00DE1D43"/>
    <w:rsid w:val="00DE24BF"/>
    <w:rsid w:val="00DE2AD7"/>
    <w:rsid w:val="00DE3D57"/>
    <w:rsid w:val="00DE4911"/>
    <w:rsid w:val="00DE5319"/>
    <w:rsid w:val="00DE5812"/>
    <w:rsid w:val="00DE6048"/>
    <w:rsid w:val="00DE798C"/>
    <w:rsid w:val="00DE7DD9"/>
    <w:rsid w:val="00DF001C"/>
    <w:rsid w:val="00DF075F"/>
    <w:rsid w:val="00DF4636"/>
    <w:rsid w:val="00DF66A9"/>
    <w:rsid w:val="00DF7D09"/>
    <w:rsid w:val="00DF7D76"/>
    <w:rsid w:val="00E0019F"/>
    <w:rsid w:val="00E00E79"/>
    <w:rsid w:val="00E01D43"/>
    <w:rsid w:val="00E022B8"/>
    <w:rsid w:val="00E0294A"/>
    <w:rsid w:val="00E0366E"/>
    <w:rsid w:val="00E03D1D"/>
    <w:rsid w:val="00E04BA8"/>
    <w:rsid w:val="00E05277"/>
    <w:rsid w:val="00E06B03"/>
    <w:rsid w:val="00E11A22"/>
    <w:rsid w:val="00E11E1F"/>
    <w:rsid w:val="00E12BB5"/>
    <w:rsid w:val="00E12C1B"/>
    <w:rsid w:val="00E12F5D"/>
    <w:rsid w:val="00E1612D"/>
    <w:rsid w:val="00E16E9D"/>
    <w:rsid w:val="00E16EC0"/>
    <w:rsid w:val="00E23144"/>
    <w:rsid w:val="00E24300"/>
    <w:rsid w:val="00E26C16"/>
    <w:rsid w:val="00E31028"/>
    <w:rsid w:val="00E32501"/>
    <w:rsid w:val="00E32A0C"/>
    <w:rsid w:val="00E33C3A"/>
    <w:rsid w:val="00E341A2"/>
    <w:rsid w:val="00E3427F"/>
    <w:rsid w:val="00E34A73"/>
    <w:rsid w:val="00E40374"/>
    <w:rsid w:val="00E41006"/>
    <w:rsid w:val="00E41E6E"/>
    <w:rsid w:val="00E422A1"/>
    <w:rsid w:val="00E422F5"/>
    <w:rsid w:val="00E43B56"/>
    <w:rsid w:val="00E443D3"/>
    <w:rsid w:val="00E44795"/>
    <w:rsid w:val="00E448B1"/>
    <w:rsid w:val="00E465D8"/>
    <w:rsid w:val="00E467FA"/>
    <w:rsid w:val="00E50301"/>
    <w:rsid w:val="00E510D0"/>
    <w:rsid w:val="00E5467C"/>
    <w:rsid w:val="00E55CF9"/>
    <w:rsid w:val="00E568EC"/>
    <w:rsid w:val="00E5716D"/>
    <w:rsid w:val="00E57AD9"/>
    <w:rsid w:val="00E57CBD"/>
    <w:rsid w:val="00E6053E"/>
    <w:rsid w:val="00E60728"/>
    <w:rsid w:val="00E6143F"/>
    <w:rsid w:val="00E61E33"/>
    <w:rsid w:val="00E61F04"/>
    <w:rsid w:val="00E61F40"/>
    <w:rsid w:val="00E6311E"/>
    <w:rsid w:val="00E641BF"/>
    <w:rsid w:val="00E64384"/>
    <w:rsid w:val="00E64653"/>
    <w:rsid w:val="00E64C22"/>
    <w:rsid w:val="00E66C97"/>
    <w:rsid w:val="00E676EF"/>
    <w:rsid w:val="00E6781A"/>
    <w:rsid w:val="00E702C9"/>
    <w:rsid w:val="00E708E5"/>
    <w:rsid w:val="00E709F0"/>
    <w:rsid w:val="00E71AB5"/>
    <w:rsid w:val="00E720E3"/>
    <w:rsid w:val="00E721E7"/>
    <w:rsid w:val="00E77535"/>
    <w:rsid w:val="00E81ECD"/>
    <w:rsid w:val="00E82F75"/>
    <w:rsid w:val="00E8317E"/>
    <w:rsid w:val="00E843D4"/>
    <w:rsid w:val="00E867FA"/>
    <w:rsid w:val="00E873BE"/>
    <w:rsid w:val="00E9104B"/>
    <w:rsid w:val="00E95451"/>
    <w:rsid w:val="00E958DC"/>
    <w:rsid w:val="00EA3FB7"/>
    <w:rsid w:val="00EA4065"/>
    <w:rsid w:val="00EA4400"/>
    <w:rsid w:val="00EA46B7"/>
    <w:rsid w:val="00EA4BC9"/>
    <w:rsid w:val="00EA4CFF"/>
    <w:rsid w:val="00EA5E72"/>
    <w:rsid w:val="00EA757A"/>
    <w:rsid w:val="00EA7AE4"/>
    <w:rsid w:val="00EB082C"/>
    <w:rsid w:val="00EB10FF"/>
    <w:rsid w:val="00EB1261"/>
    <w:rsid w:val="00EB195F"/>
    <w:rsid w:val="00EB3551"/>
    <w:rsid w:val="00EB508B"/>
    <w:rsid w:val="00EB5246"/>
    <w:rsid w:val="00EB64C0"/>
    <w:rsid w:val="00EB6E02"/>
    <w:rsid w:val="00EC149A"/>
    <w:rsid w:val="00EC20A8"/>
    <w:rsid w:val="00EC23C6"/>
    <w:rsid w:val="00EC3E23"/>
    <w:rsid w:val="00EC5B61"/>
    <w:rsid w:val="00EC6092"/>
    <w:rsid w:val="00EC720F"/>
    <w:rsid w:val="00ED0C61"/>
    <w:rsid w:val="00ED1E36"/>
    <w:rsid w:val="00ED2044"/>
    <w:rsid w:val="00ED38C8"/>
    <w:rsid w:val="00ED431A"/>
    <w:rsid w:val="00ED5153"/>
    <w:rsid w:val="00ED6682"/>
    <w:rsid w:val="00ED76CF"/>
    <w:rsid w:val="00EE10F9"/>
    <w:rsid w:val="00EE1EC6"/>
    <w:rsid w:val="00EE1FC3"/>
    <w:rsid w:val="00EE301A"/>
    <w:rsid w:val="00EE309E"/>
    <w:rsid w:val="00EE3BD0"/>
    <w:rsid w:val="00EE5418"/>
    <w:rsid w:val="00EE7677"/>
    <w:rsid w:val="00EE7866"/>
    <w:rsid w:val="00EF2A85"/>
    <w:rsid w:val="00EF30C7"/>
    <w:rsid w:val="00EF4204"/>
    <w:rsid w:val="00EF5977"/>
    <w:rsid w:val="00EF7678"/>
    <w:rsid w:val="00EF77CA"/>
    <w:rsid w:val="00F00AA3"/>
    <w:rsid w:val="00F00D56"/>
    <w:rsid w:val="00F020B9"/>
    <w:rsid w:val="00F020C8"/>
    <w:rsid w:val="00F023BD"/>
    <w:rsid w:val="00F02EFA"/>
    <w:rsid w:val="00F03221"/>
    <w:rsid w:val="00F033B0"/>
    <w:rsid w:val="00F05D92"/>
    <w:rsid w:val="00F06C44"/>
    <w:rsid w:val="00F10AE7"/>
    <w:rsid w:val="00F10CB7"/>
    <w:rsid w:val="00F10E83"/>
    <w:rsid w:val="00F11549"/>
    <w:rsid w:val="00F12180"/>
    <w:rsid w:val="00F12414"/>
    <w:rsid w:val="00F143C1"/>
    <w:rsid w:val="00F14985"/>
    <w:rsid w:val="00F15200"/>
    <w:rsid w:val="00F165E9"/>
    <w:rsid w:val="00F168C0"/>
    <w:rsid w:val="00F17365"/>
    <w:rsid w:val="00F175E7"/>
    <w:rsid w:val="00F17AF0"/>
    <w:rsid w:val="00F17E6F"/>
    <w:rsid w:val="00F20297"/>
    <w:rsid w:val="00F2057A"/>
    <w:rsid w:val="00F20AA7"/>
    <w:rsid w:val="00F20AAD"/>
    <w:rsid w:val="00F20B0F"/>
    <w:rsid w:val="00F2133B"/>
    <w:rsid w:val="00F24635"/>
    <w:rsid w:val="00F3085F"/>
    <w:rsid w:val="00F313BD"/>
    <w:rsid w:val="00F31910"/>
    <w:rsid w:val="00F32415"/>
    <w:rsid w:val="00F32CF0"/>
    <w:rsid w:val="00F3405C"/>
    <w:rsid w:val="00F35597"/>
    <w:rsid w:val="00F36762"/>
    <w:rsid w:val="00F37593"/>
    <w:rsid w:val="00F44CB5"/>
    <w:rsid w:val="00F45698"/>
    <w:rsid w:val="00F45F3D"/>
    <w:rsid w:val="00F4606C"/>
    <w:rsid w:val="00F47D12"/>
    <w:rsid w:val="00F51AB4"/>
    <w:rsid w:val="00F52237"/>
    <w:rsid w:val="00F55D2C"/>
    <w:rsid w:val="00F5646F"/>
    <w:rsid w:val="00F565DF"/>
    <w:rsid w:val="00F56F87"/>
    <w:rsid w:val="00F574F9"/>
    <w:rsid w:val="00F576A9"/>
    <w:rsid w:val="00F6076C"/>
    <w:rsid w:val="00F60AB5"/>
    <w:rsid w:val="00F61A73"/>
    <w:rsid w:val="00F6308D"/>
    <w:rsid w:val="00F64B01"/>
    <w:rsid w:val="00F67032"/>
    <w:rsid w:val="00F67709"/>
    <w:rsid w:val="00F71A41"/>
    <w:rsid w:val="00F71DEA"/>
    <w:rsid w:val="00F73632"/>
    <w:rsid w:val="00F740C7"/>
    <w:rsid w:val="00F76BA5"/>
    <w:rsid w:val="00F813CB"/>
    <w:rsid w:val="00F82804"/>
    <w:rsid w:val="00F82C58"/>
    <w:rsid w:val="00F847C4"/>
    <w:rsid w:val="00F8488C"/>
    <w:rsid w:val="00F84E77"/>
    <w:rsid w:val="00F8640E"/>
    <w:rsid w:val="00F91368"/>
    <w:rsid w:val="00F930CE"/>
    <w:rsid w:val="00F942CC"/>
    <w:rsid w:val="00F94D44"/>
    <w:rsid w:val="00F96525"/>
    <w:rsid w:val="00F97D88"/>
    <w:rsid w:val="00FA28B7"/>
    <w:rsid w:val="00FA2D87"/>
    <w:rsid w:val="00FA3A4F"/>
    <w:rsid w:val="00FA3FDE"/>
    <w:rsid w:val="00FA443F"/>
    <w:rsid w:val="00FA463D"/>
    <w:rsid w:val="00FA5961"/>
    <w:rsid w:val="00FB0D80"/>
    <w:rsid w:val="00FB24D8"/>
    <w:rsid w:val="00FB4DFA"/>
    <w:rsid w:val="00FB52BE"/>
    <w:rsid w:val="00FB56FE"/>
    <w:rsid w:val="00FB5E0A"/>
    <w:rsid w:val="00FB767C"/>
    <w:rsid w:val="00FC150A"/>
    <w:rsid w:val="00FC1B7B"/>
    <w:rsid w:val="00FC22A0"/>
    <w:rsid w:val="00FC25D9"/>
    <w:rsid w:val="00FC4BC0"/>
    <w:rsid w:val="00FC5E13"/>
    <w:rsid w:val="00FC5F56"/>
    <w:rsid w:val="00FC6FBF"/>
    <w:rsid w:val="00FC72E1"/>
    <w:rsid w:val="00FC7446"/>
    <w:rsid w:val="00FC76CB"/>
    <w:rsid w:val="00FD029D"/>
    <w:rsid w:val="00FD35EC"/>
    <w:rsid w:val="00FD4233"/>
    <w:rsid w:val="00FD426F"/>
    <w:rsid w:val="00FD450F"/>
    <w:rsid w:val="00FD5460"/>
    <w:rsid w:val="00FD7146"/>
    <w:rsid w:val="00FD7316"/>
    <w:rsid w:val="00FD7994"/>
    <w:rsid w:val="00FE0C67"/>
    <w:rsid w:val="00FE1763"/>
    <w:rsid w:val="00FE1A3F"/>
    <w:rsid w:val="00FE2481"/>
    <w:rsid w:val="00FE4403"/>
    <w:rsid w:val="00FE61B1"/>
    <w:rsid w:val="00FE6F86"/>
    <w:rsid w:val="00FE7283"/>
    <w:rsid w:val="00FE7398"/>
    <w:rsid w:val="00FF0DE8"/>
    <w:rsid w:val="00FF0E08"/>
    <w:rsid w:val="00FF2149"/>
    <w:rsid w:val="00FF5A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6E4E86"/>
  <w15:docId w15:val="{82685720-FC92-48B4-820A-AD5BF90BA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NeueLT Std" w:eastAsiaTheme="minorHAnsi" w:hAnsi="HelveticaNeueLT Std" w:cstheme="minorBidi"/>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FF2"/>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21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212B"/>
  </w:style>
  <w:style w:type="paragraph" w:styleId="Piedepgina">
    <w:name w:val="footer"/>
    <w:basedOn w:val="Normal"/>
    <w:link w:val="PiedepginaCar"/>
    <w:uiPriority w:val="99"/>
    <w:unhideWhenUsed/>
    <w:rsid w:val="003321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212B"/>
  </w:style>
  <w:style w:type="paragraph" w:styleId="Prrafodelista">
    <w:name w:val="List Paragraph"/>
    <w:basedOn w:val="Normal"/>
    <w:uiPriority w:val="34"/>
    <w:qFormat/>
    <w:rsid w:val="00834FF2"/>
    <w:pPr>
      <w:spacing w:after="0" w:line="240" w:lineRule="auto"/>
      <w:ind w:left="720"/>
      <w:contextualSpacing/>
    </w:pPr>
    <w:rPr>
      <w:rFonts w:ascii="Times New Roman" w:eastAsia="Times New Roman" w:hAnsi="Times New Roman" w:cs="Times New Roman"/>
      <w:sz w:val="24"/>
      <w:szCs w:val="24"/>
      <w:lang w:eastAsia="es-MX"/>
    </w:rPr>
  </w:style>
  <w:style w:type="paragraph" w:customStyle="1" w:styleId="Texto">
    <w:name w:val="Texto"/>
    <w:basedOn w:val="Normal"/>
    <w:link w:val="TextoCar"/>
    <w:qFormat/>
    <w:rsid w:val="00834FF2"/>
    <w:pPr>
      <w:spacing w:after="101" w:line="216" w:lineRule="exact"/>
      <w:ind w:firstLine="288"/>
      <w:jc w:val="both"/>
    </w:pPr>
    <w:rPr>
      <w:rFonts w:ascii="Arial" w:eastAsia="Times New Roman" w:hAnsi="Arial" w:cs="Arial"/>
      <w:sz w:val="18"/>
      <w:lang w:val="es-ES" w:eastAsia="es-ES"/>
    </w:rPr>
  </w:style>
  <w:style w:type="character" w:customStyle="1" w:styleId="TextoCar">
    <w:name w:val="Texto Car"/>
    <w:link w:val="Texto"/>
    <w:locked/>
    <w:rsid w:val="00834FF2"/>
    <w:rPr>
      <w:rFonts w:ascii="Arial" w:eastAsia="Times New Roman" w:hAnsi="Arial" w:cs="Arial"/>
      <w:sz w:val="18"/>
      <w:szCs w:val="20"/>
      <w:lang w:val="es-ES" w:eastAsia="es-ES"/>
    </w:rPr>
  </w:style>
  <w:style w:type="character" w:styleId="Hipervnculo">
    <w:name w:val="Hyperlink"/>
    <w:uiPriority w:val="99"/>
    <w:unhideWhenUsed/>
    <w:rsid w:val="00834FF2"/>
    <w:rPr>
      <w:color w:val="0000FF"/>
      <w:u w:val="single"/>
    </w:rPr>
  </w:style>
  <w:style w:type="table" w:styleId="Tablaconcuadrcula">
    <w:name w:val="Table Grid"/>
    <w:basedOn w:val="Tablanormal"/>
    <w:rsid w:val="00834FF2"/>
    <w:pPr>
      <w:spacing w:after="0" w:line="240" w:lineRule="auto"/>
    </w:pPr>
    <w:rPr>
      <w:rFonts w:ascii="Cambria" w:eastAsia="MS Mincho" w:hAnsi="Cambria"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EA44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4400"/>
    <w:rPr>
      <w:rFonts w:ascii="Segoe UI" w:hAnsi="Segoe UI" w:cs="Segoe UI"/>
      <w:sz w:val="18"/>
      <w:szCs w:val="18"/>
    </w:rPr>
  </w:style>
  <w:style w:type="character" w:styleId="Hipervnculovisitado">
    <w:name w:val="FollowedHyperlink"/>
    <w:basedOn w:val="Fuentedeprrafopredeter"/>
    <w:uiPriority w:val="99"/>
    <w:semiHidden/>
    <w:unhideWhenUsed/>
    <w:rsid w:val="00725891"/>
    <w:rPr>
      <w:color w:val="954F72" w:themeColor="followedHyperlink"/>
      <w:u w:val="single"/>
    </w:rPr>
  </w:style>
  <w:style w:type="character" w:styleId="Refdecomentario">
    <w:name w:val="annotation reference"/>
    <w:basedOn w:val="Fuentedeprrafopredeter"/>
    <w:uiPriority w:val="99"/>
    <w:semiHidden/>
    <w:unhideWhenUsed/>
    <w:rsid w:val="000405AF"/>
    <w:rPr>
      <w:sz w:val="16"/>
      <w:szCs w:val="16"/>
    </w:rPr>
  </w:style>
  <w:style w:type="paragraph" w:styleId="Textocomentario">
    <w:name w:val="annotation text"/>
    <w:basedOn w:val="Normal"/>
    <w:link w:val="TextocomentarioCar"/>
    <w:uiPriority w:val="99"/>
    <w:semiHidden/>
    <w:unhideWhenUsed/>
    <w:rsid w:val="000405AF"/>
    <w:pPr>
      <w:spacing w:line="240" w:lineRule="auto"/>
    </w:pPr>
  </w:style>
  <w:style w:type="character" w:customStyle="1" w:styleId="TextocomentarioCar">
    <w:name w:val="Texto comentario Car"/>
    <w:basedOn w:val="Fuentedeprrafopredeter"/>
    <w:link w:val="Textocomentario"/>
    <w:uiPriority w:val="99"/>
    <w:semiHidden/>
    <w:rsid w:val="000405AF"/>
  </w:style>
  <w:style w:type="paragraph" w:styleId="Asuntodelcomentario">
    <w:name w:val="annotation subject"/>
    <w:basedOn w:val="Textocomentario"/>
    <w:next w:val="Textocomentario"/>
    <w:link w:val="AsuntodelcomentarioCar"/>
    <w:uiPriority w:val="99"/>
    <w:semiHidden/>
    <w:unhideWhenUsed/>
    <w:rsid w:val="000405AF"/>
    <w:rPr>
      <w:b/>
      <w:bCs/>
    </w:rPr>
  </w:style>
  <w:style w:type="character" w:customStyle="1" w:styleId="AsuntodelcomentarioCar">
    <w:name w:val="Asunto del comentario Car"/>
    <w:basedOn w:val="TextocomentarioCar"/>
    <w:link w:val="Asuntodelcomentario"/>
    <w:uiPriority w:val="99"/>
    <w:semiHidden/>
    <w:rsid w:val="000405AF"/>
    <w:rPr>
      <w:b/>
      <w:bCs/>
    </w:rPr>
  </w:style>
  <w:style w:type="paragraph" w:styleId="Sinespaciado">
    <w:name w:val="No Spacing"/>
    <w:uiPriority w:val="1"/>
    <w:qFormat/>
    <w:rsid w:val="00F175E7"/>
    <w:pPr>
      <w:spacing w:after="0" w:line="240" w:lineRule="auto"/>
    </w:pPr>
  </w:style>
  <w:style w:type="character" w:styleId="nfasis">
    <w:name w:val="Emphasis"/>
    <w:basedOn w:val="Fuentedeprrafopredeter"/>
    <w:uiPriority w:val="20"/>
    <w:qFormat/>
    <w:rsid w:val="00BA55A8"/>
    <w:rPr>
      <w:i/>
      <w:iCs/>
    </w:rPr>
  </w:style>
  <w:style w:type="paragraph" w:styleId="Textonotapie">
    <w:name w:val="footnote text"/>
    <w:basedOn w:val="Normal"/>
    <w:link w:val="TextonotapieCar"/>
    <w:uiPriority w:val="99"/>
    <w:semiHidden/>
    <w:unhideWhenUsed/>
    <w:rsid w:val="008641A6"/>
    <w:pPr>
      <w:spacing w:after="0" w:line="240" w:lineRule="auto"/>
    </w:pPr>
    <w:rPr>
      <w:rFonts w:ascii="Calibri" w:hAnsi="Calibri" w:cs="Calibri"/>
    </w:rPr>
  </w:style>
  <w:style w:type="character" w:customStyle="1" w:styleId="TextonotapieCar">
    <w:name w:val="Texto nota pie Car"/>
    <w:basedOn w:val="Fuentedeprrafopredeter"/>
    <w:link w:val="Textonotapie"/>
    <w:uiPriority w:val="99"/>
    <w:semiHidden/>
    <w:rsid w:val="008641A6"/>
    <w:rPr>
      <w:rFonts w:ascii="Calibri" w:hAnsi="Calibri" w:cs="Calibri"/>
    </w:rPr>
  </w:style>
  <w:style w:type="character" w:styleId="Refdenotaalpie">
    <w:name w:val="footnote reference"/>
    <w:basedOn w:val="Fuentedeprrafopredeter"/>
    <w:uiPriority w:val="99"/>
    <w:semiHidden/>
    <w:unhideWhenUsed/>
    <w:rsid w:val="008641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26179">
      <w:bodyDiv w:val="1"/>
      <w:marLeft w:val="0"/>
      <w:marRight w:val="0"/>
      <w:marTop w:val="0"/>
      <w:marBottom w:val="0"/>
      <w:divBdr>
        <w:top w:val="none" w:sz="0" w:space="0" w:color="auto"/>
        <w:left w:val="none" w:sz="0" w:space="0" w:color="auto"/>
        <w:bottom w:val="none" w:sz="0" w:space="0" w:color="auto"/>
        <w:right w:val="none" w:sz="0" w:space="0" w:color="auto"/>
      </w:divBdr>
    </w:div>
    <w:div w:id="62028950">
      <w:bodyDiv w:val="1"/>
      <w:marLeft w:val="0"/>
      <w:marRight w:val="0"/>
      <w:marTop w:val="0"/>
      <w:marBottom w:val="0"/>
      <w:divBdr>
        <w:top w:val="none" w:sz="0" w:space="0" w:color="auto"/>
        <w:left w:val="none" w:sz="0" w:space="0" w:color="auto"/>
        <w:bottom w:val="none" w:sz="0" w:space="0" w:color="auto"/>
        <w:right w:val="none" w:sz="0" w:space="0" w:color="auto"/>
      </w:divBdr>
    </w:div>
    <w:div w:id="77483872">
      <w:bodyDiv w:val="1"/>
      <w:marLeft w:val="0"/>
      <w:marRight w:val="0"/>
      <w:marTop w:val="0"/>
      <w:marBottom w:val="0"/>
      <w:divBdr>
        <w:top w:val="none" w:sz="0" w:space="0" w:color="auto"/>
        <w:left w:val="none" w:sz="0" w:space="0" w:color="auto"/>
        <w:bottom w:val="none" w:sz="0" w:space="0" w:color="auto"/>
        <w:right w:val="none" w:sz="0" w:space="0" w:color="auto"/>
      </w:divBdr>
    </w:div>
    <w:div w:id="93283274">
      <w:bodyDiv w:val="1"/>
      <w:marLeft w:val="0"/>
      <w:marRight w:val="0"/>
      <w:marTop w:val="0"/>
      <w:marBottom w:val="0"/>
      <w:divBdr>
        <w:top w:val="none" w:sz="0" w:space="0" w:color="auto"/>
        <w:left w:val="none" w:sz="0" w:space="0" w:color="auto"/>
        <w:bottom w:val="none" w:sz="0" w:space="0" w:color="auto"/>
        <w:right w:val="none" w:sz="0" w:space="0" w:color="auto"/>
      </w:divBdr>
    </w:div>
    <w:div w:id="112797259">
      <w:bodyDiv w:val="1"/>
      <w:marLeft w:val="0"/>
      <w:marRight w:val="0"/>
      <w:marTop w:val="0"/>
      <w:marBottom w:val="0"/>
      <w:divBdr>
        <w:top w:val="none" w:sz="0" w:space="0" w:color="auto"/>
        <w:left w:val="none" w:sz="0" w:space="0" w:color="auto"/>
        <w:bottom w:val="none" w:sz="0" w:space="0" w:color="auto"/>
        <w:right w:val="none" w:sz="0" w:space="0" w:color="auto"/>
      </w:divBdr>
    </w:div>
    <w:div w:id="229734018">
      <w:bodyDiv w:val="1"/>
      <w:marLeft w:val="0"/>
      <w:marRight w:val="0"/>
      <w:marTop w:val="0"/>
      <w:marBottom w:val="0"/>
      <w:divBdr>
        <w:top w:val="none" w:sz="0" w:space="0" w:color="auto"/>
        <w:left w:val="none" w:sz="0" w:space="0" w:color="auto"/>
        <w:bottom w:val="none" w:sz="0" w:space="0" w:color="auto"/>
        <w:right w:val="none" w:sz="0" w:space="0" w:color="auto"/>
      </w:divBdr>
    </w:div>
    <w:div w:id="322198809">
      <w:bodyDiv w:val="1"/>
      <w:marLeft w:val="0"/>
      <w:marRight w:val="0"/>
      <w:marTop w:val="0"/>
      <w:marBottom w:val="0"/>
      <w:divBdr>
        <w:top w:val="none" w:sz="0" w:space="0" w:color="auto"/>
        <w:left w:val="none" w:sz="0" w:space="0" w:color="auto"/>
        <w:bottom w:val="none" w:sz="0" w:space="0" w:color="auto"/>
        <w:right w:val="none" w:sz="0" w:space="0" w:color="auto"/>
      </w:divBdr>
    </w:div>
    <w:div w:id="475417842">
      <w:bodyDiv w:val="1"/>
      <w:marLeft w:val="0"/>
      <w:marRight w:val="0"/>
      <w:marTop w:val="0"/>
      <w:marBottom w:val="0"/>
      <w:divBdr>
        <w:top w:val="none" w:sz="0" w:space="0" w:color="auto"/>
        <w:left w:val="none" w:sz="0" w:space="0" w:color="auto"/>
        <w:bottom w:val="none" w:sz="0" w:space="0" w:color="auto"/>
        <w:right w:val="none" w:sz="0" w:space="0" w:color="auto"/>
      </w:divBdr>
    </w:div>
    <w:div w:id="507908073">
      <w:bodyDiv w:val="1"/>
      <w:marLeft w:val="0"/>
      <w:marRight w:val="0"/>
      <w:marTop w:val="0"/>
      <w:marBottom w:val="0"/>
      <w:divBdr>
        <w:top w:val="none" w:sz="0" w:space="0" w:color="auto"/>
        <w:left w:val="none" w:sz="0" w:space="0" w:color="auto"/>
        <w:bottom w:val="none" w:sz="0" w:space="0" w:color="auto"/>
        <w:right w:val="none" w:sz="0" w:space="0" w:color="auto"/>
      </w:divBdr>
    </w:div>
    <w:div w:id="570702486">
      <w:bodyDiv w:val="1"/>
      <w:marLeft w:val="0"/>
      <w:marRight w:val="0"/>
      <w:marTop w:val="0"/>
      <w:marBottom w:val="0"/>
      <w:divBdr>
        <w:top w:val="none" w:sz="0" w:space="0" w:color="auto"/>
        <w:left w:val="none" w:sz="0" w:space="0" w:color="auto"/>
        <w:bottom w:val="none" w:sz="0" w:space="0" w:color="auto"/>
        <w:right w:val="none" w:sz="0" w:space="0" w:color="auto"/>
      </w:divBdr>
    </w:div>
    <w:div w:id="599489159">
      <w:bodyDiv w:val="1"/>
      <w:marLeft w:val="0"/>
      <w:marRight w:val="0"/>
      <w:marTop w:val="0"/>
      <w:marBottom w:val="0"/>
      <w:divBdr>
        <w:top w:val="none" w:sz="0" w:space="0" w:color="auto"/>
        <w:left w:val="none" w:sz="0" w:space="0" w:color="auto"/>
        <w:bottom w:val="none" w:sz="0" w:space="0" w:color="auto"/>
        <w:right w:val="none" w:sz="0" w:space="0" w:color="auto"/>
      </w:divBdr>
    </w:div>
    <w:div w:id="605507645">
      <w:bodyDiv w:val="1"/>
      <w:marLeft w:val="0"/>
      <w:marRight w:val="0"/>
      <w:marTop w:val="0"/>
      <w:marBottom w:val="0"/>
      <w:divBdr>
        <w:top w:val="none" w:sz="0" w:space="0" w:color="auto"/>
        <w:left w:val="none" w:sz="0" w:space="0" w:color="auto"/>
        <w:bottom w:val="none" w:sz="0" w:space="0" w:color="auto"/>
        <w:right w:val="none" w:sz="0" w:space="0" w:color="auto"/>
      </w:divBdr>
    </w:div>
    <w:div w:id="608050267">
      <w:bodyDiv w:val="1"/>
      <w:marLeft w:val="0"/>
      <w:marRight w:val="0"/>
      <w:marTop w:val="0"/>
      <w:marBottom w:val="0"/>
      <w:divBdr>
        <w:top w:val="none" w:sz="0" w:space="0" w:color="auto"/>
        <w:left w:val="none" w:sz="0" w:space="0" w:color="auto"/>
        <w:bottom w:val="none" w:sz="0" w:space="0" w:color="auto"/>
        <w:right w:val="none" w:sz="0" w:space="0" w:color="auto"/>
      </w:divBdr>
    </w:div>
    <w:div w:id="622418371">
      <w:bodyDiv w:val="1"/>
      <w:marLeft w:val="0"/>
      <w:marRight w:val="0"/>
      <w:marTop w:val="0"/>
      <w:marBottom w:val="0"/>
      <w:divBdr>
        <w:top w:val="none" w:sz="0" w:space="0" w:color="auto"/>
        <w:left w:val="none" w:sz="0" w:space="0" w:color="auto"/>
        <w:bottom w:val="none" w:sz="0" w:space="0" w:color="auto"/>
        <w:right w:val="none" w:sz="0" w:space="0" w:color="auto"/>
      </w:divBdr>
    </w:div>
    <w:div w:id="660696603">
      <w:bodyDiv w:val="1"/>
      <w:marLeft w:val="0"/>
      <w:marRight w:val="0"/>
      <w:marTop w:val="0"/>
      <w:marBottom w:val="0"/>
      <w:divBdr>
        <w:top w:val="none" w:sz="0" w:space="0" w:color="auto"/>
        <w:left w:val="none" w:sz="0" w:space="0" w:color="auto"/>
        <w:bottom w:val="none" w:sz="0" w:space="0" w:color="auto"/>
        <w:right w:val="none" w:sz="0" w:space="0" w:color="auto"/>
      </w:divBdr>
    </w:div>
    <w:div w:id="665937726">
      <w:bodyDiv w:val="1"/>
      <w:marLeft w:val="0"/>
      <w:marRight w:val="0"/>
      <w:marTop w:val="0"/>
      <w:marBottom w:val="0"/>
      <w:divBdr>
        <w:top w:val="none" w:sz="0" w:space="0" w:color="auto"/>
        <w:left w:val="none" w:sz="0" w:space="0" w:color="auto"/>
        <w:bottom w:val="none" w:sz="0" w:space="0" w:color="auto"/>
        <w:right w:val="none" w:sz="0" w:space="0" w:color="auto"/>
      </w:divBdr>
    </w:div>
    <w:div w:id="682705298">
      <w:bodyDiv w:val="1"/>
      <w:marLeft w:val="0"/>
      <w:marRight w:val="0"/>
      <w:marTop w:val="0"/>
      <w:marBottom w:val="0"/>
      <w:divBdr>
        <w:top w:val="none" w:sz="0" w:space="0" w:color="auto"/>
        <w:left w:val="none" w:sz="0" w:space="0" w:color="auto"/>
        <w:bottom w:val="none" w:sz="0" w:space="0" w:color="auto"/>
        <w:right w:val="none" w:sz="0" w:space="0" w:color="auto"/>
      </w:divBdr>
    </w:div>
    <w:div w:id="703289282">
      <w:bodyDiv w:val="1"/>
      <w:marLeft w:val="0"/>
      <w:marRight w:val="0"/>
      <w:marTop w:val="0"/>
      <w:marBottom w:val="0"/>
      <w:divBdr>
        <w:top w:val="none" w:sz="0" w:space="0" w:color="auto"/>
        <w:left w:val="none" w:sz="0" w:space="0" w:color="auto"/>
        <w:bottom w:val="none" w:sz="0" w:space="0" w:color="auto"/>
        <w:right w:val="none" w:sz="0" w:space="0" w:color="auto"/>
      </w:divBdr>
    </w:div>
    <w:div w:id="828250635">
      <w:bodyDiv w:val="1"/>
      <w:marLeft w:val="0"/>
      <w:marRight w:val="0"/>
      <w:marTop w:val="0"/>
      <w:marBottom w:val="0"/>
      <w:divBdr>
        <w:top w:val="none" w:sz="0" w:space="0" w:color="auto"/>
        <w:left w:val="none" w:sz="0" w:space="0" w:color="auto"/>
        <w:bottom w:val="none" w:sz="0" w:space="0" w:color="auto"/>
        <w:right w:val="none" w:sz="0" w:space="0" w:color="auto"/>
      </w:divBdr>
    </w:div>
    <w:div w:id="830367967">
      <w:bodyDiv w:val="1"/>
      <w:marLeft w:val="0"/>
      <w:marRight w:val="0"/>
      <w:marTop w:val="0"/>
      <w:marBottom w:val="0"/>
      <w:divBdr>
        <w:top w:val="none" w:sz="0" w:space="0" w:color="auto"/>
        <w:left w:val="none" w:sz="0" w:space="0" w:color="auto"/>
        <w:bottom w:val="none" w:sz="0" w:space="0" w:color="auto"/>
        <w:right w:val="none" w:sz="0" w:space="0" w:color="auto"/>
      </w:divBdr>
    </w:div>
    <w:div w:id="835389165">
      <w:bodyDiv w:val="1"/>
      <w:marLeft w:val="0"/>
      <w:marRight w:val="0"/>
      <w:marTop w:val="0"/>
      <w:marBottom w:val="0"/>
      <w:divBdr>
        <w:top w:val="none" w:sz="0" w:space="0" w:color="auto"/>
        <w:left w:val="none" w:sz="0" w:space="0" w:color="auto"/>
        <w:bottom w:val="none" w:sz="0" w:space="0" w:color="auto"/>
        <w:right w:val="none" w:sz="0" w:space="0" w:color="auto"/>
      </w:divBdr>
    </w:div>
    <w:div w:id="844243184">
      <w:bodyDiv w:val="1"/>
      <w:marLeft w:val="0"/>
      <w:marRight w:val="0"/>
      <w:marTop w:val="0"/>
      <w:marBottom w:val="0"/>
      <w:divBdr>
        <w:top w:val="none" w:sz="0" w:space="0" w:color="auto"/>
        <w:left w:val="none" w:sz="0" w:space="0" w:color="auto"/>
        <w:bottom w:val="none" w:sz="0" w:space="0" w:color="auto"/>
        <w:right w:val="none" w:sz="0" w:space="0" w:color="auto"/>
      </w:divBdr>
    </w:div>
    <w:div w:id="885529616">
      <w:bodyDiv w:val="1"/>
      <w:marLeft w:val="0"/>
      <w:marRight w:val="0"/>
      <w:marTop w:val="0"/>
      <w:marBottom w:val="0"/>
      <w:divBdr>
        <w:top w:val="none" w:sz="0" w:space="0" w:color="auto"/>
        <w:left w:val="none" w:sz="0" w:space="0" w:color="auto"/>
        <w:bottom w:val="none" w:sz="0" w:space="0" w:color="auto"/>
        <w:right w:val="none" w:sz="0" w:space="0" w:color="auto"/>
      </w:divBdr>
    </w:div>
    <w:div w:id="895554419">
      <w:bodyDiv w:val="1"/>
      <w:marLeft w:val="0"/>
      <w:marRight w:val="0"/>
      <w:marTop w:val="0"/>
      <w:marBottom w:val="0"/>
      <w:divBdr>
        <w:top w:val="none" w:sz="0" w:space="0" w:color="auto"/>
        <w:left w:val="none" w:sz="0" w:space="0" w:color="auto"/>
        <w:bottom w:val="none" w:sz="0" w:space="0" w:color="auto"/>
        <w:right w:val="none" w:sz="0" w:space="0" w:color="auto"/>
      </w:divBdr>
    </w:div>
    <w:div w:id="911886831">
      <w:bodyDiv w:val="1"/>
      <w:marLeft w:val="0"/>
      <w:marRight w:val="0"/>
      <w:marTop w:val="0"/>
      <w:marBottom w:val="0"/>
      <w:divBdr>
        <w:top w:val="none" w:sz="0" w:space="0" w:color="auto"/>
        <w:left w:val="none" w:sz="0" w:space="0" w:color="auto"/>
        <w:bottom w:val="none" w:sz="0" w:space="0" w:color="auto"/>
        <w:right w:val="none" w:sz="0" w:space="0" w:color="auto"/>
      </w:divBdr>
    </w:div>
    <w:div w:id="936253678">
      <w:bodyDiv w:val="1"/>
      <w:marLeft w:val="0"/>
      <w:marRight w:val="0"/>
      <w:marTop w:val="0"/>
      <w:marBottom w:val="0"/>
      <w:divBdr>
        <w:top w:val="none" w:sz="0" w:space="0" w:color="auto"/>
        <w:left w:val="none" w:sz="0" w:space="0" w:color="auto"/>
        <w:bottom w:val="none" w:sz="0" w:space="0" w:color="auto"/>
        <w:right w:val="none" w:sz="0" w:space="0" w:color="auto"/>
      </w:divBdr>
    </w:div>
    <w:div w:id="948508217">
      <w:bodyDiv w:val="1"/>
      <w:marLeft w:val="0"/>
      <w:marRight w:val="0"/>
      <w:marTop w:val="0"/>
      <w:marBottom w:val="0"/>
      <w:divBdr>
        <w:top w:val="none" w:sz="0" w:space="0" w:color="auto"/>
        <w:left w:val="none" w:sz="0" w:space="0" w:color="auto"/>
        <w:bottom w:val="none" w:sz="0" w:space="0" w:color="auto"/>
        <w:right w:val="none" w:sz="0" w:space="0" w:color="auto"/>
      </w:divBdr>
    </w:div>
    <w:div w:id="976641305">
      <w:bodyDiv w:val="1"/>
      <w:marLeft w:val="0"/>
      <w:marRight w:val="0"/>
      <w:marTop w:val="0"/>
      <w:marBottom w:val="0"/>
      <w:divBdr>
        <w:top w:val="none" w:sz="0" w:space="0" w:color="auto"/>
        <w:left w:val="none" w:sz="0" w:space="0" w:color="auto"/>
        <w:bottom w:val="none" w:sz="0" w:space="0" w:color="auto"/>
        <w:right w:val="none" w:sz="0" w:space="0" w:color="auto"/>
      </w:divBdr>
    </w:div>
    <w:div w:id="998851185">
      <w:bodyDiv w:val="1"/>
      <w:marLeft w:val="0"/>
      <w:marRight w:val="0"/>
      <w:marTop w:val="0"/>
      <w:marBottom w:val="0"/>
      <w:divBdr>
        <w:top w:val="none" w:sz="0" w:space="0" w:color="auto"/>
        <w:left w:val="none" w:sz="0" w:space="0" w:color="auto"/>
        <w:bottom w:val="none" w:sz="0" w:space="0" w:color="auto"/>
        <w:right w:val="none" w:sz="0" w:space="0" w:color="auto"/>
      </w:divBdr>
    </w:div>
    <w:div w:id="1008945596">
      <w:bodyDiv w:val="1"/>
      <w:marLeft w:val="0"/>
      <w:marRight w:val="0"/>
      <w:marTop w:val="0"/>
      <w:marBottom w:val="0"/>
      <w:divBdr>
        <w:top w:val="none" w:sz="0" w:space="0" w:color="auto"/>
        <w:left w:val="none" w:sz="0" w:space="0" w:color="auto"/>
        <w:bottom w:val="none" w:sz="0" w:space="0" w:color="auto"/>
        <w:right w:val="none" w:sz="0" w:space="0" w:color="auto"/>
      </w:divBdr>
    </w:div>
    <w:div w:id="1011879708">
      <w:bodyDiv w:val="1"/>
      <w:marLeft w:val="0"/>
      <w:marRight w:val="0"/>
      <w:marTop w:val="0"/>
      <w:marBottom w:val="0"/>
      <w:divBdr>
        <w:top w:val="none" w:sz="0" w:space="0" w:color="auto"/>
        <w:left w:val="none" w:sz="0" w:space="0" w:color="auto"/>
        <w:bottom w:val="none" w:sz="0" w:space="0" w:color="auto"/>
        <w:right w:val="none" w:sz="0" w:space="0" w:color="auto"/>
      </w:divBdr>
    </w:div>
    <w:div w:id="1052463663">
      <w:bodyDiv w:val="1"/>
      <w:marLeft w:val="0"/>
      <w:marRight w:val="0"/>
      <w:marTop w:val="0"/>
      <w:marBottom w:val="0"/>
      <w:divBdr>
        <w:top w:val="none" w:sz="0" w:space="0" w:color="auto"/>
        <w:left w:val="none" w:sz="0" w:space="0" w:color="auto"/>
        <w:bottom w:val="none" w:sz="0" w:space="0" w:color="auto"/>
        <w:right w:val="none" w:sz="0" w:space="0" w:color="auto"/>
      </w:divBdr>
    </w:div>
    <w:div w:id="1089158138">
      <w:bodyDiv w:val="1"/>
      <w:marLeft w:val="0"/>
      <w:marRight w:val="0"/>
      <w:marTop w:val="0"/>
      <w:marBottom w:val="0"/>
      <w:divBdr>
        <w:top w:val="none" w:sz="0" w:space="0" w:color="auto"/>
        <w:left w:val="none" w:sz="0" w:space="0" w:color="auto"/>
        <w:bottom w:val="none" w:sz="0" w:space="0" w:color="auto"/>
        <w:right w:val="none" w:sz="0" w:space="0" w:color="auto"/>
      </w:divBdr>
    </w:div>
    <w:div w:id="1097288488">
      <w:bodyDiv w:val="1"/>
      <w:marLeft w:val="0"/>
      <w:marRight w:val="0"/>
      <w:marTop w:val="0"/>
      <w:marBottom w:val="0"/>
      <w:divBdr>
        <w:top w:val="none" w:sz="0" w:space="0" w:color="auto"/>
        <w:left w:val="none" w:sz="0" w:space="0" w:color="auto"/>
        <w:bottom w:val="none" w:sz="0" w:space="0" w:color="auto"/>
        <w:right w:val="none" w:sz="0" w:space="0" w:color="auto"/>
      </w:divBdr>
    </w:div>
    <w:div w:id="1099446016">
      <w:bodyDiv w:val="1"/>
      <w:marLeft w:val="0"/>
      <w:marRight w:val="0"/>
      <w:marTop w:val="0"/>
      <w:marBottom w:val="0"/>
      <w:divBdr>
        <w:top w:val="none" w:sz="0" w:space="0" w:color="auto"/>
        <w:left w:val="none" w:sz="0" w:space="0" w:color="auto"/>
        <w:bottom w:val="none" w:sz="0" w:space="0" w:color="auto"/>
        <w:right w:val="none" w:sz="0" w:space="0" w:color="auto"/>
      </w:divBdr>
    </w:div>
    <w:div w:id="1104156136">
      <w:bodyDiv w:val="1"/>
      <w:marLeft w:val="0"/>
      <w:marRight w:val="0"/>
      <w:marTop w:val="0"/>
      <w:marBottom w:val="0"/>
      <w:divBdr>
        <w:top w:val="none" w:sz="0" w:space="0" w:color="auto"/>
        <w:left w:val="none" w:sz="0" w:space="0" w:color="auto"/>
        <w:bottom w:val="none" w:sz="0" w:space="0" w:color="auto"/>
        <w:right w:val="none" w:sz="0" w:space="0" w:color="auto"/>
      </w:divBdr>
    </w:div>
    <w:div w:id="1174151985">
      <w:bodyDiv w:val="1"/>
      <w:marLeft w:val="0"/>
      <w:marRight w:val="0"/>
      <w:marTop w:val="0"/>
      <w:marBottom w:val="0"/>
      <w:divBdr>
        <w:top w:val="none" w:sz="0" w:space="0" w:color="auto"/>
        <w:left w:val="none" w:sz="0" w:space="0" w:color="auto"/>
        <w:bottom w:val="none" w:sz="0" w:space="0" w:color="auto"/>
        <w:right w:val="none" w:sz="0" w:space="0" w:color="auto"/>
      </w:divBdr>
    </w:div>
    <w:div w:id="1247156157">
      <w:bodyDiv w:val="1"/>
      <w:marLeft w:val="0"/>
      <w:marRight w:val="0"/>
      <w:marTop w:val="0"/>
      <w:marBottom w:val="0"/>
      <w:divBdr>
        <w:top w:val="none" w:sz="0" w:space="0" w:color="auto"/>
        <w:left w:val="none" w:sz="0" w:space="0" w:color="auto"/>
        <w:bottom w:val="none" w:sz="0" w:space="0" w:color="auto"/>
        <w:right w:val="none" w:sz="0" w:space="0" w:color="auto"/>
      </w:divBdr>
    </w:div>
    <w:div w:id="1248274362">
      <w:bodyDiv w:val="1"/>
      <w:marLeft w:val="0"/>
      <w:marRight w:val="0"/>
      <w:marTop w:val="0"/>
      <w:marBottom w:val="0"/>
      <w:divBdr>
        <w:top w:val="none" w:sz="0" w:space="0" w:color="auto"/>
        <w:left w:val="none" w:sz="0" w:space="0" w:color="auto"/>
        <w:bottom w:val="none" w:sz="0" w:space="0" w:color="auto"/>
        <w:right w:val="none" w:sz="0" w:space="0" w:color="auto"/>
      </w:divBdr>
    </w:div>
    <w:div w:id="1287270160">
      <w:bodyDiv w:val="1"/>
      <w:marLeft w:val="0"/>
      <w:marRight w:val="0"/>
      <w:marTop w:val="0"/>
      <w:marBottom w:val="0"/>
      <w:divBdr>
        <w:top w:val="none" w:sz="0" w:space="0" w:color="auto"/>
        <w:left w:val="none" w:sz="0" w:space="0" w:color="auto"/>
        <w:bottom w:val="none" w:sz="0" w:space="0" w:color="auto"/>
        <w:right w:val="none" w:sz="0" w:space="0" w:color="auto"/>
      </w:divBdr>
    </w:div>
    <w:div w:id="1290623912">
      <w:bodyDiv w:val="1"/>
      <w:marLeft w:val="0"/>
      <w:marRight w:val="0"/>
      <w:marTop w:val="0"/>
      <w:marBottom w:val="0"/>
      <w:divBdr>
        <w:top w:val="none" w:sz="0" w:space="0" w:color="auto"/>
        <w:left w:val="none" w:sz="0" w:space="0" w:color="auto"/>
        <w:bottom w:val="none" w:sz="0" w:space="0" w:color="auto"/>
        <w:right w:val="none" w:sz="0" w:space="0" w:color="auto"/>
      </w:divBdr>
    </w:div>
    <w:div w:id="1334801335">
      <w:bodyDiv w:val="1"/>
      <w:marLeft w:val="0"/>
      <w:marRight w:val="0"/>
      <w:marTop w:val="0"/>
      <w:marBottom w:val="0"/>
      <w:divBdr>
        <w:top w:val="none" w:sz="0" w:space="0" w:color="auto"/>
        <w:left w:val="none" w:sz="0" w:space="0" w:color="auto"/>
        <w:bottom w:val="none" w:sz="0" w:space="0" w:color="auto"/>
        <w:right w:val="none" w:sz="0" w:space="0" w:color="auto"/>
      </w:divBdr>
    </w:div>
    <w:div w:id="1425540449">
      <w:bodyDiv w:val="1"/>
      <w:marLeft w:val="0"/>
      <w:marRight w:val="0"/>
      <w:marTop w:val="0"/>
      <w:marBottom w:val="0"/>
      <w:divBdr>
        <w:top w:val="none" w:sz="0" w:space="0" w:color="auto"/>
        <w:left w:val="none" w:sz="0" w:space="0" w:color="auto"/>
        <w:bottom w:val="none" w:sz="0" w:space="0" w:color="auto"/>
        <w:right w:val="none" w:sz="0" w:space="0" w:color="auto"/>
      </w:divBdr>
    </w:div>
    <w:div w:id="1497527227">
      <w:bodyDiv w:val="1"/>
      <w:marLeft w:val="0"/>
      <w:marRight w:val="0"/>
      <w:marTop w:val="0"/>
      <w:marBottom w:val="0"/>
      <w:divBdr>
        <w:top w:val="none" w:sz="0" w:space="0" w:color="auto"/>
        <w:left w:val="none" w:sz="0" w:space="0" w:color="auto"/>
        <w:bottom w:val="none" w:sz="0" w:space="0" w:color="auto"/>
        <w:right w:val="none" w:sz="0" w:space="0" w:color="auto"/>
      </w:divBdr>
    </w:div>
    <w:div w:id="1509715328">
      <w:bodyDiv w:val="1"/>
      <w:marLeft w:val="0"/>
      <w:marRight w:val="0"/>
      <w:marTop w:val="0"/>
      <w:marBottom w:val="0"/>
      <w:divBdr>
        <w:top w:val="none" w:sz="0" w:space="0" w:color="auto"/>
        <w:left w:val="none" w:sz="0" w:space="0" w:color="auto"/>
        <w:bottom w:val="none" w:sz="0" w:space="0" w:color="auto"/>
        <w:right w:val="none" w:sz="0" w:space="0" w:color="auto"/>
      </w:divBdr>
    </w:div>
    <w:div w:id="1526360588">
      <w:bodyDiv w:val="1"/>
      <w:marLeft w:val="0"/>
      <w:marRight w:val="0"/>
      <w:marTop w:val="0"/>
      <w:marBottom w:val="0"/>
      <w:divBdr>
        <w:top w:val="none" w:sz="0" w:space="0" w:color="auto"/>
        <w:left w:val="none" w:sz="0" w:space="0" w:color="auto"/>
        <w:bottom w:val="none" w:sz="0" w:space="0" w:color="auto"/>
        <w:right w:val="none" w:sz="0" w:space="0" w:color="auto"/>
      </w:divBdr>
    </w:div>
    <w:div w:id="1555004702">
      <w:bodyDiv w:val="1"/>
      <w:marLeft w:val="0"/>
      <w:marRight w:val="0"/>
      <w:marTop w:val="0"/>
      <w:marBottom w:val="0"/>
      <w:divBdr>
        <w:top w:val="none" w:sz="0" w:space="0" w:color="auto"/>
        <w:left w:val="none" w:sz="0" w:space="0" w:color="auto"/>
        <w:bottom w:val="none" w:sz="0" w:space="0" w:color="auto"/>
        <w:right w:val="none" w:sz="0" w:space="0" w:color="auto"/>
      </w:divBdr>
    </w:div>
    <w:div w:id="1558514077">
      <w:bodyDiv w:val="1"/>
      <w:marLeft w:val="0"/>
      <w:marRight w:val="0"/>
      <w:marTop w:val="0"/>
      <w:marBottom w:val="0"/>
      <w:divBdr>
        <w:top w:val="none" w:sz="0" w:space="0" w:color="auto"/>
        <w:left w:val="none" w:sz="0" w:space="0" w:color="auto"/>
        <w:bottom w:val="none" w:sz="0" w:space="0" w:color="auto"/>
        <w:right w:val="none" w:sz="0" w:space="0" w:color="auto"/>
      </w:divBdr>
    </w:div>
    <w:div w:id="1598900354">
      <w:bodyDiv w:val="1"/>
      <w:marLeft w:val="0"/>
      <w:marRight w:val="0"/>
      <w:marTop w:val="0"/>
      <w:marBottom w:val="0"/>
      <w:divBdr>
        <w:top w:val="none" w:sz="0" w:space="0" w:color="auto"/>
        <w:left w:val="none" w:sz="0" w:space="0" w:color="auto"/>
        <w:bottom w:val="none" w:sz="0" w:space="0" w:color="auto"/>
        <w:right w:val="none" w:sz="0" w:space="0" w:color="auto"/>
      </w:divBdr>
    </w:div>
    <w:div w:id="1684354069">
      <w:bodyDiv w:val="1"/>
      <w:marLeft w:val="0"/>
      <w:marRight w:val="0"/>
      <w:marTop w:val="0"/>
      <w:marBottom w:val="0"/>
      <w:divBdr>
        <w:top w:val="none" w:sz="0" w:space="0" w:color="auto"/>
        <w:left w:val="none" w:sz="0" w:space="0" w:color="auto"/>
        <w:bottom w:val="none" w:sz="0" w:space="0" w:color="auto"/>
        <w:right w:val="none" w:sz="0" w:space="0" w:color="auto"/>
      </w:divBdr>
    </w:div>
    <w:div w:id="1708721196">
      <w:bodyDiv w:val="1"/>
      <w:marLeft w:val="0"/>
      <w:marRight w:val="0"/>
      <w:marTop w:val="0"/>
      <w:marBottom w:val="0"/>
      <w:divBdr>
        <w:top w:val="none" w:sz="0" w:space="0" w:color="auto"/>
        <w:left w:val="none" w:sz="0" w:space="0" w:color="auto"/>
        <w:bottom w:val="none" w:sz="0" w:space="0" w:color="auto"/>
        <w:right w:val="none" w:sz="0" w:space="0" w:color="auto"/>
      </w:divBdr>
    </w:div>
    <w:div w:id="1709065040">
      <w:bodyDiv w:val="1"/>
      <w:marLeft w:val="0"/>
      <w:marRight w:val="0"/>
      <w:marTop w:val="0"/>
      <w:marBottom w:val="0"/>
      <w:divBdr>
        <w:top w:val="none" w:sz="0" w:space="0" w:color="auto"/>
        <w:left w:val="none" w:sz="0" w:space="0" w:color="auto"/>
        <w:bottom w:val="none" w:sz="0" w:space="0" w:color="auto"/>
        <w:right w:val="none" w:sz="0" w:space="0" w:color="auto"/>
      </w:divBdr>
    </w:div>
    <w:div w:id="1744327094">
      <w:bodyDiv w:val="1"/>
      <w:marLeft w:val="0"/>
      <w:marRight w:val="0"/>
      <w:marTop w:val="0"/>
      <w:marBottom w:val="0"/>
      <w:divBdr>
        <w:top w:val="none" w:sz="0" w:space="0" w:color="auto"/>
        <w:left w:val="none" w:sz="0" w:space="0" w:color="auto"/>
        <w:bottom w:val="none" w:sz="0" w:space="0" w:color="auto"/>
        <w:right w:val="none" w:sz="0" w:space="0" w:color="auto"/>
      </w:divBdr>
    </w:div>
    <w:div w:id="1782408093">
      <w:bodyDiv w:val="1"/>
      <w:marLeft w:val="0"/>
      <w:marRight w:val="0"/>
      <w:marTop w:val="0"/>
      <w:marBottom w:val="0"/>
      <w:divBdr>
        <w:top w:val="none" w:sz="0" w:space="0" w:color="auto"/>
        <w:left w:val="none" w:sz="0" w:space="0" w:color="auto"/>
        <w:bottom w:val="none" w:sz="0" w:space="0" w:color="auto"/>
        <w:right w:val="none" w:sz="0" w:space="0" w:color="auto"/>
      </w:divBdr>
    </w:div>
    <w:div w:id="1800025368">
      <w:bodyDiv w:val="1"/>
      <w:marLeft w:val="0"/>
      <w:marRight w:val="0"/>
      <w:marTop w:val="0"/>
      <w:marBottom w:val="0"/>
      <w:divBdr>
        <w:top w:val="none" w:sz="0" w:space="0" w:color="auto"/>
        <w:left w:val="none" w:sz="0" w:space="0" w:color="auto"/>
        <w:bottom w:val="none" w:sz="0" w:space="0" w:color="auto"/>
        <w:right w:val="none" w:sz="0" w:space="0" w:color="auto"/>
      </w:divBdr>
    </w:div>
    <w:div w:id="1805149307">
      <w:bodyDiv w:val="1"/>
      <w:marLeft w:val="0"/>
      <w:marRight w:val="0"/>
      <w:marTop w:val="0"/>
      <w:marBottom w:val="0"/>
      <w:divBdr>
        <w:top w:val="none" w:sz="0" w:space="0" w:color="auto"/>
        <w:left w:val="none" w:sz="0" w:space="0" w:color="auto"/>
        <w:bottom w:val="none" w:sz="0" w:space="0" w:color="auto"/>
        <w:right w:val="none" w:sz="0" w:space="0" w:color="auto"/>
      </w:divBdr>
    </w:div>
    <w:div w:id="1815490803">
      <w:bodyDiv w:val="1"/>
      <w:marLeft w:val="0"/>
      <w:marRight w:val="0"/>
      <w:marTop w:val="0"/>
      <w:marBottom w:val="0"/>
      <w:divBdr>
        <w:top w:val="none" w:sz="0" w:space="0" w:color="auto"/>
        <w:left w:val="none" w:sz="0" w:space="0" w:color="auto"/>
        <w:bottom w:val="none" w:sz="0" w:space="0" w:color="auto"/>
        <w:right w:val="none" w:sz="0" w:space="0" w:color="auto"/>
      </w:divBdr>
    </w:div>
    <w:div w:id="1819417251">
      <w:bodyDiv w:val="1"/>
      <w:marLeft w:val="0"/>
      <w:marRight w:val="0"/>
      <w:marTop w:val="0"/>
      <w:marBottom w:val="0"/>
      <w:divBdr>
        <w:top w:val="none" w:sz="0" w:space="0" w:color="auto"/>
        <w:left w:val="none" w:sz="0" w:space="0" w:color="auto"/>
        <w:bottom w:val="none" w:sz="0" w:space="0" w:color="auto"/>
        <w:right w:val="none" w:sz="0" w:space="0" w:color="auto"/>
      </w:divBdr>
    </w:div>
    <w:div w:id="1845391220">
      <w:bodyDiv w:val="1"/>
      <w:marLeft w:val="0"/>
      <w:marRight w:val="0"/>
      <w:marTop w:val="0"/>
      <w:marBottom w:val="0"/>
      <w:divBdr>
        <w:top w:val="none" w:sz="0" w:space="0" w:color="auto"/>
        <w:left w:val="none" w:sz="0" w:space="0" w:color="auto"/>
        <w:bottom w:val="none" w:sz="0" w:space="0" w:color="auto"/>
        <w:right w:val="none" w:sz="0" w:space="0" w:color="auto"/>
      </w:divBdr>
    </w:div>
    <w:div w:id="1846553349">
      <w:bodyDiv w:val="1"/>
      <w:marLeft w:val="0"/>
      <w:marRight w:val="0"/>
      <w:marTop w:val="0"/>
      <w:marBottom w:val="0"/>
      <w:divBdr>
        <w:top w:val="none" w:sz="0" w:space="0" w:color="auto"/>
        <w:left w:val="none" w:sz="0" w:space="0" w:color="auto"/>
        <w:bottom w:val="none" w:sz="0" w:space="0" w:color="auto"/>
        <w:right w:val="none" w:sz="0" w:space="0" w:color="auto"/>
      </w:divBdr>
    </w:div>
    <w:div w:id="1850171446">
      <w:bodyDiv w:val="1"/>
      <w:marLeft w:val="0"/>
      <w:marRight w:val="0"/>
      <w:marTop w:val="0"/>
      <w:marBottom w:val="0"/>
      <w:divBdr>
        <w:top w:val="none" w:sz="0" w:space="0" w:color="auto"/>
        <w:left w:val="none" w:sz="0" w:space="0" w:color="auto"/>
        <w:bottom w:val="none" w:sz="0" w:space="0" w:color="auto"/>
        <w:right w:val="none" w:sz="0" w:space="0" w:color="auto"/>
      </w:divBdr>
    </w:div>
    <w:div w:id="1925332696">
      <w:bodyDiv w:val="1"/>
      <w:marLeft w:val="0"/>
      <w:marRight w:val="0"/>
      <w:marTop w:val="0"/>
      <w:marBottom w:val="0"/>
      <w:divBdr>
        <w:top w:val="none" w:sz="0" w:space="0" w:color="auto"/>
        <w:left w:val="none" w:sz="0" w:space="0" w:color="auto"/>
        <w:bottom w:val="none" w:sz="0" w:space="0" w:color="auto"/>
        <w:right w:val="none" w:sz="0" w:space="0" w:color="auto"/>
      </w:divBdr>
    </w:div>
    <w:div w:id="2052337744">
      <w:bodyDiv w:val="1"/>
      <w:marLeft w:val="0"/>
      <w:marRight w:val="0"/>
      <w:marTop w:val="0"/>
      <w:marBottom w:val="0"/>
      <w:divBdr>
        <w:top w:val="none" w:sz="0" w:space="0" w:color="auto"/>
        <w:left w:val="none" w:sz="0" w:space="0" w:color="auto"/>
        <w:bottom w:val="none" w:sz="0" w:space="0" w:color="auto"/>
        <w:right w:val="none" w:sz="0" w:space="0" w:color="auto"/>
      </w:divBdr>
    </w:div>
    <w:div w:id="2052342897">
      <w:bodyDiv w:val="1"/>
      <w:marLeft w:val="0"/>
      <w:marRight w:val="0"/>
      <w:marTop w:val="0"/>
      <w:marBottom w:val="0"/>
      <w:divBdr>
        <w:top w:val="none" w:sz="0" w:space="0" w:color="auto"/>
        <w:left w:val="none" w:sz="0" w:space="0" w:color="auto"/>
        <w:bottom w:val="none" w:sz="0" w:space="0" w:color="auto"/>
        <w:right w:val="none" w:sz="0" w:space="0" w:color="auto"/>
      </w:divBdr>
    </w:div>
    <w:div w:id="2067290495">
      <w:bodyDiv w:val="1"/>
      <w:marLeft w:val="0"/>
      <w:marRight w:val="0"/>
      <w:marTop w:val="0"/>
      <w:marBottom w:val="0"/>
      <w:divBdr>
        <w:top w:val="none" w:sz="0" w:space="0" w:color="auto"/>
        <w:left w:val="none" w:sz="0" w:space="0" w:color="auto"/>
        <w:bottom w:val="none" w:sz="0" w:space="0" w:color="auto"/>
        <w:right w:val="none" w:sz="0" w:space="0" w:color="auto"/>
      </w:divBdr>
    </w:div>
    <w:div w:id="2072341450">
      <w:bodyDiv w:val="1"/>
      <w:marLeft w:val="0"/>
      <w:marRight w:val="0"/>
      <w:marTop w:val="0"/>
      <w:marBottom w:val="0"/>
      <w:divBdr>
        <w:top w:val="none" w:sz="0" w:space="0" w:color="auto"/>
        <w:left w:val="none" w:sz="0" w:space="0" w:color="auto"/>
        <w:bottom w:val="none" w:sz="0" w:space="0" w:color="auto"/>
        <w:right w:val="none" w:sz="0" w:space="0" w:color="auto"/>
      </w:divBdr>
    </w:div>
    <w:div w:id="2137335258">
      <w:bodyDiv w:val="1"/>
      <w:marLeft w:val="0"/>
      <w:marRight w:val="0"/>
      <w:marTop w:val="0"/>
      <w:marBottom w:val="0"/>
      <w:divBdr>
        <w:top w:val="none" w:sz="0" w:space="0" w:color="auto"/>
        <w:left w:val="none" w:sz="0" w:space="0" w:color="auto"/>
        <w:bottom w:val="none" w:sz="0" w:space="0" w:color="auto"/>
        <w:right w:val="none" w:sz="0" w:space="0" w:color="auto"/>
      </w:divBdr>
    </w:div>
    <w:div w:id="214257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ifrem.edomex.gob.mx/organigrama" TargetMode="External"/><Relationship Id="rId27" Type="http://schemas.openxmlformats.org/officeDocument/2006/relationships/image" Target="media/image19.emf"/><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footnotes.xml.rels><?xml version="1.0" encoding="UTF-8" standalone="yes"?>
<Relationships xmlns="http://schemas.openxmlformats.org/package/2006/relationships"><Relationship Id="rId1" Type="http://schemas.openxmlformats.org/officeDocument/2006/relationships/hyperlink" Target="https://www.standardandpoors.com/es_LA/delegate/getPDF?articleId=2485922&amp;type=NEWS&amp;subType=RATING_A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13441-0E2F-41CE-8EED-1250FD90F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29</Pages>
  <Words>9480</Words>
  <Characters>52144</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 rodriguez cruz</dc:creator>
  <cp:lastModifiedBy>Sub Finanzas</cp:lastModifiedBy>
  <cp:revision>8</cp:revision>
  <cp:lastPrinted>2021-03-19T20:39:00Z</cp:lastPrinted>
  <dcterms:created xsi:type="dcterms:W3CDTF">2021-03-24T15:53:00Z</dcterms:created>
  <dcterms:modified xsi:type="dcterms:W3CDTF">2021-03-25T20:54:00Z</dcterms:modified>
</cp:coreProperties>
</file>