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DF5B" w14:textId="77777777" w:rsidR="00F42B4B" w:rsidRPr="00BC337F" w:rsidRDefault="00F42B4B" w:rsidP="00F42B4B">
      <w:pPr>
        <w:spacing w:after="101" w:line="276" w:lineRule="auto"/>
        <w:ind w:left="648" w:right="-1"/>
        <w:jc w:val="center"/>
        <w:rPr>
          <w:rFonts w:eastAsia="Times New Roman" w:cs="Arial"/>
          <w:b/>
          <w:lang w:val="es-ES" w:eastAsia="es-ES"/>
        </w:rPr>
      </w:pPr>
      <w:r w:rsidRPr="00BC337F">
        <w:rPr>
          <w:rFonts w:eastAsia="Times New Roman" w:cs="Arial"/>
          <w:b/>
          <w:lang w:val="es-ES" w:eastAsia="es-ES"/>
        </w:rPr>
        <w:t>NOTAS A LOS ESTADOS FINANCIEROS</w:t>
      </w:r>
    </w:p>
    <w:p w14:paraId="4F955E54" w14:textId="77777777" w:rsidR="00F42B4B" w:rsidRPr="00F42B4B" w:rsidRDefault="00F42B4B" w:rsidP="00F42B4B">
      <w:pPr>
        <w:spacing w:line="276" w:lineRule="auto"/>
        <w:ind w:right="-1"/>
        <w:jc w:val="center"/>
        <w:outlineLvl w:val="0"/>
      </w:pPr>
      <w:r w:rsidRPr="00F42B4B">
        <w:rPr>
          <w:b/>
        </w:rPr>
        <w:t xml:space="preserve">Entidad: </w:t>
      </w:r>
      <w:r w:rsidRPr="00F42B4B">
        <w:rPr>
          <w:u w:val="single"/>
        </w:rPr>
        <w:t>Instituto de la Función Registral del Estado de México</w:t>
      </w:r>
      <w:r w:rsidRPr="00F42B4B">
        <w:t xml:space="preserve"> (IFREM).</w:t>
      </w:r>
    </w:p>
    <w:p w14:paraId="3050A62A" w14:textId="77777777" w:rsidR="00F42B4B" w:rsidRPr="00F42B4B" w:rsidRDefault="00F42B4B" w:rsidP="00F42B4B">
      <w:pPr>
        <w:spacing w:line="276" w:lineRule="auto"/>
        <w:ind w:right="-1"/>
        <w:jc w:val="center"/>
        <w:outlineLvl w:val="0"/>
        <w:rPr>
          <w:u w:val="single"/>
        </w:rPr>
      </w:pPr>
      <w:r w:rsidRPr="00F42B4B">
        <w:rPr>
          <w:b/>
        </w:rPr>
        <w:t xml:space="preserve">Mes: </w:t>
      </w:r>
      <w:r w:rsidRPr="00F42B4B">
        <w:rPr>
          <w:u w:val="single"/>
        </w:rPr>
        <w:t>Junio</w:t>
      </w:r>
      <w:r w:rsidRPr="00F42B4B">
        <w:t xml:space="preserve"> </w:t>
      </w:r>
      <w:r w:rsidRPr="00F42B4B">
        <w:rPr>
          <w:b/>
        </w:rPr>
        <w:t>de</w:t>
      </w:r>
      <w:r w:rsidRPr="00F42B4B">
        <w:t xml:space="preserve"> </w:t>
      </w:r>
      <w:r w:rsidRPr="00F42B4B">
        <w:rPr>
          <w:u w:val="single"/>
        </w:rPr>
        <w:t>2020.</w:t>
      </w:r>
    </w:p>
    <w:p w14:paraId="21037772" w14:textId="77777777" w:rsidR="00F42B4B" w:rsidRPr="00F42B4B" w:rsidRDefault="00F42B4B" w:rsidP="00F42B4B">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F42B4B">
        <w:rPr>
          <w:rFonts w:eastAsia="Times New Roman" w:cs="Arial"/>
          <w:b/>
          <w:lang w:eastAsia="es-MX"/>
        </w:rPr>
        <w:t>NOTAS DE DESGLOSE</w:t>
      </w:r>
    </w:p>
    <w:p w14:paraId="1D0A1041" w14:textId="77777777" w:rsidR="00F42B4B" w:rsidRPr="00F42B4B" w:rsidRDefault="00F42B4B" w:rsidP="00F42B4B">
      <w:pPr>
        <w:tabs>
          <w:tab w:val="left" w:pos="3836"/>
        </w:tabs>
        <w:spacing w:after="0" w:line="276" w:lineRule="auto"/>
        <w:ind w:left="714" w:right="-1"/>
        <w:contextualSpacing/>
        <w:outlineLvl w:val="0"/>
        <w:rPr>
          <w:rFonts w:eastAsia="Times New Roman" w:cs="Arial"/>
          <w:b/>
          <w:sz w:val="8"/>
          <w:lang w:eastAsia="es-MX"/>
        </w:rPr>
      </w:pPr>
    </w:p>
    <w:p w14:paraId="261E5E2A" w14:textId="77777777" w:rsidR="00F42B4B" w:rsidRPr="00F42B4B" w:rsidRDefault="00F42B4B" w:rsidP="00F42B4B">
      <w:pPr>
        <w:numPr>
          <w:ilvl w:val="0"/>
          <w:numId w:val="16"/>
        </w:numPr>
        <w:spacing w:before="240" w:after="240" w:line="276" w:lineRule="auto"/>
        <w:ind w:right="-1"/>
        <w:contextualSpacing/>
        <w:outlineLvl w:val="0"/>
        <w:rPr>
          <w:rFonts w:eastAsia="Times New Roman" w:cs="Arial"/>
          <w:b/>
          <w:lang w:eastAsia="es-MX"/>
        </w:rPr>
      </w:pPr>
      <w:r w:rsidRPr="00F42B4B">
        <w:rPr>
          <w:rFonts w:eastAsia="Times New Roman" w:cs="Arial"/>
          <w:b/>
          <w:lang w:eastAsia="es-MX"/>
        </w:rPr>
        <w:t>NOTAS AL ESTADO DE SITUACIÓN FINANCIERA</w:t>
      </w:r>
    </w:p>
    <w:p w14:paraId="760F2ED9" w14:textId="77777777" w:rsidR="00F42B4B" w:rsidRPr="00F42B4B" w:rsidRDefault="00F42B4B" w:rsidP="00F42B4B">
      <w:pPr>
        <w:spacing w:before="240" w:after="240" w:line="276" w:lineRule="auto"/>
        <w:ind w:right="-1"/>
        <w:outlineLvl w:val="0"/>
        <w:rPr>
          <w:rFonts w:cs="Arial"/>
          <w:b/>
        </w:rPr>
      </w:pPr>
      <w:r w:rsidRPr="00F42B4B">
        <w:rPr>
          <w:rFonts w:cs="Arial"/>
          <w:b/>
        </w:rPr>
        <w:t>Activo Circulante</w:t>
      </w:r>
    </w:p>
    <w:p w14:paraId="3F852083" w14:textId="77777777" w:rsidR="00F42B4B" w:rsidRPr="00F42B4B" w:rsidRDefault="00F42B4B" w:rsidP="00F42B4B">
      <w:pPr>
        <w:tabs>
          <w:tab w:val="left" w:pos="3836"/>
        </w:tabs>
        <w:spacing w:line="276" w:lineRule="auto"/>
        <w:ind w:right="-1"/>
        <w:jc w:val="both"/>
        <w:rPr>
          <w:rFonts w:cs="Arial"/>
        </w:rPr>
      </w:pPr>
      <w:r w:rsidRPr="00F42B4B">
        <w:rPr>
          <w:rFonts w:cs="Arial"/>
          <w:b/>
          <w:bCs/>
        </w:rPr>
        <w:t xml:space="preserve">Efectivo y Equivalentes. - </w:t>
      </w:r>
      <w:r w:rsidRPr="00F42B4B">
        <w:rPr>
          <w:rFonts w:cs="Arial"/>
        </w:rPr>
        <w:t xml:space="preserve">El saldo de </w:t>
      </w:r>
      <w:r w:rsidRPr="00F42B4B">
        <w:rPr>
          <w:rFonts w:eastAsia="HelveticaNeueLT Std" w:cs="HelveticaNeueLT Std"/>
          <w:sz w:val="22"/>
          <w:szCs w:val="22"/>
        </w:rPr>
        <w:t>520</w:t>
      </w:r>
      <w:proofErr w:type="gramStart"/>
      <w:r w:rsidRPr="00F42B4B">
        <w:rPr>
          <w:rFonts w:eastAsia="HelveticaNeueLT Std" w:cs="HelveticaNeueLT Std"/>
          <w:sz w:val="22"/>
          <w:szCs w:val="22"/>
        </w:rPr>
        <w:t>,931,821.80</w:t>
      </w:r>
      <w:proofErr w:type="gramEnd"/>
      <w:r w:rsidRPr="00F42B4B">
        <w:rPr>
          <w:rFonts w:cs="Arial"/>
        </w:rPr>
        <w:t>, se integra con las siguientes cuentas:</w:t>
      </w:r>
    </w:p>
    <w:p w14:paraId="713D07CC" w14:textId="77777777" w:rsidR="00F42B4B" w:rsidRPr="00F42B4B" w:rsidRDefault="00F42B4B" w:rsidP="00F42B4B">
      <w:pPr>
        <w:numPr>
          <w:ilvl w:val="0"/>
          <w:numId w:val="1"/>
        </w:numPr>
        <w:spacing w:line="276" w:lineRule="auto"/>
        <w:ind w:right="-1"/>
        <w:jc w:val="both"/>
        <w:rPr>
          <w:rFonts w:cs="Arial"/>
        </w:rPr>
      </w:pPr>
      <w:r w:rsidRPr="00F42B4B">
        <w:rPr>
          <w:rFonts w:cs="Arial"/>
          <w:b/>
        </w:rPr>
        <w:t xml:space="preserve">Efectivo. - </w:t>
      </w:r>
      <w:r w:rsidRPr="00F42B4B">
        <w:rPr>
          <w:rFonts w:cs="Arial"/>
        </w:rPr>
        <w:t xml:space="preserve">El saldo de </w:t>
      </w:r>
      <w:r w:rsidRPr="00F42B4B">
        <w:rPr>
          <w:rFonts w:eastAsia="HelveticaNeueLT Std" w:cs="HelveticaNeueLT Std"/>
          <w:sz w:val="22"/>
          <w:szCs w:val="22"/>
        </w:rPr>
        <w:t>33,000.00</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14:paraId="4D60FE84" w14:textId="77777777" w:rsidR="00F42B4B" w:rsidRPr="00F42B4B" w:rsidRDefault="00F42B4B" w:rsidP="00F42B4B">
      <w:pPr>
        <w:numPr>
          <w:ilvl w:val="0"/>
          <w:numId w:val="1"/>
        </w:numPr>
        <w:spacing w:after="0" w:line="276" w:lineRule="auto"/>
        <w:ind w:right="-1"/>
        <w:jc w:val="both"/>
        <w:rPr>
          <w:rFonts w:eastAsia="HelveticaNeueLT Std" w:cs="HelveticaNeueLT Std"/>
          <w:b/>
          <w:bCs/>
        </w:rPr>
      </w:pPr>
      <w:r w:rsidRPr="00F42B4B">
        <w:rPr>
          <w:rFonts w:cs="Arial"/>
          <w:b/>
          <w:bCs/>
        </w:rPr>
        <w:t xml:space="preserve">Bancos/Tesorería. - </w:t>
      </w:r>
      <w:r w:rsidRPr="00F42B4B">
        <w:rPr>
          <w:rFonts w:cs="Arial"/>
        </w:rPr>
        <w:t xml:space="preserve">El saldo </w:t>
      </w:r>
      <w:r w:rsidRPr="00F42B4B">
        <w:rPr>
          <w:rFonts w:cs="Arial"/>
          <w:color w:val="000000" w:themeColor="text1"/>
        </w:rPr>
        <w:t xml:space="preserve">de </w:t>
      </w:r>
      <w:r w:rsidRPr="00F42B4B">
        <w:rPr>
          <w:rFonts w:eastAsia="HelveticaNeueLT Std" w:cs="HelveticaNeueLT Std"/>
          <w:sz w:val="22"/>
          <w:szCs w:val="22"/>
        </w:rPr>
        <w:t>9</w:t>
      </w:r>
      <w:proofErr w:type="gramStart"/>
      <w:r w:rsidRPr="00F42B4B">
        <w:rPr>
          <w:rFonts w:eastAsia="HelveticaNeueLT Std" w:cs="HelveticaNeueLT Std"/>
          <w:sz w:val="22"/>
          <w:szCs w:val="22"/>
        </w:rPr>
        <w:t>,628,286.85</w:t>
      </w:r>
      <w:proofErr w:type="gramEnd"/>
      <w:r w:rsidRPr="00F42B4B">
        <w:rPr>
          <w:rFonts w:eastAsia="HelveticaNeueLT Std" w:cs="HelveticaNeueLT Std"/>
          <w:sz w:val="22"/>
          <w:szCs w:val="22"/>
        </w:rPr>
        <w:t xml:space="preserve"> r</w:t>
      </w:r>
      <w:r w:rsidRPr="00F42B4B">
        <w:rPr>
          <w:rFonts w:cs="Arial"/>
        </w:rPr>
        <w:t>efleja la disponibilidad financiera para cubrir los gastos por las necesidades de la operación y de inversión, con la finalidad de cumplir con los compromisos de pago en tiempo y forma. La relación de cuentas productivas especificas es la siguiente:</w:t>
      </w:r>
    </w:p>
    <w:p w14:paraId="1D10ECE4" w14:textId="77777777" w:rsidR="00F42B4B" w:rsidRPr="00F42B4B" w:rsidRDefault="00F42B4B" w:rsidP="00F42B4B">
      <w:pPr>
        <w:spacing w:after="0" w:line="276" w:lineRule="auto"/>
        <w:ind w:left="502" w:right="-1"/>
        <w:jc w:val="both"/>
        <w:rPr>
          <w:rFonts w:cs="Arial"/>
          <w:b/>
        </w:rPr>
      </w:pPr>
    </w:p>
    <w:p w14:paraId="2D5C9FA0" w14:textId="77777777" w:rsidR="00F42B4B" w:rsidRPr="00F42B4B" w:rsidRDefault="00F42B4B" w:rsidP="00F42B4B">
      <w:pPr>
        <w:spacing w:after="0" w:line="276" w:lineRule="auto"/>
        <w:ind w:left="360" w:right="-1"/>
        <w:jc w:val="center"/>
        <w:rPr>
          <w:rFonts w:cs="Arial"/>
          <w:b/>
        </w:rPr>
      </w:pPr>
      <w:r w:rsidRPr="00F42B4B">
        <w:rPr>
          <w:noProof/>
          <w:lang w:eastAsia="es-MX"/>
        </w:rPr>
        <w:drawing>
          <wp:inline distT="0" distB="0" distL="0" distR="0" wp14:anchorId="46A4F49C" wp14:editId="4148D093">
            <wp:extent cx="5362575" cy="3952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952875"/>
                    </a:xfrm>
                    <a:prstGeom prst="rect">
                      <a:avLst/>
                    </a:prstGeom>
                    <a:noFill/>
                    <a:ln>
                      <a:noFill/>
                    </a:ln>
                  </pic:spPr>
                </pic:pic>
              </a:graphicData>
            </a:graphic>
          </wp:inline>
        </w:drawing>
      </w:r>
    </w:p>
    <w:p w14:paraId="55648AD3" w14:textId="2C481155" w:rsidR="00F42B4B" w:rsidRPr="00F42B4B" w:rsidRDefault="00F42B4B" w:rsidP="00F42B4B">
      <w:pPr>
        <w:numPr>
          <w:ilvl w:val="0"/>
          <w:numId w:val="1"/>
        </w:numPr>
        <w:tabs>
          <w:tab w:val="left" w:pos="639"/>
          <w:tab w:val="left" w:pos="3836"/>
        </w:tabs>
        <w:spacing w:before="240" w:after="0" w:line="276" w:lineRule="auto"/>
        <w:jc w:val="both"/>
        <w:rPr>
          <w:rFonts w:ascii="Arial" w:eastAsia="Arial" w:hAnsi="Arial" w:cs="Arial"/>
          <w:color w:val="000000" w:themeColor="text1"/>
        </w:rPr>
      </w:pPr>
      <w:r w:rsidRPr="00F42B4B">
        <w:rPr>
          <w:rFonts w:eastAsia="Times New Roman" w:cs="Arial"/>
          <w:b/>
          <w:bCs/>
          <w:lang w:eastAsia="es-MX"/>
        </w:rPr>
        <w:lastRenderedPageBreak/>
        <w:t>Inversiones Temporales (Hasta 3 meses). -</w:t>
      </w:r>
      <w:r w:rsidR="0006176E">
        <w:rPr>
          <w:rFonts w:eastAsia="Times New Roman" w:cs="Arial"/>
          <w:b/>
          <w:bCs/>
          <w:lang w:eastAsia="es-MX"/>
        </w:rPr>
        <w:t xml:space="preserve"> </w:t>
      </w:r>
      <w:r w:rsidRPr="00F42B4B">
        <w:rPr>
          <w:rFonts w:eastAsia="Times New Roman" w:cs="Arial"/>
          <w:lang w:eastAsia="es-MX"/>
        </w:rPr>
        <w:t xml:space="preserve">El saldo </w:t>
      </w:r>
      <w:r w:rsidRPr="00F42B4B">
        <w:rPr>
          <w:rFonts w:eastAsia="Times New Roman" w:cs="Arial"/>
          <w:color w:val="000000" w:themeColor="text1"/>
          <w:lang w:eastAsia="es-MX"/>
        </w:rPr>
        <w:t xml:space="preserve">de </w:t>
      </w:r>
      <w:r w:rsidRPr="00F42B4B">
        <w:rPr>
          <w:rFonts w:eastAsia="HelveticaNeueLT Std" w:cs="HelveticaNeueLT Std"/>
          <w:sz w:val="22"/>
          <w:szCs w:val="22"/>
        </w:rPr>
        <w:t>511</w:t>
      </w:r>
      <w:proofErr w:type="gramStart"/>
      <w:r w:rsidRPr="00F42B4B">
        <w:rPr>
          <w:rFonts w:eastAsia="HelveticaNeueLT Std" w:cs="HelveticaNeueLT Std"/>
          <w:sz w:val="22"/>
          <w:szCs w:val="22"/>
        </w:rPr>
        <w:t>,270,534.95</w:t>
      </w:r>
      <w:proofErr w:type="gramEnd"/>
      <w:r w:rsidRPr="00F42B4B">
        <w:rPr>
          <w:rFonts w:eastAsia="HelveticaNeueLT Std" w:cs="HelveticaNeueLT Std"/>
          <w:sz w:val="22"/>
          <w:szCs w:val="22"/>
        </w:rPr>
        <w:t xml:space="preserve"> </w:t>
      </w:r>
      <w:r w:rsidRPr="00F42B4B">
        <w:rPr>
          <w:rFonts w:eastAsia="Times New Roman" w:cs="Arial"/>
          <w:lang w:eastAsia="es-MX"/>
        </w:rPr>
        <w:t xml:space="preserve">refleja los depósitos bancarios a la vista para tener disponibilidades financieras en instrumentos de renta fija y poder cubrir con oportunidad los gastos de operación y de inversión del Instituto. Los intereses se registran en Otros Ingresos Financieros. </w:t>
      </w:r>
    </w:p>
    <w:p w14:paraId="0D2EA85B" w14:textId="77777777" w:rsidR="00F42B4B" w:rsidRPr="00F42B4B" w:rsidRDefault="00F42B4B" w:rsidP="00F42B4B">
      <w:pPr>
        <w:tabs>
          <w:tab w:val="left" w:pos="639"/>
          <w:tab w:val="left" w:pos="3836"/>
        </w:tabs>
        <w:spacing w:before="240" w:after="0" w:line="276" w:lineRule="auto"/>
        <w:ind w:left="502"/>
        <w:jc w:val="center"/>
        <w:rPr>
          <w:rFonts w:ascii="Arial" w:eastAsia="Arial" w:hAnsi="Arial" w:cs="Arial"/>
          <w:color w:val="000000" w:themeColor="text1"/>
        </w:rPr>
      </w:pPr>
      <w:r w:rsidRPr="00F42B4B">
        <w:rPr>
          <w:noProof/>
          <w:lang w:eastAsia="es-MX"/>
        </w:rPr>
        <w:drawing>
          <wp:inline distT="0" distB="0" distL="0" distR="0" wp14:anchorId="21767152" wp14:editId="57E60911">
            <wp:extent cx="5362575" cy="9048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904875"/>
                    </a:xfrm>
                    <a:prstGeom prst="rect">
                      <a:avLst/>
                    </a:prstGeom>
                    <a:noFill/>
                    <a:ln>
                      <a:noFill/>
                    </a:ln>
                  </pic:spPr>
                </pic:pic>
              </a:graphicData>
            </a:graphic>
          </wp:inline>
        </w:drawing>
      </w:r>
    </w:p>
    <w:p w14:paraId="51FD6D85" w14:textId="77777777" w:rsidR="00F42B4B" w:rsidRPr="00F42B4B" w:rsidRDefault="00F42B4B" w:rsidP="00F42B4B">
      <w:pPr>
        <w:tabs>
          <w:tab w:val="left" w:pos="639"/>
          <w:tab w:val="left" w:pos="3836"/>
        </w:tabs>
        <w:spacing w:before="240" w:after="0" w:line="276" w:lineRule="auto"/>
        <w:ind w:left="142"/>
        <w:jc w:val="both"/>
      </w:pPr>
      <w:r w:rsidRPr="00F42B4B">
        <w:rPr>
          <w:rFonts w:eastAsia="Times New Roman" w:cs="Arial"/>
          <w:lang w:eastAsia="es-MX"/>
        </w:rPr>
        <w:t>En relación a la cuenta de Santander 680, ver comentarios del último párrafo del punto 10 de las Notas de Gestión Administrativa.</w:t>
      </w:r>
    </w:p>
    <w:p w14:paraId="025F6595" w14:textId="77777777" w:rsidR="00F42B4B" w:rsidRPr="00F42B4B" w:rsidRDefault="00F42B4B" w:rsidP="00F42B4B">
      <w:pPr>
        <w:tabs>
          <w:tab w:val="left" w:pos="639"/>
          <w:tab w:val="left" w:pos="3836"/>
        </w:tabs>
        <w:spacing w:before="240" w:line="276" w:lineRule="auto"/>
        <w:ind w:right="-1"/>
        <w:jc w:val="both"/>
        <w:rPr>
          <w:rFonts w:cs="Arial"/>
        </w:rPr>
      </w:pPr>
      <w:r w:rsidRPr="00F42B4B">
        <w:rPr>
          <w:rFonts w:cs="Arial"/>
          <w:b/>
          <w:bCs/>
        </w:rPr>
        <w:t xml:space="preserve">Derecho a Recibir Efectivo o Equivalentes. - </w:t>
      </w:r>
      <w:r w:rsidRPr="00F42B4B">
        <w:rPr>
          <w:rFonts w:cs="Arial"/>
        </w:rPr>
        <w:t xml:space="preserve">El saldo </w:t>
      </w:r>
      <w:r w:rsidRPr="00F42B4B">
        <w:rPr>
          <w:rFonts w:cs="Arial"/>
          <w:color w:val="000000" w:themeColor="text1"/>
        </w:rPr>
        <w:t>de 39.000.00</w:t>
      </w:r>
      <w:r w:rsidRPr="00F42B4B">
        <w:rPr>
          <w:rFonts w:cs="Arial"/>
          <w:color w:val="000000" w:themeColor="text1"/>
          <w:shd w:val="clear" w:color="auto" w:fill="FFFFFF" w:themeFill="background1"/>
        </w:rPr>
        <w:t xml:space="preserve"> </w:t>
      </w:r>
      <w:r w:rsidRPr="00F42B4B">
        <w:rPr>
          <w:rFonts w:cs="Arial"/>
        </w:rPr>
        <w:t>se integra de las siguientes cuentas:</w:t>
      </w:r>
    </w:p>
    <w:p w14:paraId="20C8A593" w14:textId="77777777" w:rsidR="00F42B4B" w:rsidRPr="00F42B4B" w:rsidRDefault="00F42B4B" w:rsidP="00F42B4B">
      <w:pPr>
        <w:numPr>
          <w:ilvl w:val="0"/>
          <w:numId w:val="1"/>
        </w:numPr>
        <w:tabs>
          <w:tab w:val="left" w:pos="639"/>
          <w:tab w:val="left" w:pos="3836"/>
        </w:tabs>
        <w:spacing w:before="240" w:after="0" w:line="276" w:lineRule="auto"/>
        <w:ind w:right="-1"/>
        <w:contextualSpacing/>
        <w:jc w:val="both"/>
        <w:rPr>
          <w:rFonts w:cs="Arial"/>
        </w:rPr>
      </w:pPr>
      <w:r w:rsidRPr="00F42B4B">
        <w:rPr>
          <w:rFonts w:cs="Arial"/>
          <w:b/>
          <w:bCs/>
        </w:rPr>
        <w:t>Deudores Diversos. -</w:t>
      </w:r>
      <w:r w:rsidRPr="00F42B4B">
        <w:rPr>
          <w:rFonts w:cs="Arial"/>
        </w:rPr>
        <w:t xml:space="preserve"> El </w:t>
      </w:r>
      <w:r w:rsidRPr="00F42B4B">
        <w:rPr>
          <w:rFonts w:cs="Arial"/>
          <w:color w:val="000000" w:themeColor="text1"/>
        </w:rPr>
        <w:t>saldo de 39.000.00 se integra del importe de gastos a comprobar de un servidor público en cumplimiento de sus funciones</w:t>
      </w:r>
      <w:r w:rsidRPr="00F42B4B">
        <w:rPr>
          <w:rFonts w:cs="Arial"/>
        </w:rPr>
        <w:t>.</w:t>
      </w:r>
    </w:p>
    <w:p w14:paraId="4C84C4D5" w14:textId="77777777" w:rsidR="00F42B4B" w:rsidRPr="00F42B4B" w:rsidRDefault="00F42B4B" w:rsidP="00F42B4B">
      <w:pPr>
        <w:tabs>
          <w:tab w:val="left" w:pos="639"/>
          <w:tab w:val="left" w:pos="3836"/>
        </w:tabs>
        <w:spacing w:before="240" w:after="0" w:line="276" w:lineRule="auto"/>
        <w:ind w:left="502" w:right="-1"/>
        <w:contextualSpacing/>
        <w:jc w:val="both"/>
        <w:rPr>
          <w:rFonts w:cs="Arial"/>
        </w:rPr>
      </w:pPr>
    </w:p>
    <w:p w14:paraId="1C7FF45A" w14:textId="77777777" w:rsidR="00F42B4B" w:rsidRPr="00F42B4B" w:rsidRDefault="00F42B4B" w:rsidP="00F42B4B">
      <w:pPr>
        <w:tabs>
          <w:tab w:val="left" w:pos="639"/>
          <w:tab w:val="left" w:pos="3836"/>
        </w:tabs>
        <w:spacing w:before="240" w:after="0" w:line="276" w:lineRule="auto"/>
        <w:ind w:left="502" w:right="-1"/>
        <w:contextualSpacing/>
        <w:jc w:val="center"/>
        <w:rPr>
          <w:rFonts w:cs="Arial"/>
        </w:rPr>
      </w:pPr>
      <w:r w:rsidRPr="00F42B4B">
        <w:rPr>
          <w:noProof/>
          <w:lang w:eastAsia="es-MX"/>
        </w:rPr>
        <w:drawing>
          <wp:inline distT="0" distB="0" distL="0" distR="0" wp14:anchorId="2EF6A672" wp14:editId="475C3204">
            <wp:extent cx="5305425" cy="13144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314450"/>
                    </a:xfrm>
                    <a:prstGeom prst="rect">
                      <a:avLst/>
                    </a:prstGeom>
                    <a:noFill/>
                    <a:ln>
                      <a:noFill/>
                    </a:ln>
                  </pic:spPr>
                </pic:pic>
              </a:graphicData>
            </a:graphic>
          </wp:inline>
        </w:drawing>
      </w:r>
    </w:p>
    <w:p w14:paraId="73CDD36B" w14:textId="77777777" w:rsidR="00F42B4B" w:rsidRPr="00F42B4B" w:rsidRDefault="00F42B4B" w:rsidP="00F42B4B">
      <w:pPr>
        <w:spacing w:after="0" w:line="276" w:lineRule="auto"/>
        <w:ind w:right="-1"/>
        <w:jc w:val="both"/>
        <w:rPr>
          <w:rFonts w:cs="Arial"/>
          <w:b/>
        </w:rPr>
      </w:pPr>
    </w:p>
    <w:p w14:paraId="3A34AEF3" w14:textId="77777777" w:rsidR="00F42B4B" w:rsidRPr="00F42B4B" w:rsidRDefault="00F42B4B" w:rsidP="00F42B4B">
      <w:pPr>
        <w:spacing w:after="0" w:line="276" w:lineRule="auto"/>
        <w:ind w:right="-1"/>
        <w:jc w:val="both"/>
        <w:rPr>
          <w:rFonts w:cs="Arial"/>
          <w:b/>
        </w:rPr>
      </w:pPr>
      <w:r w:rsidRPr="00F42B4B">
        <w:rPr>
          <w:rFonts w:cs="Arial"/>
          <w:b/>
        </w:rPr>
        <w:t>Activo No Circulante</w:t>
      </w:r>
    </w:p>
    <w:p w14:paraId="12287C84" w14:textId="77777777" w:rsidR="00F42B4B" w:rsidRPr="00F42B4B" w:rsidRDefault="00F42B4B" w:rsidP="00F42B4B">
      <w:pPr>
        <w:spacing w:after="0" w:line="276" w:lineRule="auto"/>
        <w:ind w:right="-1"/>
        <w:jc w:val="both"/>
        <w:rPr>
          <w:rFonts w:cs="Arial"/>
          <w:b/>
          <w:sz w:val="12"/>
        </w:rPr>
      </w:pPr>
    </w:p>
    <w:p w14:paraId="363D9E6F" w14:textId="77777777" w:rsidR="00F42B4B" w:rsidRPr="00F42B4B" w:rsidRDefault="00F42B4B" w:rsidP="00F42B4B">
      <w:pPr>
        <w:tabs>
          <w:tab w:val="left" w:pos="3836"/>
        </w:tabs>
        <w:spacing w:line="276" w:lineRule="auto"/>
        <w:ind w:right="-1"/>
        <w:jc w:val="both"/>
        <w:rPr>
          <w:rFonts w:cs="Arial"/>
          <w:b/>
        </w:rPr>
      </w:pPr>
      <w:r w:rsidRPr="00F42B4B">
        <w:rPr>
          <w:rFonts w:cs="Arial"/>
          <w:b/>
        </w:rPr>
        <w:t xml:space="preserve">Inversiones Financieras a Largo Plazo. - </w:t>
      </w:r>
      <w:r w:rsidRPr="00F42B4B">
        <w:rPr>
          <w:rFonts w:cs="Arial"/>
        </w:rPr>
        <w:t>El saldo se integra con la siguiente cuenta</w:t>
      </w:r>
      <w:r w:rsidRPr="00F42B4B">
        <w:rPr>
          <w:rFonts w:cs="Arial"/>
          <w:b/>
        </w:rPr>
        <w:t>:</w:t>
      </w:r>
      <w:r w:rsidRPr="00F42B4B">
        <w:t xml:space="preserve"> </w:t>
      </w:r>
    </w:p>
    <w:p w14:paraId="74F3D0ED" w14:textId="77777777" w:rsidR="00F42B4B" w:rsidRPr="00F42B4B" w:rsidRDefault="00F42B4B" w:rsidP="00F42B4B">
      <w:pPr>
        <w:pStyle w:val="Prrafodelista"/>
        <w:numPr>
          <w:ilvl w:val="0"/>
          <w:numId w:val="1"/>
        </w:numPr>
        <w:spacing w:line="276" w:lineRule="auto"/>
        <w:ind w:right="-1"/>
        <w:jc w:val="both"/>
        <w:rPr>
          <w:rFonts w:ascii="HelveticaNeueLT Std" w:eastAsia="HelveticaNeueLT Std" w:hAnsi="HelveticaNeueLT Std" w:cs="HelveticaNeueLT Std"/>
          <w:b/>
          <w:bCs/>
          <w:color w:val="000000" w:themeColor="text1"/>
          <w:sz w:val="20"/>
          <w:szCs w:val="20"/>
        </w:rPr>
      </w:pPr>
      <w:r w:rsidRPr="00F42B4B">
        <w:rPr>
          <w:rFonts w:ascii="HelveticaNeueLT Std" w:eastAsiaTheme="minorEastAsia" w:hAnsi="HelveticaNeueLT Std" w:cs="Arial"/>
          <w:b/>
          <w:bCs/>
          <w:color w:val="000000" w:themeColor="text1"/>
          <w:sz w:val="20"/>
          <w:szCs w:val="20"/>
          <w:lang w:eastAsia="en-US"/>
        </w:rPr>
        <w:t>Fideicomisos, Mandatos y Contratos Análogos. -</w:t>
      </w:r>
      <w:r w:rsidRPr="00F42B4B">
        <w:rPr>
          <w:rFonts w:ascii="HelveticaNeueLT Std" w:eastAsiaTheme="minorEastAsia" w:hAnsi="HelveticaNeueLT Std" w:cs="Arial"/>
          <w:color w:val="000000" w:themeColor="text1"/>
          <w:sz w:val="20"/>
          <w:szCs w:val="20"/>
          <w:lang w:eastAsia="en-US"/>
        </w:rPr>
        <w:t xml:space="preserve"> El saldo de esta cuenta al mes que se analiza es por </w:t>
      </w:r>
      <w:r w:rsidRPr="00F42B4B">
        <w:rPr>
          <w:rFonts w:ascii="HelveticaNeueLT Std" w:eastAsia="HelveticaNeueLT Std" w:hAnsi="HelveticaNeueLT Std" w:cs="HelveticaNeueLT Std"/>
          <w:sz w:val="22"/>
          <w:szCs w:val="22"/>
          <w:lang w:eastAsia="en-US"/>
        </w:rPr>
        <w:t>4,834,553,147.10</w:t>
      </w:r>
      <w:r w:rsidRPr="00F42B4B">
        <w:rPr>
          <w:rFonts w:ascii="HelveticaNeueLT Std" w:eastAsiaTheme="minorEastAsia" w:hAnsi="HelveticaNeueLT Std" w:cs="Arial"/>
          <w:color w:val="000000" w:themeColor="text1"/>
          <w:sz w:val="22"/>
          <w:szCs w:val="22"/>
          <w:lang w:eastAsia="en-US"/>
        </w:rPr>
        <w:t>,</w:t>
      </w:r>
      <w:r w:rsidRPr="00F42B4B">
        <w:rPr>
          <w:rFonts w:ascii="HelveticaNeueLT Std" w:eastAsiaTheme="minorEastAsia" w:hAnsi="HelveticaNeueLT Std" w:cs="Arial"/>
          <w:color w:val="000000" w:themeColor="text1"/>
          <w:sz w:val="20"/>
          <w:szCs w:val="20"/>
          <w:lang w:eastAsia="en-US"/>
        </w:rPr>
        <w:t xml:space="preserve"> que refleja los recursos transferidos al Fideicomiso de Cobranza, que corresponden por las siguientes cantidades, al RPP por </w:t>
      </w:r>
      <w:r w:rsidRPr="00F42B4B">
        <w:rPr>
          <w:rFonts w:ascii="HelveticaNeueLT Std" w:eastAsia="HelveticaNeueLT Std" w:hAnsi="HelveticaNeueLT Std" w:cs="HelveticaNeueLT Std"/>
          <w:sz w:val="22"/>
          <w:szCs w:val="22"/>
          <w:lang w:eastAsia="en-US"/>
        </w:rPr>
        <w:t>4,823,587,020.48</w:t>
      </w:r>
      <w:r w:rsidRPr="00F42B4B">
        <w:rPr>
          <w:rFonts w:ascii="HelveticaNeueLT Std" w:eastAsiaTheme="minorEastAsia" w:hAnsi="HelveticaNeueLT Std" w:cs="Arial"/>
          <w:color w:val="000000" w:themeColor="text1"/>
          <w:sz w:val="20"/>
          <w:szCs w:val="20"/>
          <w:lang w:eastAsia="en-US"/>
        </w:rPr>
        <w:t xml:space="preserve">, y al RPC por de </w:t>
      </w:r>
      <w:r w:rsidRPr="00F42B4B">
        <w:rPr>
          <w:rFonts w:ascii="HelveticaNeueLT Std" w:eastAsia="HelveticaNeueLT Std" w:hAnsi="HelveticaNeueLT Std" w:cs="HelveticaNeueLT Std"/>
          <w:sz w:val="22"/>
          <w:szCs w:val="22"/>
          <w:lang w:eastAsia="en-US"/>
        </w:rPr>
        <w:t>10,966,126.62.</w:t>
      </w:r>
    </w:p>
    <w:p w14:paraId="48A314AD" w14:textId="77777777" w:rsidR="00F42B4B" w:rsidRPr="00F42B4B" w:rsidRDefault="00F42B4B" w:rsidP="00F42B4B">
      <w:pPr>
        <w:spacing w:line="276" w:lineRule="auto"/>
        <w:ind w:right="-1"/>
        <w:jc w:val="both"/>
        <w:rPr>
          <w:rFonts w:cs="Arial"/>
          <w:b/>
          <w:color w:val="000000" w:themeColor="text1"/>
          <w:sz w:val="4"/>
        </w:rPr>
      </w:pPr>
    </w:p>
    <w:p w14:paraId="335CFF00" w14:textId="77777777" w:rsidR="00F42B4B" w:rsidRPr="00F42B4B" w:rsidRDefault="00F42B4B" w:rsidP="00F42B4B">
      <w:pPr>
        <w:pStyle w:val="Prrafodelista"/>
        <w:spacing w:line="276" w:lineRule="auto"/>
        <w:ind w:left="502" w:right="-1"/>
        <w:jc w:val="both"/>
        <w:rPr>
          <w:rFonts w:cs="Arial"/>
          <w:b/>
          <w:color w:val="000000" w:themeColor="text1"/>
          <w:sz w:val="4"/>
        </w:rPr>
      </w:pPr>
    </w:p>
    <w:p w14:paraId="11AF67CA" w14:textId="77777777" w:rsidR="00F42B4B" w:rsidRPr="00F42B4B" w:rsidRDefault="00F42B4B" w:rsidP="00F42B4B">
      <w:pPr>
        <w:spacing w:line="276" w:lineRule="auto"/>
        <w:ind w:right="-1"/>
        <w:jc w:val="both"/>
        <w:rPr>
          <w:rFonts w:cs="Arial"/>
          <w:b/>
        </w:rPr>
      </w:pPr>
      <w:r w:rsidRPr="00F42B4B">
        <w:rPr>
          <w:rFonts w:cs="Arial"/>
          <w:b/>
        </w:rPr>
        <w:t>Bienes Inmuebles, Infraestructura y Construcciones en Proceso</w:t>
      </w:r>
    </w:p>
    <w:p w14:paraId="112D5A1F" w14:textId="77777777" w:rsidR="00F42B4B" w:rsidRPr="00F42B4B" w:rsidRDefault="00F42B4B" w:rsidP="00F42B4B">
      <w:pPr>
        <w:numPr>
          <w:ilvl w:val="0"/>
          <w:numId w:val="1"/>
        </w:numPr>
        <w:spacing w:after="0" w:line="276" w:lineRule="auto"/>
        <w:ind w:right="-1"/>
        <w:jc w:val="both"/>
        <w:rPr>
          <w:rFonts w:cs="Arial"/>
          <w:color w:val="000000" w:themeColor="text1"/>
        </w:rPr>
      </w:pPr>
      <w:r w:rsidRPr="00F42B4B">
        <w:rPr>
          <w:rFonts w:cs="Arial"/>
          <w:b/>
          <w:bCs/>
        </w:rPr>
        <w:t xml:space="preserve">Edificios no Habitacionales. - </w:t>
      </w:r>
      <w:r w:rsidRPr="00F42B4B">
        <w:rPr>
          <w:rFonts w:cs="Arial"/>
        </w:rPr>
        <w:t xml:space="preserve">A la fecha de estas notas presentaron un valor histórico de </w:t>
      </w:r>
      <w:r w:rsidRPr="00F42B4B">
        <w:rPr>
          <w:rFonts w:eastAsia="HelveticaNeueLT Std" w:cs="HelveticaNeueLT Std"/>
          <w:sz w:val="22"/>
          <w:szCs w:val="22"/>
        </w:rPr>
        <w:t>86</w:t>
      </w:r>
      <w:proofErr w:type="gramStart"/>
      <w:r w:rsidRPr="00F42B4B">
        <w:rPr>
          <w:rFonts w:eastAsia="HelveticaNeueLT Std" w:cs="HelveticaNeueLT Std"/>
          <w:sz w:val="22"/>
          <w:szCs w:val="22"/>
        </w:rPr>
        <w:t>,325,735.19</w:t>
      </w:r>
      <w:proofErr w:type="gramEnd"/>
      <w:r w:rsidRPr="00F42B4B">
        <w:rPr>
          <w:rFonts w:eastAsia="HelveticaNeueLT Std" w:cs="HelveticaNeueLT Std"/>
          <w:sz w:val="22"/>
          <w:szCs w:val="22"/>
        </w:rPr>
        <w:t>,</w:t>
      </w:r>
      <w:r w:rsidRPr="00F42B4B">
        <w:rPr>
          <w:rFonts w:cs="Arial"/>
        </w:rPr>
        <w:t xml:space="preserve"> l</w:t>
      </w:r>
      <w:r w:rsidRPr="00F42B4B">
        <w:rPr>
          <w:rFonts w:cs="Arial"/>
          <w:color w:val="000000" w:themeColor="text1"/>
        </w:rPr>
        <w:t xml:space="preserve">a depreciación acumulada al mes actual fue de </w:t>
      </w:r>
      <w:r w:rsidRPr="00F42B4B">
        <w:rPr>
          <w:rFonts w:eastAsia="HelveticaNeueLT Std" w:cs="HelveticaNeueLT Std"/>
          <w:sz w:val="22"/>
          <w:szCs w:val="22"/>
        </w:rPr>
        <w:t>8,010,129.78, se afecta contra el resultado del ejercicio por lo que se determinó un valor neto en libros de 78,315,605.41</w:t>
      </w:r>
      <w:r w:rsidRPr="00F42B4B">
        <w:rPr>
          <w:rFonts w:cs="Arial"/>
          <w:color w:val="000000" w:themeColor="text1"/>
        </w:rPr>
        <w:t>.</w:t>
      </w:r>
    </w:p>
    <w:p w14:paraId="13E71169" w14:textId="77777777" w:rsidR="00F42B4B" w:rsidRPr="00F42B4B" w:rsidRDefault="00F42B4B" w:rsidP="00F42B4B">
      <w:pPr>
        <w:spacing w:line="259" w:lineRule="auto"/>
        <w:rPr>
          <w:rFonts w:cs="Arial"/>
          <w:color w:val="000000" w:themeColor="text1"/>
        </w:rPr>
      </w:pPr>
      <w:r w:rsidRPr="00F42B4B">
        <w:rPr>
          <w:rFonts w:cs="Arial"/>
          <w:color w:val="000000" w:themeColor="text1"/>
        </w:rPr>
        <w:br w:type="page"/>
      </w:r>
    </w:p>
    <w:p w14:paraId="22939AD3" w14:textId="77777777" w:rsidR="00F42B4B" w:rsidRPr="00F42B4B" w:rsidRDefault="00F42B4B" w:rsidP="00F42B4B">
      <w:pPr>
        <w:spacing w:after="0" w:line="276" w:lineRule="auto"/>
        <w:ind w:left="502" w:right="-1"/>
        <w:jc w:val="both"/>
        <w:rPr>
          <w:rFonts w:ascii="Arial" w:eastAsia="Arial" w:hAnsi="Arial" w:cs="Arial"/>
          <w:b/>
          <w:bCs/>
          <w:color w:val="000000" w:themeColor="text1"/>
        </w:rPr>
      </w:pPr>
    </w:p>
    <w:p w14:paraId="13A7548A" w14:textId="77777777" w:rsidR="00F42B4B" w:rsidRPr="00F42B4B" w:rsidRDefault="00F42B4B" w:rsidP="00F42B4B">
      <w:pPr>
        <w:numPr>
          <w:ilvl w:val="0"/>
          <w:numId w:val="1"/>
        </w:numPr>
        <w:spacing w:after="0" w:line="276" w:lineRule="auto"/>
        <w:ind w:right="-1"/>
        <w:jc w:val="both"/>
        <w:rPr>
          <w:rFonts w:cs="Arial"/>
        </w:rPr>
      </w:pPr>
      <w:r w:rsidRPr="00F42B4B">
        <w:rPr>
          <w:rFonts w:cs="Arial"/>
          <w:b/>
          <w:bCs/>
        </w:rPr>
        <w:t xml:space="preserve">Bienes Muebles.- </w:t>
      </w:r>
      <w:r w:rsidRPr="00F42B4B">
        <w:rPr>
          <w:rFonts w:cs="Arial"/>
        </w:rPr>
        <w:t xml:space="preserve">De acuerdo con el Análisis de Movimientos del Activo No Circulante y su Depreciación:  </w:t>
      </w:r>
    </w:p>
    <w:p w14:paraId="1562FB57" w14:textId="77777777" w:rsidR="00F42B4B" w:rsidRPr="00F42B4B" w:rsidRDefault="00F42B4B" w:rsidP="00F42B4B">
      <w:pPr>
        <w:spacing w:after="0" w:line="276" w:lineRule="auto"/>
        <w:ind w:right="-1"/>
        <w:jc w:val="both"/>
        <w:rPr>
          <w:rFonts w:cs="Arial"/>
          <w:color w:val="000000" w:themeColor="text1"/>
        </w:rPr>
      </w:pPr>
    </w:p>
    <w:p w14:paraId="1150FDD8" w14:textId="77777777" w:rsidR="00F42B4B" w:rsidRPr="00F42B4B" w:rsidRDefault="00F42B4B" w:rsidP="00F42B4B">
      <w:pPr>
        <w:spacing w:after="0" w:line="276" w:lineRule="auto"/>
        <w:ind w:right="-1"/>
        <w:jc w:val="both"/>
        <w:rPr>
          <w:b/>
          <w:bCs/>
          <w:color w:val="000000" w:themeColor="text1"/>
        </w:rPr>
      </w:pPr>
      <w:r w:rsidRPr="00F42B4B">
        <w:rPr>
          <w:rFonts w:cs="Arial"/>
        </w:rPr>
        <w:t xml:space="preserve"> </w:t>
      </w:r>
      <w:r w:rsidRPr="00F42B4B">
        <w:rPr>
          <w:noProof/>
          <w:lang w:eastAsia="es-MX"/>
        </w:rPr>
        <w:drawing>
          <wp:inline distT="0" distB="0" distL="0" distR="0" wp14:anchorId="36F78BAF" wp14:editId="51B6964F">
            <wp:extent cx="6389370" cy="1794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9370" cy="1794275"/>
                    </a:xfrm>
                    <a:prstGeom prst="rect">
                      <a:avLst/>
                    </a:prstGeom>
                    <a:noFill/>
                    <a:ln>
                      <a:noFill/>
                    </a:ln>
                  </pic:spPr>
                </pic:pic>
              </a:graphicData>
            </a:graphic>
          </wp:inline>
        </w:drawing>
      </w:r>
    </w:p>
    <w:p w14:paraId="6B26F4A6" w14:textId="77777777" w:rsidR="00F42B4B" w:rsidRPr="00F42B4B" w:rsidRDefault="00F42B4B" w:rsidP="00F42B4B">
      <w:pPr>
        <w:spacing w:after="0" w:line="276" w:lineRule="auto"/>
        <w:ind w:right="-1"/>
        <w:jc w:val="both"/>
        <w:rPr>
          <w:rFonts w:cs="Arial"/>
        </w:rPr>
      </w:pPr>
      <w:r w:rsidRPr="00F42B4B">
        <w:rPr>
          <w:rFonts w:cs="Arial"/>
          <w:b/>
        </w:rPr>
        <w:t xml:space="preserve">Nota: </w:t>
      </w:r>
      <w:r w:rsidRPr="00F42B4B">
        <w:rPr>
          <w:rFonts w:cs="Arial"/>
        </w:rPr>
        <w:t>Las bajas de los bienes de equipo de cómputo y muebles de oficina son por donación y bienes obsoletos o en mal estado.</w:t>
      </w:r>
    </w:p>
    <w:p w14:paraId="50847273" w14:textId="77777777" w:rsidR="00F42B4B" w:rsidRPr="00F42B4B" w:rsidRDefault="00F42B4B" w:rsidP="00F42B4B">
      <w:pPr>
        <w:spacing w:after="0" w:line="276" w:lineRule="auto"/>
        <w:ind w:right="-1"/>
        <w:rPr>
          <w:rFonts w:cs="Arial"/>
          <w:b/>
        </w:rPr>
      </w:pPr>
    </w:p>
    <w:p w14:paraId="04278038" w14:textId="77777777" w:rsidR="00F42B4B" w:rsidRPr="00F42B4B" w:rsidRDefault="00F42B4B" w:rsidP="00F42B4B">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7A6EA108" w14:textId="77777777" w:rsidR="00F42B4B" w:rsidRPr="00F42B4B" w:rsidRDefault="00F42B4B" w:rsidP="00F42B4B">
      <w:pPr>
        <w:spacing w:after="0" w:line="276" w:lineRule="auto"/>
        <w:ind w:right="-1"/>
        <w:jc w:val="both"/>
        <w:rPr>
          <w:rFonts w:cs="Arial"/>
        </w:rPr>
      </w:pPr>
    </w:p>
    <w:p w14:paraId="0124B50F" w14:textId="77777777" w:rsidR="00F42B4B" w:rsidRPr="00F42B4B" w:rsidRDefault="00F42B4B" w:rsidP="00F42B4B">
      <w:pPr>
        <w:pStyle w:val="Prrafodelista"/>
        <w:numPr>
          <w:ilvl w:val="0"/>
          <w:numId w:val="1"/>
        </w:numPr>
        <w:spacing w:line="276" w:lineRule="auto"/>
        <w:ind w:right="-1"/>
        <w:jc w:val="both"/>
        <w:outlineLvl w:val="0"/>
        <w:rPr>
          <w:rFonts w:ascii="HelveticaNeueLT Std" w:eastAsiaTheme="minorEastAsia" w:hAnsi="HelveticaNeueLT Std" w:cs="Arial"/>
          <w:sz w:val="20"/>
          <w:szCs w:val="20"/>
          <w:lang w:eastAsia="en-US"/>
        </w:rPr>
      </w:pPr>
      <w:r w:rsidRPr="00F42B4B">
        <w:rPr>
          <w:rFonts w:ascii="HelveticaNeueLT Std" w:eastAsiaTheme="minorEastAsia" w:hAnsi="HelveticaNeueLT Std" w:cs="Arial"/>
          <w:b/>
          <w:bCs/>
          <w:sz w:val="20"/>
          <w:szCs w:val="20"/>
          <w:lang w:eastAsia="en-US"/>
        </w:rPr>
        <w:t>Otros Activos Diferidos. -</w:t>
      </w:r>
      <w:r w:rsidRPr="00F42B4B">
        <w:rPr>
          <w:rFonts w:ascii="HelveticaNeueLT Std" w:eastAsiaTheme="minorEastAsia" w:hAnsi="HelveticaNeueLT Std" w:cs="Arial"/>
          <w:sz w:val="20"/>
          <w:szCs w:val="20"/>
          <w:lang w:eastAsia="en-US"/>
        </w:rPr>
        <w:t xml:space="preserve"> Su saldo representa los depósitos en garantía que se han otorgado a la Comisión Federal de Electricidad (CFE) para prestar el servicio de energía eléctrica.</w:t>
      </w:r>
    </w:p>
    <w:p w14:paraId="7842AB61" w14:textId="77777777" w:rsidR="00F42B4B" w:rsidRPr="00F42B4B" w:rsidRDefault="00F42B4B" w:rsidP="00F42B4B">
      <w:pPr>
        <w:spacing w:after="0" w:line="276" w:lineRule="auto"/>
        <w:ind w:right="-1"/>
        <w:jc w:val="both"/>
        <w:rPr>
          <w:rFonts w:cs="Arial"/>
          <w:b/>
        </w:rPr>
      </w:pPr>
    </w:p>
    <w:p w14:paraId="30B5AB84" w14:textId="77777777" w:rsidR="00F42B4B" w:rsidRPr="00F42B4B" w:rsidRDefault="00F42B4B" w:rsidP="00F42B4B">
      <w:pPr>
        <w:spacing w:line="276" w:lineRule="auto"/>
        <w:ind w:right="-1"/>
        <w:jc w:val="both"/>
        <w:outlineLvl w:val="0"/>
        <w:rPr>
          <w:rFonts w:cs="Arial"/>
          <w:b/>
        </w:rPr>
      </w:pPr>
      <w:r w:rsidRPr="00F42B4B">
        <w:rPr>
          <w:rFonts w:cs="Arial"/>
          <w:b/>
        </w:rPr>
        <w:t>Pasivo Circulante</w:t>
      </w:r>
    </w:p>
    <w:p w14:paraId="4481AEF6" w14:textId="63A11324" w:rsidR="00F42B4B" w:rsidRPr="0006176E" w:rsidRDefault="00F42B4B" w:rsidP="0006176E">
      <w:pPr>
        <w:pStyle w:val="Prrafodelista"/>
        <w:numPr>
          <w:ilvl w:val="0"/>
          <w:numId w:val="1"/>
        </w:numPr>
        <w:spacing w:line="276" w:lineRule="auto"/>
        <w:ind w:right="-1"/>
        <w:jc w:val="both"/>
        <w:outlineLvl w:val="0"/>
        <w:rPr>
          <w:rFonts w:cs="Arial"/>
        </w:rPr>
      </w:pPr>
      <w:r w:rsidRPr="0006176E">
        <w:rPr>
          <w:rFonts w:ascii="HelveticaNeueLT Std" w:eastAsiaTheme="minorEastAsia" w:hAnsi="HelveticaNeueLT Std" w:cs="Arial"/>
          <w:b/>
          <w:bCs/>
          <w:sz w:val="20"/>
          <w:szCs w:val="20"/>
          <w:lang w:eastAsia="en-US"/>
        </w:rPr>
        <w:t>Cuentas por Pagar a Corto Plazo</w:t>
      </w:r>
      <w:r w:rsidRPr="0006176E">
        <w:rPr>
          <w:rFonts w:cs="Arial"/>
          <w:b/>
          <w:bCs/>
        </w:rPr>
        <w:t>.-</w:t>
      </w:r>
      <w:r w:rsidRPr="0006176E">
        <w:rPr>
          <w:rFonts w:cs="Arial"/>
          <w:b/>
          <w:bCs/>
          <w:sz w:val="22"/>
          <w:szCs w:val="22"/>
        </w:rPr>
        <w:t xml:space="preserve"> </w:t>
      </w:r>
      <w:r w:rsidRPr="0006176E">
        <w:rPr>
          <w:rFonts w:ascii="HelveticaNeueLT Std" w:eastAsiaTheme="minorEastAsia" w:hAnsi="HelveticaNeueLT Std" w:cs="Arial"/>
          <w:sz w:val="20"/>
          <w:szCs w:val="20"/>
          <w:lang w:eastAsia="en-US"/>
        </w:rPr>
        <w:t>El saldo de este rubro por 7,446,711.46, se integra de la forma y con la antigüedad de saldos siguientes:</w:t>
      </w:r>
    </w:p>
    <w:tbl>
      <w:tblPr>
        <w:tblW w:w="9740" w:type="dxa"/>
        <w:tblCellMar>
          <w:left w:w="70" w:type="dxa"/>
          <w:right w:w="70" w:type="dxa"/>
        </w:tblCellMar>
        <w:tblLook w:val="04A0" w:firstRow="1" w:lastRow="0" w:firstColumn="1" w:lastColumn="0" w:noHBand="0" w:noVBand="1"/>
      </w:tblPr>
      <w:tblGrid>
        <w:gridCol w:w="1780"/>
        <w:gridCol w:w="2920"/>
        <w:gridCol w:w="1580"/>
        <w:gridCol w:w="1680"/>
        <w:gridCol w:w="1780"/>
      </w:tblGrid>
      <w:tr w:rsidR="00F42B4B" w:rsidRPr="00F42B4B" w14:paraId="4950274F" w14:textId="77777777" w:rsidTr="005043CD">
        <w:trPr>
          <w:trHeight w:val="564"/>
        </w:trPr>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1DC33" w14:textId="77777777" w:rsidR="00F42B4B" w:rsidRPr="00F42B4B" w:rsidRDefault="00F42B4B" w:rsidP="005043CD">
            <w:pPr>
              <w:spacing w:after="0" w:line="240" w:lineRule="auto"/>
              <w:jc w:val="center"/>
              <w:rPr>
                <w:rFonts w:eastAsia="Times New Roman" w:cs="Times New Roman"/>
                <w:color w:val="000000"/>
                <w:sz w:val="22"/>
                <w:szCs w:val="22"/>
                <w:lang w:eastAsia="es-MX"/>
              </w:rPr>
            </w:pPr>
            <w:r w:rsidRPr="00F42B4B">
              <w:rPr>
                <w:rFonts w:eastAsia="Times New Roman" w:cs="Times New Roman"/>
                <w:color w:val="000000"/>
                <w:sz w:val="22"/>
                <w:szCs w:val="22"/>
                <w:lang w:eastAsia="es-MX"/>
              </w:rPr>
              <w:t>A  90 días</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34095949" w14:textId="77777777" w:rsidR="00F42B4B" w:rsidRPr="00F42B4B" w:rsidRDefault="00F42B4B" w:rsidP="005043CD">
            <w:pPr>
              <w:spacing w:after="0" w:line="240" w:lineRule="auto"/>
              <w:jc w:val="center"/>
              <w:rPr>
                <w:rFonts w:eastAsia="Times New Roman" w:cs="Times New Roman"/>
                <w:color w:val="000000"/>
                <w:sz w:val="22"/>
                <w:szCs w:val="22"/>
                <w:lang w:eastAsia="es-MX"/>
              </w:rPr>
            </w:pPr>
            <w:r w:rsidRPr="00F42B4B">
              <w:rPr>
                <w:rFonts w:eastAsia="Times New Roman" w:cs="Times New Roman"/>
                <w:color w:val="000000"/>
                <w:sz w:val="22"/>
                <w:szCs w:val="22"/>
                <w:lang w:eastAsia="es-MX"/>
              </w:rPr>
              <w:t>A 180 días</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5B3074E" w14:textId="77777777" w:rsidR="00F42B4B" w:rsidRPr="00F42B4B" w:rsidRDefault="00F42B4B" w:rsidP="005043CD">
            <w:pPr>
              <w:spacing w:after="0" w:line="240" w:lineRule="auto"/>
              <w:jc w:val="center"/>
              <w:rPr>
                <w:rFonts w:eastAsia="Times New Roman" w:cs="Times New Roman"/>
                <w:color w:val="000000"/>
                <w:sz w:val="22"/>
                <w:szCs w:val="22"/>
                <w:lang w:eastAsia="es-MX"/>
              </w:rPr>
            </w:pPr>
            <w:r w:rsidRPr="00F42B4B">
              <w:rPr>
                <w:rFonts w:eastAsia="Times New Roman" w:cs="Times New Roman"/>
                <w:color w:val="000000"/>
                <w:sz w:val="22"/>
                <w:szCs w:val="22"/>
                <w:lang w:eastAsia="es-MX"/>
              </w:rPr>
              <w:t>A 365 días</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202C279C" w14:textId="77777777" w:rsidR="00F42B4B" w:rsidRPr="00F42B4B" w:rsidRDefault="00F42B4B" w:rsidP="005043CD">
            <w:pPr>
              <w:spacing w:after="0" w:line="240" w:lineRule="auto"/>
              <w:jc w:val="center"/>
              <w:rPr>
                <w:rFonts w:eastAsia="Times New Roman" w:cs="Times New Roman"/>
                <w:sz w:val="22"/>
                <w:szCs w:val="22"/>
                <w:lang w:eastAsia="es-MX"/>
              </w:rPr>
            </w:pPr>
            <w:r w:rsidRPr="00F42B4B">
              <w:rPr>
                <w:rFonts w:eastAsia="Times New Roman" w:cs="Times New Roman"/>
                <w:sz w:val="22"/>
                <w:szCs w:val="22"/>
                <w:lang w:eastAsia="es-MX"/>
              </w:rPr>
              <w:t>A  más de 365 días</w:t>
            </w:r>
          </w:p>
        </w:tc>
        <w:tc>
          <w:tcPr>
            <w:tcW w:w="1780" w:type="dxa"/>
            <w:tcBorders>
              <w:top w:val="single" w:sz="4" w:space="0" w:color="auto"/>
              <w:left w:val="nil"/>
              <w:bottom w:val="nil"/>
              <w:right w:val="single" w:sz="4" w:space="0" w:color="auto"/>
            </w:tcBorders>
            <w:shd w:val="clear" w:color="000000" w:fill="FFFFFF"/>
            <w:vAlign w:val="center"/>
            <w:hideMark/>
          </w:tcPr>
          <w:p w14:paraId="58F85134" w14:textId="77777777" w:rsidR="00F42B4B" w:rsidRPr="00F42B4B" w:rsidRDefault="00F42B4B" w:rsidP="005043CD">
            <w:pPr>
              <w:spacing w:after="0" w:line="240" w:lineRule="auto"/>
              <w:jc w:val="center"/>
              <w:rPr>
                <w:rFonts w:eastAsia="Times New Roman" w:cs="Times New Roman"/>
                <w:color w:val="000000"/>
                <w:sz w:val="22"/>
                <w:szCs w:val="22"/>
                <w:lang w:eastAsia="es-MX"/>
              </w:rPr>
            </w:pPr>
            <w:r w:rsidRPr="00F42B4B">
              <w:rPr>
                <w:rFonts w:eastAsia="Times New Roman" w:cs="Times New Roman"/>
                <w:color w:val="000000"/>
                <w:sz w:val="22"/>
                <w:szCs w:val="22"/>
                <w:lang w:eastAsia="es-MX"/>
              </w:rPr>
              <w:t>TOTAL</w:t>
            </w:r>
          </w:p>
        </w:tc>
      </w:tr>
      <w:tr w:rsidR="00F42B4B" w:rsidRPr="00F42B4B" w14:paraId="148BDFFE" w14:textId="77777777" w:rsidTr="005043CD">
        <w:trPr>
          <w:trHeight w:val="288"/>
        </w:trPr>
        <w:tc>
          <w:tcPr>
            <w:tcW w:w="178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300DF5D" w14:textId="77777777" w:rsidR="00F42B4B" w:rsidRPr="00F42B4B" w:rsidRDefault="00F42B4B" w:rsidP="005043CD">
            <w:pPr>
              <w:spacing w:after="0" w:line="240" w:lineRule="auto"/>
              <w:rPr>
                <w:rFonts w:eastAsia="Times New Roman" w:cs="Times New Roman"/>
                <w:color w:val="000000"/>
                <w:sz w:val="22"/>
                <w:szCs w:val="22"/>
                <w:lang w:eastAsia="es-MX"/>
              </w:rPr>
            </w:pPr>
            <w:r w:rsidRPr="00F42B4B">
              <w:rPr>
                <w:rFonts w:eastAsia="Times New Roman" w:cs="Times New Roman"/>
                <w:color w:val="000000"/>
                <w:sz w:val="22"/>
                <w:szCs w:val="22"/>
                <w:lang w:eastAsia="es-MX"/>
              </w:rPr>
              <w:t xml:space="preserve">      3,454,392.35 </w:t>
            </w:r>
          </w:p>
        </w:tc>
        <w:tc>
          <w:tcPr>
            <w:tcW w:w="2920" w:type="dxa"/>
            <w:tcBorders>
              <w:top w:val="single" w:sz="8" w:space="0" w:color="auto"/>
              <w:left w:val="nil"/>
              <w:bottom w:val="single" w:sz="4" w:space="0" w:color="auto"/>
              <w:right w:val="single" w:sz="8" w:space="0" w:color="auto"/>
            </w:tcBorders>
            <w:shd w:val="clear" w:color="000000" w:fill="FFFFFF"/>
            <w:noWrap/>
            <w:vAlign w:val="bottom"/>
            <w:hideMark/>
          </w:tcPr>
          <w:p w14:paraId="7385A835" w14:textId="77777777" w:rsidR="00F42B4B" w:rsidRPr="00F42B4B" w:rsidRDefault="00F42B4B" w:rsidP="005043CD">
            <w:pPr>
              <w:spacing w:after="0" w:line="240" w:lineRule="auto"/>
              <w:rPr>
                <w:rFonts w:eastAsia="Times New Roman" w:cs="Times New Roman"/>
                <w:color w:val="000000"/>
                <w:sz w:val="22"/>
                <w:szCs w:val="22"/>
                <w:lang w:eastAsia="es-MX"/>
              </w:rPr>
            </w:pPr>
            <w:r w:rsidRPr="00F42B4B">
              <w:rPr>
                <w:rFonts w:eastAsia="Times New Roman" w:cs="Times New Roman"/>
                <w:color w:val="000000"/>
                <w:sz w:val="22"/>
                <w:szCs w:val="22"/>
                <w:lang w:eastAsia="es-MX"/>
              </w:rPr>
              <w:t xml:space="preserve">                         3,971,451.60 </w:t>
            </w:r>
          </w:p>
        </w:tc>
        <w:tc>
          <w:tcPr>
            <w:tcW w:w="1580" w:type="dxa"/>
            <w:tcBorders>
              <w:top w:val="single" w:sz="8" w:space="0" w:color="auto"/>
              <w:left w:val="nil"/>
              <w:bottom w:val="single" w:sz="4" w:space="0" w:color="auto"/>
              <w:right w:val="single" w:sz="8" w:space="0" w:color="auto"/>
            </w:tcBorders>
            <w:shd w:val="clear" w:color="000000" w:fill="FFFFFF"/>
            <w:noWrap/>
            <w:vAlign w:val="bottom"/>
            <w:hideMark/>
          </w:tcPr>
          <w:p w14:paraId="6992E6A6" w14:textId="77777777" w:rsidR="00F42B4B" w:rsidRPr="00F42B4B" w:rsidRDefault="00F42B4B" w:rsidP="005043CD">
            <w:pPr>
              <w:spacing w:after="0" w:line="240" w:lineRule="auto"/>
              <w:rPr>
                <w:rFonts w:eastAsia="Times New Roman" w:cs="Times New Roman"/>
                <w:color w:val="000000"/>
                <w:sz w:val="22"/>
                <w:szCs w:val="22"/>
                <w:lang w:eastAsia="es-MX"/>
              </w:rPr>
            </w:pPr>
            <w:r w:rsidRPr="00F42B4B">
              <w:rPr>
                <w:rFonts w:eastAsia="Times New Roman" w:cs="Times New Roman"/>
                <w:color w:val="000000"/>
                <w:sz w:val="22"/>
                <w:szCs w:val="22"/>
                <w:lang w:eastAsia="es-MX"/>
              </w:rPr>
              <w:t xml:space="preserve">        18,021.61 </w:t>
            </w:r>
          </w:p>
        </w:tc>
        <w:tc>
          <w:tcPr>
            <w:tcW w:w="1680" w:type="dxa"/>
            <w:tcBorders>
              <w:top w:val="single" w:sz="8" w:space="0" w:color="auto"/>
              <w:left w:val="nil"/>
              <w:bottom w:val="single" w:sz="4" w:space="0" w:color="auto"/>
              <w:right w:val="single" w:sz="8" w:space="0" w:color="auto"/>
            </w:tcBorders>
            <w:shd w:val="clear" w:color="000000" w:fill="FFFFFF"/>
            <w:noWrap/>
            <w:vAlign w:val="bottom"/>
            <w:hideMark/>
          </w:tcPr>
          <w:p w14:paraId="43A74FA3" w14:textId="77777777" w:rsidR="00F42B4B" w:rsidRPr="00F42B4B" w:rsidRDefault="00F42B4B" w:rsidP="005043CD">
            <w:pPr>
              <w:spacing w:after="0" w:line="240" w:lineRule="auto"/>
              <w:rPr>
                <w:rFonts w:eastAsia="Times New Roman" w:cs="Times New Roman"/>
                <w:color w:val="000000"/>
                <w:sz w:val="22"/>
                <w:szCs w:val="22"/>
                <w:lang w:eastAsia="es-MX"/>
              </w:rPr>
            </w:pPr>
            <w:r w:rsidRPr="00F42B4B">
              <w:rPr>
                <w:rFonts w:eastAsia="Times New Roman" w:cs="Times New Roman"/>
                <w:color w:val="000000"/>
                <w:sz w:val="22"/>
                <w:szCs w:val="22"/>
                <w:lang w:eastAsia="es-MX"/>
              </w:rPr>
              <w:t xml:space="preserve">           2,845.90 </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04A6F82F" w14:textId="77777777" w:rsidR="00F42B4B" w:rsidRPr="00F42B4B" w:rsidRDefault="00F42B4B" w:rsidP="005043CD">
            <w:pPr>
              <w:spacing w:after="0" w:line="240" w:lineRule="auto"/>
              <w:rPr>
                <w:rFonts w:eastAsia="Times New Roman" w:cs="Times New Roman"/>
                <w:color w:val="000000"/>
                <w:sz w:val="22"/>
                <w:szCs w:val="22"/>
                <w:lang w:eastAsia="es-MX"/>
              </w:rPr>
            </w:pPr>
            <w:r w:rsidRPr="00F42B4B">
              <w:rPr>
                <w:rFonts w:eastAsia="Times New Roman" w:cs="Times New Roman"/>
                <w:color w:val="000000"/>
                <w:sz w:val="22"/>
                <w:szCs w:val="22"/>
                <w:lang w:eastAsia="es-MX"/>
              </w:rPr>
              <w:t xml:space="preserve">      7,446,711.46 </w:t>
            </w:r>
          </w:p>
        </w:tc>
      </w:tr>
    </w:tbl>
    <w:p w14:paraId="551CE099" w14:textId="77777777" w:rsidR="00F42B4B" w:rsidRPr="00F42B4B" w:rsidRDefault="00F42B4B" w:rsidP="00F42B4B">
      <w:pPr>
        <w:spacing w:line="276" w:lineRule="auto"/>
        <w:ind w:right="-1"/>
        <w:jc w:val="both"/>
        <w:outlineLvl w:val="0"/>
        <w:rPr>
          <w:rFonts w:cs="Arial"/>
        </w:rPr>
      </w:pPr>
    </w:p>
    <w:p w14:paraId="4FE138CE" w14:textId="77777777" w:rsidR="00F42B4B" w:rsidRPr="00F42B4B" w:rsidRDefault="00F42B4B" w:rsidP="00F42B4B">
      <w:pPr>
        <w:pStyle w:val="Prrafodelista"/>
        <w:spacing w:line="276" w:lineRule="auto"/>
        <w:ind w:left="502" w:right="-1"/>
        <w:jc w:val="center"/>
        <w:outlineLvl w:val="0"/>
        <w:rPr>
          <w:rFonts w:cs="Arial"/>
          <w:sz w:val="22"/>
          <w:szCs w:val="22"/>
        </w:rPr>
      </w:pPr>
    </w:p>
    <w:p w14:paraId="0E4D0DE8" w14:textId="77777777" w:rsidR="00F42B4B" w:rsidRPr="00F42B4B" w:rsidRDefault="00F42B4B" w:rsidP="00F42B4B">
      <w:pPr>
        <w:spacing w:line="276" w:lineRule="auto"/>
        <w:ind w:right="-1"/>
        <w:outlineLvl w:val="0"/>
        <w:rPr>
          <w:rFonts w:cs="Arial"/>
        </w:rPr>
      </w:pPr>
      <w:r w:rsidRPr="00F42B4B">
        <w:rPr>
          <w:rFonts w:cs="Arial"/>
        </w:rPr>
        <w:t>El importe a más de 365 días se debe a la cancelación de cheques en tránsito los cuales deben de permanecer en cuentas por pagar de acuerdo con la normatividad vigente.</w:t>
      </w:r>
    </w:p>
    <w:p w14:paraId="3D1B334E" w14:textId="77777777" w:rsidR="00F42B4B" w:rsidRPr="00F42B4B" w:rsidRDefault="00F42B4B" w:rsidP="0006176E">
      <w:pPr>
        <w:pStyle w:val="Prrafodelista"/>
        <w:numPr>
          <w:ilvl w:val="0"/>
          <w:numId w:val="1"/>
        </w:numPr>
        <w:spacing w:line="276" w:lineRule="auto"/>
        <w:ind w:right="-1"/>
        <w:jc w:val="both"/>
        <w:outlineLvl w:val="0"/>
        <w:rPr>
          <w:rFonts w:eastAsiaTheme="minorEastAsia" w:cs="Arial"/>
          <w:b/>
          <w:bCs/>
        </w:rPr>
      </w:pPr>
      <w:r w:rsidRPr="00F42B4B">
        <w:rPr>
          <w:rFonts w:ascii="HelveticaNeueLT Std" w:eastAsiaTheme="minorEastAsia" w:hAnsi="HelveticaNeueLT Std" w:cs="Arial"/>
          <w:b/>
          <w:bCs/>
          <w:sz w:val="20"/>
          <w:szCs w:val="20"/>
          <w:lang w:eastAsia="en-US"/>
        </w:rPr>
        <w:t xml:space="preserve">Proveedores por Pagar a Corto Plazo. </w:t>
      </w:r>
      <w:r w:rsidRPr="00F42B4B">
        <w:rPr>
          <w:rFonts w:ascii="HelveticaNeueLT Std" w:eastAsiaTheme="minorEastAsia" w:hAnsi="HelveticaNeueLT Std" w:cs="Arial"/>
          <w:sz w:val="20"/>
          <w:szCs w:val="20"/>
          <w:lang w:eastAsia="en-US"/>
        </w:rPr>
        <w:t xml:space="preserve">- El saldo de </w:t>
      </w:r>
      <w:r w:rsidRPr="00F42B4B">
        <w:rPr>
          <w:rFonts w:ascii="HelveticaNeueLT Std" w:eastAsia="HelveticaNeueLT Std" w:hAnsi="HelveticaNeueLT Std" w:cs="HelveticaNeueLT Std"/>
          <w:sz w:val="22"/>
          <w:szCs w:val="22"/>
          <w:lang w:eastAsia="en-US"/>
        </w:rPr>
        <w:t>2</w:t>
      </w:r>
      <w:proofErr w:type="gramStart"/>
      <w:r w:rsidRPr="00F42B4B">
        <w:rPr>
          <w:rFonts w:ascii="HelveticaNeueLT Std" w:eastAsia="HelveticaNeueLT Std" w:hAnsi="HelveticaNeueLT Std" w:cs="HelveticaNeueLT Std"/>
          <w:sz w:val="22"/>
          <w:szCs w:val="22"/>
          <w:lang w:eastAsia="en-US"/>
        </w:rPr>
        <w:t>,756,983.30</w:t>
      </w:r>
      <w:proofErr w:type="gramEnd"/>
      <w:r w:rsidRPr="00F42B4B">
        <w:rPr>
          <w:rFonts w:ascii="HelveticaNeueLT Std" w:eastAsiaTheme="minorEastAsia" w:hAnsi="HelveticaNeueLT Std" w:cs="Arial"/>
          <w:sz w:val="20"/>
          <w:szCs w:val="20"/>
          <w:lang w:eastAsia="en-US"/>
        </w:rPr>
        <w:t xml:space="preserve">, representa el importe de las obligaciones de pago, principalmente por los siguientes proveedores; Axtel S.A.B. de C.V., Eficiencia de Continuidad de Negocios S.A. de C.V. y  KPMG Cárdenas </w:t>
      </w:r>
      <w:proofErr w:type="spellStart"/>
      <w:r w:rsidRPr="00F42B4B">
        <w:rPr>
          <w:rFonts w:ascii="HelveticaNeueLT Std" w:eastAsiaTheme="minorEastAsia" w:hAnsi="HelveticaNeueLT Std" w:cs="Arial"/>
          <w:sz w:val="20"/>
          <w:szCs w:val="20"/>
          <w:lang w:eastAsia="en-US"/>
        </w:rPr>
        <w:t>Dosal</w:t>
      </w:r>
      <w:proofErr w:type="spellEnd"/>
      <w:r w:rsidRPr="00F42B4B">
        <w:rPr>
          <w:rFonts w:ascii="HelveticaNeueLT Std" w:eastAsiaTheme="minorEastAsia" w:hAnsi="HelveticaNeueLT Std" w:cs="Arial"/>
          <w:sz w:val="20"/>
          <w:szCs w:val="20"/>
          <w:lang w:eastAsia="en-US"/>
        </w:rPr>
        <w:t xml:space="preserve"> S.C. </w:t>
      </w:r>
      <w:proofErr w:type="spellStart"/>
      <w:r w:rsidRPr="00F42B4B">
        <w:rPr>
          <w:rFonts w:ascii="HelveticaNeueLT Std" w:eastAsiaTheme="minorEastAsia" w:hAnsi="HelveticaNeueLT Std" w:cs="Arial"/>
          <w:sz w:val="20"/>
          <w:szCs w:val="20"/>
          <w:lang w:eastAsia="en-US"/>
        </w:rPr>
        <w:t>Nuuptech</w:t>
      </w:r>
      <w:proofErr w:type="spellEnd"/>
      <w:r w:rsidRPr="00F42B4B">
        <w:rPr>
          <w:rFonts w:ascii="HelveticaNeueLT Std" w:eastAsiaTheme="minorEastAsia" w:hAnsi="HelveticaNeueLT Std" w:cs="Arial"/>
          <w:sz w:val="20"/>
          <w:szCs w:val="20"/>
          <w:lang w:eastAsia="en-US"/>
        </w:rPr>
        <w:t xml:space="preserve">, S.A. de C.V. </w:t>
      </w:r>
    </w:p>
    <w:p w14:paraId="578C0FC0" w14:textId="77777777" w:rsidR="00F42B4B" w:rsidRPr="00F42B4B" w:rsidRDefault="00F42B4B" w:rsidP="00F42B4B">
      <w:pPr>
        <w:pStyle w:val="Prrafodelista"/>
        <w:spacing w:line="276" w:lineRule="auto"/>
        <w:ind w:left="502" w:right="-1"/>
        <w:jc w:val="both"/>
        <w:outlineLvl w:val="0"/>
        <w:rPr>
          <w:rFonts w:eastAsiaTheme="minorEastAsia" w:cs="Arial"/>
          <w:b/>
          <w:bCs/>
        </w:rPr>
      </w:pPr>
    </w:p>
    <w:p w14:paraId="33451F7A" w14:textId="34E5C1D9" w:rsidR="00F42B4B" w:rsidRPr="0006176E" w:rsidRDefault="00F42B4B" w:rsidP="0006176E">
      <w:pPr>
        <w:pStyle w:val="Prrafodelista"/>
        <w:numPr>
          <w:ilvl w:val="0"/>
          <w:numId w:val="1"/>
        </w:numPr>
        <w:spacing w:line="259" w:lineRule="auto"/>
        <w:rPr>
          <w:rFonts w:ascii="HelveticaNeueLT Std" w:eastAsiaTheme="minorEastAsia" w:hAnsi="HelveticaNeueLT Std" w:cs="Arial"/>
          <w:sz w:val="20"/>
          <w:szCs w:val="20"/>
          <w:lang w:eastAsia="en-US"/>
        </w:rPr>
      </w:pPr>
      <w:r w:rsidRPr="0006176E">
        <w:rPr>
          <w:rFonts w:ascii="HelveticaNeueLT Std" w:eastAsiaTheme="minorEastAsia" w:hAnsi="HelveticaNeueLT Std" w:cs="Arial"/>
          <w:b/>
          <w:bCs/>
          <w:sz w:val="20"/>
          <w:szCs w:val="20"/>
          <w:lang w:eastAsia="en-US"/>
        </w:rPr>
        <w:lastRenderedPageBreak/>
        <w:t>Retenciones y Contribuciones por Pagar a Corto Plazo</w:t>
      </w:r>
      <w:r w:rsidRPr="0006176E">
        <w:rPr>
          <w:rFonts w:eastAsiaTheme="minorEastAsia" w:cs="Arial"/>
          <w:b/>
          <w:bCs/>
        </w:rPr>
        <w:t xml:space="preserve">. - </w:t>
      </w:r>
      <w:r w:rsidRPr="0006176E">
        <w:rPr>
          <w:rFonts w:ascii="HelveticaNeueLT Std" w:eastAsiaTheme="minorEastAsia" w:hAnsi="HelveticaNeueLT Std" w:cs="Arial"/>
          <w:sz w:val="20"/>
          <w:szCs w:val="20"/>
          <w:lang w:eastAsia="en-US"/>
        </w:rPr>
        <w:t>El saldo de 1</w:t>
      </w:r>
      <w:proofErr w:type="gramStart"/>
      <w:r w:rsidRPr="0006176E">
        <w:rPr>
          <w:rFonts w:ascii="HelveticaNeueLT Std" w:eastAsiaTheme="minorEastAsia" w:hAnsi="HelveticaNeueLT Std" w:cs="Arial"/>
          <w:sz w:val="20"/>
          <w:szCs w:val="20"/>
          <w:lang w:eastAsia="en-US"/>
        </w:rPr>
        <w:t>,664,741.97</w:t>
      </w:r>
      <w:proofErr w:type="gramEnd"/>
      <w:r w:rsidRPr="0006176E">
        <w:rPr>
          <w:rFonts w:ascii="HelveticaNeueLT Std" w:eastAsiaTheme="minorEastAsia" w:hAnsi="HelveticaNeueLT Std" w:cs="Arial"/>
          <w:sz w:val="20"/>
          <w:szCs w:val="20"/>
          <w:lang w:eastAsia="en-US"/>
        </w:rPr>
        <w:t>, representa el importe de las retenciones pendientes de pago principalmente retenciones de Impuesto Sobre la Renta (I.S.R.).</w:t>
      </w:r>
    </w:p>
    <w:p w14:paraId="7DD56648" w14:textId="77777777" w:rsidR="00F42B4B" w:rsidRPr="00F42B4B" w:rsidRDefault="00F42B4B" w:rsidP="00F42B4B">
      <w:pPr>
        <w:spacing w:after="0" w:line="240" w:lineRule="auto"/>
        <w:ind w:right="-1"/>
        <w:contextualSpacing/>
        <w:jc w:val="both"/>
        <w:rPr>
          <w:rFonts w:eastAsia="Times New Roman" w:cs="Arial"/>
          <w:sz w:val="24"/>
          <w:szCs w:val="24"/>
          <w:lang w:eastAsia="es-MX"/>
        </w:rPr>
      </w:pPr>
    </w:p>
    <w:p w14:paraId="7EC1C59F" w14:textId="77777777" w:rsidR="00F42B4B" w:rsidRPr="00F42B4B" w:rsidRDefault="00F42B4B" w:rsidP="00F42B4B">
      <w:pPr>
        <w:pStyle w:val="Prrafodelista"/>
        <w:numPr>
          <w:ilvl w:val="0"/>
          <w:numId w:val="1"/>
        </w:numPr>
        <w:spacing w:line="276" w:lineRule="auto"/>
        <w:ind w:right="-1"/>
        <w:jc w:val="both"/>
        <w:outlineLvl w:val="0"/>
        <w:rPr>
          <w:rFonts w:ascii="HelveticaNeueLT Std" w:eastAsiaTheme="minorEastAsia" w:hAnsi="HelveticaNeueLT Std" w:cs="HelveticaNeueLT Std"/>
          <w:sz w:val="20"/>
          <w:szCs w:val="20"/>
        </w:rPr>
      </w:pPr>
      <w:r w:rsidRPr="00F42B4B">
        <w:rPr>
          <w:rFonts w:ascii="HelveticaNeueLT Std" w:eastAsiaTheme="minorEastAsia" w:hAnsi="HelveticaNeueLT Std" w:cs="Arial"/>
          <w:b/>
          <w:bCs/>
          <w:sz w:val="20"/>
          <w:szCs w:val="20"/>
          <w:lang w:eastAsia="en-US"/>
        </w:rPr>
        <w:t xml:space="preserve">Otras Cuentas por Pagar a Corto Plazo. </w:t>
      </w:r>
      <w:r w:rsidRPr="00F42B4B">
        <w:rPr>
          <w:rFonts w:ascii="HelveticaNeueLT Std" w:eastAsiaTheme="minorEastAsia" w:hAnsi="HelveticaNeueLT Std" w:cs="Arial"/>
          <w:sz w:val="20"/>
          <w:szCs w:val="20"/>
          <w:lang w:eastAsia="en-US"/>
        </w:rPr>
        <w:t xml:space="preserve">- El saldo de </w:t>
      </w:r>
      <w:r w:rsidRPr="00F42B4B">
        <w:rPr>
          <w:rFonts w:ascii="HelveticaNeueLT Std" w:eastAsia="HelveticaNeueLT Std" w:hAnsi="HelveticaNeueLT Std" w:cs="HelveticaNeueLT Std"/>
          <w:sz w:val="22"/>
          <w:szCs w:val="22"/>
          <w:lang w:eastAsia="en-US"/>
        </w:rPr>
        <w:t>2</w:t>
      </w:r>
      <w:proofErr w:type="gramStart"/>
      <w:r w:rsidRPr="00F42B4B">
        <w:rPr>
          <w:rFonts w:ascii="HelveticaNeueLT Std" w:eastAsia="HelveticaNeueLT Std" w:hAnsi="HelveticaNeueLT Std" w:cs="HelveticaNeueLT Std"/>
          <w:sz w:val="22"/>
          <w:szCs w:val="22"/>
          <w:lang w:eastAsia="en-US"/>
        </w:rPr>
        <w:t>,910,031.84</w:t>
      </w:r>
      <w:proofErr w:type="gramEnd"/>
      <w:r w:rsidRPr="00F42B4B">
        <w:rPr>
          <w:rFonts w:ascii="HelveticaNeueLT Std" w:eastAsiaTheme="minorEastAsia" w:hAnsi="HelveticaNeueLT Std" w:cs="Arial"/>
          <w:sz w:val="20"/>
          <w:szCs w:val="20"/>
          <w:lang w:eastAsia="en-US"/>
        </w:rPr>
        <w:t>, en este mes representa principalmente, la dispersión de nómina pendiente pago, del adeudo con el Gobierno del Estado de México por 960,651.30 y cheques en tránsito cancelados por devoluciones de ingresos indebidos.</w:t>
      </w:r>
    </w:p>
    <w:p w14:paraId="6AC7737F" w14:textId="77777777" w:rsidR="00F42B4B" w:rsidRPr="00F42B4B" w:rsidRDefault="00F42B4B" w:rsidP="00F42B4B">
      <w:pPr>
        <w:pStyle w:val="Prrafodelista"/>
        <w:rPr>
          <w:rFonts w:ascii="HelveticaNeueLT Std" w:eastAsiaTheme="minorEastAsia" w:hAnsi="HelveticaNeueLT Std" w:cs="Arial"/>
          <w:b/>
          <w:sz w:val="20"/>
          <w:szCs w:val="20"/>
          <w:lang w:eastAsia="en-US"/>
        </w:rPr>
      </w:pPr>
    </w:p>
    <w:p w14:paraId="00A6D064" w14:textId="77777777" w:rsidR="00F42B4B" w:rsidRPr="00F42B4B" w:rsidRDefault="00F42B4B" w:rsidP="00F42B4B">
      <w:pPr>
        <w:pStyle w:val="Prrafodelista"/>
        <w:numPr>
          <w:ilvl w:val="0"/>
          <w:numId w:val="1"/>
        </w:numPr>
        <w:spacing w:line="276" w:lineRule="auto"/>
        <w:ind w:right="-1"/>
        <w:jc w:val="both"/>
        <w:outlineLvl w:val="0"/>
        <w:rPr>
          <w:rFonts w:ascii="HelveticaNeueLT Std" w:eastAsiaTheme="minorEastAsia" w:hAnsi="HelveticaNeueLT Std" w:cs="HelveticaNeueLT Std"/>
          <w:b/>
          <w:color w:val="000000" w:themeColor="text1"/>
          <w:sz w:val="20"/>
          <w:szCs w:val="20"/>
        </w:rPr>
      </w:pPr>
      <w:r w:rsidRPr="00F42B4B">
        <w:rPr>
          <w:rFonts w:ascii="HelveticaNeueLT Std" w:eastAsiaTheme="minorEastAsia" w:hAnsi="HelveticaNeueLT Std" w:cs="Arial"/>
          <w:b/>
          <w:sz w:val="20"/>
          <w:szCs w:val="20"/>
          <w:lang w:eastAsia="en-US"/>
        </w:rPr>
        <w:t xml:space="preserve"> Ingresos por Clasificar.- </w:t>
      </w:r>
      <w:r w:rsidRPr="00F42B4B">
        <w:rPr>
          <w:rFonts w:ascii="HelveticaNeueLT Std" w:eastAsiaTheme="minorEastAsia" w:hAnsi="HelveticaNeueLT Std" w:cs="Arial"/>
          <w:sz w:val="20"/>
          <w:szCs w:val="20"/>
          <w:lang w:eastAsia="en-US"/>
        </w:rPr>
        <w:t xml:space="preserve">El saldo </w:t>
      </w:r>
      <w:r w:rsidRPr="00F42B4B">
        <w:rPr>
          <w:rFonts w:ascii="HelveticaNeueLT Std" w:eastAsiaTheme="minorEastAsia" w:hAnsi="HelveticaNeueLT Std" w:cs="Arial"/>
          <w:color w:val="000000" w:themeColor="text1"/>
          <w:sz w:val="20"/>
          <w:szCs w:val="20"/>
          <w:lang w:eastAsia="en-US"/>
        </w:rPr>
        <w:t>de 114,954.35, corresponde a los intereses generados en instrumento de inversión de Santander.</w:t>
      </w:r>
    </w:p>
    <w:p w14:paraId="1A954C8B" w14:textId="77777777" w:rsidR="00F42B4B" w:rsidRPr="001760E2" w:rsidRDefault="00F42B4B" w:rsidP="00F42B4B">
      <w:pPr>
        <w:spacing w:line="276" w:lineRule="auto"/>
        <w:ind w:right="-1"/>
        <w:jc w:val="both"/>
        <w:outlineLvl w:val="0"/>
        <w:rPr>
          <w:rFonts w:cs="Arial"/>
          <w:b/>
          <w:bCs/>
          <w:color w:val="000000" w:themeColor="text1"/>
          <w:highlight w:val="yellow"/>
        </w:rPr>
      </w:pPr>
    </w:p>
    <w:p w14:paraId="6CA63D85" w14:textId="77777777" w:rsidR="00F42B4B" w:rsidRPr="002E3F40" w:rsidRDefault="00F42B4B" w:rsidP="00F42B4B">
      <w:pPr>
        <w:spacing w:line="276" w:lineRule="auto"/>
        <w:ind w:right="-1"/>
        <w:jc w:val="both"/>
        <w:outlineLvl w:val="0"/>
        <w:rPr>
          <w:rFonts w:eastAsiaTheme="minorEastAsia" w:cs="Arial"/>
          <w:b/>
          <w:bCs/>
        </w:rPr>
      </w:pPr>
      <w:r w:rsidRPr="002E3F40">
        <w:rPr>
          <w:rFonts w:eastAsiaTheme="minorEastAsia" w:cs="Arial"/>
          <w:b/>
          <w:bCs/>
        </w:rPr>
        <w:t>Pasivo No Circulante</w:t>
      </w:r>
    </w:p>
    <w:p w14:paraId="40931888" w14:textId="77777777" w:rsidR="00F42B4B" w:rsidRPr="002E3F40" w:rsidRDefault="00F42B4B" w:rsidP="00F42B4B">
      <w:pPr>
        <w:spacing w:line="276" w:lineRule="auto"/>
        <w:ind w:right="-1"/>
        <w:jc w:val="both"/>
        <w:outlineLvl w:val="0"/>
        <w:rPr>
          <w:rFonts w:eastAsiaTheme="minorEastAsia" w:cs="Arial"/>
          <w:b/>
          <w:bCs/>
        </w:rPr>
      </w:pPr>
      <w:r w:rsidRPr="002E3F40">
        <w:rPr>
          <w:rFonts w:eastAsiaTheme="minorEastAsia" w:cs="Arial"/>
          <w:b/>
          <w:bCs/>
        </w:rPr>
        <w:t xml:space="preserve">Documentos por Pagar a Largo Plazo. - </w:t>
      </w:r>
      <w:r w:rsidRPr="002E3F40">
        <w:rPr>
          <w:rFonts w:eastAsiaTheme="minorEastAsia" w:cs="Arial"/>
          <w:bCs/>
        </w:rPr>
        <w:t>Se integra por:</w:t>
      </w:r>
    </w:p>
    <w:p w14:paraId="6620E95A" w14:textId="77777777" w:rsidR="00F42B4B" w:rsidRPr="002E3F40" w:rsidRDefault="00F42B4B" w:rsidP="00F42B4B">
      <w:pPr>
        <w:pStyle w:val="Prrafodelista"/>
        <w:numPr>
          <w:ilvl w:val="0"/>
          <w:numId w:val="1"/>
        </w:numPr>
        <w:spacing w:line="276" w:lineRule="auto"/>
        <w:ind w:left="142" w:right="-1"/>
        <w:jc w:val="both"/>
        <w:outlineLvl w:val="0"/>
        <w:rPr>
          <w:rFonts w:ascii="HelveticaNeueLT Std" w:eastAsiaTheme="minorEastAsia" w:hAnsi="HelveticaNeueLT Std" w:cs="Arial"/>
          <w:sz w:val="20"/>
          <w:szCs w:val="20"/>
          <w:lang w:eastAsia="en-US"/>
        </w:rPr>
      </w:pPr>
      <w:r w:rsidRPr="002E3F40">
        <w:rPr>
          <w:rFonts w:ascii="HelveticaNeueLT Std" w:eastAsiaTheme="minorEastAsia" w:hAnsi="HelveticaNeueLT Std" w:cs="Arial"/>
          <w:b/>
          <w:bCs/>
          <w:sz w:val="20"/>
          <w:szCs w:val="20"/>
          <w:lang w:eastAsia="en-US"/>
        </w:rPr>
        <w:t>Documentos Comerciales por Pagar a Largo Plazo.-</w:t>
      </w:r>
      <w:r w:rsidRPr="002E3F40">
        <w:rPr>
          <w:rFonts w:ascii="HelveticaNeueLT Std" w:eastAsiaTheme="minorEastAsia" w:hAnsi="HelveticaNeueLT Std" w:cs="Arial"/>
          <w:sz w:val="20"/>
          <w:szCs w:val="20"/>
          <w:lang w:eastAsia="en-US"/>
        </w:rPr>
        <w:t xml:space="preserve"> El saldo de </w:t>
      </w:r>
      <w:r w:rsidRPr="00D5300D">
        <w:rPr>
          <w:rFonts w:ascii="HelveticaNeueLT Std" w:eastAsia="HelveticaNeueLT Std" w:hAnsi="HelveticaNeueLT Std" w:cs="HelveticaNeueLT Std"/>
          <w:sz w:val="22"/>
          <w:szCs w:val="22"/>
          <w:lang w:eastAsia="en-US"/>
        </w:rPr>
        <w:t>5,062,389,105.02</w:t>
      </w:r>
      <w:r w:rsidRPr="002E3F40">
        <w:rPr>
          <w:rFonts w:ascii="HelveticaNeueLT Std" w:eastAsiaTheme="minorEastAsia" w:hAnsi="HelveticaNeueLT Std" w:cs="Arial"/>
          <w:sz w:val="20"/>
          <w:szCs w:val="20"/>
          <w:lang w:eastAsia="en-US"/>
        </w:rPr>
        <w:t>, 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IFREM, de acuerdo al Decreto de Autorización No. 79 publicado en la Gaceta del Gobierno de fecha 12 de mayo del 2010.</w:t>
      </w:r>
    </w:p>
    <w:p w14:paraId="17A51AA2" w14:textId="77777777" w:rsidR="00DC6423" w:rsidRDefault="00DC6423" w:rsidP="00DC6423">
      <w:pPr>
        <w:pStyle w:val="Prrafodelista"/>
        <w:spacing w:line="276" w:lineRule="auto"/>
        <w:ind w:left="142" w:right="-1"/>
        <w:jc w:val="both"/>
        <w:outlineLvl w:val="0"/>
        <w:rPr>
          <w:rFonts w:ascii="HelveticaNeueLT Std" w:eastAsiaTheme="minorEastAsia" w:hAnsi="HelveticaNeueLT Std" w:cs="Arial"/>
          <w:b/>
          <w:bCs/>
          <w:sz w:val="20"/>
          <w:szCs w:val="20"/>
          <w:lang w:eastAsia="en-US"/>
        </w:rPr>
      </w:pPr>
    </w:p>
    <w:p w14:paraId="33FB72C6" w14:textId="77777777" w:rsidR="00DC6423" w:rsidRPr="00311CDE" w:rsidRDefault="00DC6423" w:rsidP="00DC6423">
      <w:pPr>
        <w:numPr>
          <w:ilvl w:val="0"/>
          <w:numId w:val="6"/>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14:paraId="506ED911" w14:textId="77777777" w:rsidR="00DC6423" w:rsidRPr="0096540A" w:rsidRDefault="00DC6423" w:rsidP="00DC6423">
      <w:pPr>
        <w:spacing w:before="240" w:after="240" w:line="276" w:lineRule="auto"/>
        <w:ind w:left="1068" w:right="-1"/>
        <w:contextualSpacing/>
        <w:outlineLvl w:val="0"/>
        <w:rPr>
          <w:rFonts w:eastAsia="Times New Roman" w:cs="Arial"/>
          <w:b/>
          <w:sz w:val="16"/>
          <w:lang w:eastAsia="es-MX"/>
        </w:rPr>
      </w:pPr>
    </w:p>
    <w:p w14:paraId="478A316D" w14:textId="77777777" w:rsidR="00DC6423" w:rsidRPr="00DA5FD6" w:rsidRDefault="00DC6423" w:rsidP="00DC6423">
      <w:pPr>
        <w:spacing w:line="276" w:lineRule="auto"/>
        <w:ind w:right="-1"/>
        <w:jc w:val="both"/>
        <w:outlineLvl w:val="0"/>
        <w:rPr>
          <w:rFonts w:cs="Arial"/>
          <w:b/>
        </w:rPr>
      </w:pPr>
      <w:r w:rsidRPr="00DA5FD6">
        <w:rPr>
          <w:rFonts w:cs="Arial"/>
          <w:b/>
        </w:rPr>
        <w:t>Ingresos de la Gestión:</w:t>
      </w:r>
    </w:p>
    <w:p w14:paraId="1B96EAAE" w14:textId="77777777" w:rsidR="00DC6423" w:rsidRPr="003A4352" w:rsidRDefault="00DC6423" w:rsidP="00DC6423">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82,326,814</w:t>
      </w:r>
      <w:r w:rsidRPr="003A4352">
        <w:rPr>
          <w:rFonts w:eastAsia="Times New Roman" w:cs="Arial"/>
          <w:lang w:eastAsia="es-MX"/>
        </w:rPr>
        <w:t xml:space="preserve">.00 obteniendo una recaudación en los recursos del Registro Público de la Propiedad (RPP) por </w:t>
      </w:r>
      <w:r>
        <w:rPr>
          <w:rFonts w:eastAsia="Times New Roman" w:cs="Arial"/>
          <w:lang w:eastAsia="es-MX"/>
        </w:rPr>
        <w:t>80</w:t>
      </w:r>
      <w:r w:rsidRPr="003A4352">
        <w:rPr>
          <w:rFonts w:eastAsia="Times New Roman" w:cs="Arial"/>
          <w:lang w:eastAsia="es-MX"/>
        </w:rPr>
        <w:t>,</w:t>
      </w:r>
      <w:r>
        <w:rPr>
          <w:rFonts w:eastAsia="Times New Roman" w:cs="Arial"/>
          <w:lang w:eastAsia="es-MX"/>
        </w:rPr>
        <w:t>689</w:t>
      </w:r>
      <w:r w:rsidRPr="003A4352">
        <w:rPr>
          <w:rFonts w:eastAsia="Times New Roman" w:cs="Arial"/>
          <w:lang w:eastAsia="es-MX"/>
        </w:rPr>
        <w:t>,</w:t>
      </w:r>
      <w:r>
        <w:rPr>
          <w:rFonts w:eastAsia="Times New Roman" w:cs="Arial"/>
          <w:lang w:eastAsia="es-MX"/>
        </w:rPr>
        <w:t>853</w:t>
      </w:r>
      <w:r w:rsidRPr="003A4352">
        <w:rPr>
          <w:rFonts w:eastAsia="Times New Roman" w:cs="Arial"/>
          <w:lang w:eastAsia="es-MX"/>
        </w:rPr>
        <w:t>.00 y los recursos del Registro Público del Comercio (RPC) por 1,</w:t>
      </w:r>
      <w:r>
        <w:rPr>
          <w:rFonts w:eastAsia="Times New Roman" w:cs="Arial"/>
          <w:lang w:eastAsia="es-MX"/>
        </w:rPr>
        <w:t>636</w:t>
      </w:r>
      <w:r w:rsidRPr="003A4352">
        <w:rPr>
          <w:rFonts w:eastAsia="Times New Roman" w:cs="Arial"/>
          <w:lang w:eastAsia="es-MX"/>
        </w:rPr>
        <w:t>,</w:t>
      </w:r>
      <w:r>
        <w:rPr>
          <w:rFonts w:eastAsia="Times New Roman" w:cs="Arial"/>
          <w:lang w:eastAsia="es-MX"/>
        </w:rPr>
        <w:t>961</w:t>
      </w:r>
      <w:r w:rsidRPr="003A4352">
        <w:rPr>
          <w:rFonts w:eastAsia="Times New Roman" w:cs="Arial"/>
          <w:lang w:eastAsia="es-MX"/>
        </w:rPr>
        <w:t>.00. Al mes se lleva un total acumulado por 5</w:t>
      </w:r>
      <w:r>
        <w:rPr>
          <w:rFonts w:eastAsia="Times New Roman" w:cs="Arial"/>
          <w:lang w:eastAsia="es-MX"/>
        </w:rPr>
        <w:t>34</w:t>
      </w:r>
      <w:proofErr w:type="gramStart"/>
      <w:r w:rsidRPr="003A4352">
        <w:rPr>
          <w:rFonts w:eastAsia="Times New Roman" w:cs="Arial"/>
          <w:lang w:eastAsia="es-MX"/>
        </w:rPr>
        <w:t>,</w:t>
      </w:r>
      <w:r>
        <w:rPr>
          <w:rFonts w:eastAsia="Times New Roman" w:cs="Arial"/>
          <w:lang w:eastAsia="es-MX"/>
        </w:rPr>
        <w:t>288</w:t>
      </w:r>
      <w:r w:rsidRPr="003A4352">
        <w:rPr>
          <w:rFonts w:eastAsia="Times New Roman" w:cs="Arial"/>
          <w:lang w:eastAsia="es-MX"/>
        </w:rPr>
        <w:t>,</w:t>
      </w:r>
      <w:r>
        <w:rPr>
          <w:rFonts w:eastAsia="Times New Roman" w:cs="Arial"/>
          <w:lang w:eastAsia="es-MX"/>
        </w:rPr>
        <w:t>194</w:t>
      </w:r>
      <w:r w:rsidRPr="003A4352">
        <w:rPr>
          <w:rFonts w:eastAsia="Times New Roman" w:cs="Arial"/>
          <w:lang w:eastAsia="es-MX"/>
        </w:rPr>
        <w:t>.00</w:t>
      </w:r>
      <w:proofErr w:type="gramEnd"/>
      <w:r w:rsidRPr="003A4352">
        <w:rPr>
          <w:rFonts w:eastAsia="Times New Roman" w:cs="Arial"/>
          <w:lang w:eastAsia="es-MX"/>
        </w:rPr>
        <w:t>.</w:t>
      </w:r>
    </w:p>
    <w:p w14:paraId="07B5E503" w14:textId="77777777" w:rsidR="00DC6423" w:rsidRPr="0096540A" w:rsidRDefault="00DC6423" w:rsidP="00DC6423">
      <w:pPr>
        <w:spacing w:after="0" w:line="276" w:lineRule="auto"/>
        <w:ind w:right="-1"/>
        <w:jc w:val="both"/>
        <w:rPr>
          <w:rFonts w:cs="Arial"/>
          <w:sz w:val="16"/>
        </w:rPr>
      </w:pPr>
    </w:p>
    <w:p w14:paraId="681F68B9" w14:textId="77777777" w:rsidR="00DC6423" w:rsidRPr="00DA5FD6" w:rsidRDefault="00DC6423" w:rsidP="00DC6423">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corresponde</w:t>
      </w:r>
      <w:r w:rsidRPr="00DA5FD6">
        <w:rPr>
          <w:rFonts w:eastAsia="Times New Roman" w:cs="Arial"/>
          <w:lang w:eastAsia="es-MX"/>
        </w:rPr>
        <w:t xml:space="preserve"> al Programa </w:t>
      </w:r>
      <w:r>
        <w:rPr>
          <w:rFonts w:eastAsia="Times New Roman" w:cs="Arial"/>
          <w:lang w:eastAsia="es-MX"/>
        </w:rPr>
        <w:t>de Acciones</w:t>
      </w:r>
      <w:r w:rsidRPr="00DA5FD6">
        <w:rPr>
          <w:rFonts w:eastAsia="Times New Roman" w:cs="Arial"/>
          <w:lang w:eastAsia="es-MX"/>
        </w:rPr>
        <w:t xml:space="preserve"> </w:t>
      </w:r>
      <w:r>
        <w:rPr>
          <w:rFonts w:eastAsia="Times New Roman" w:cs="Arial"/>
          <w:lang w:eastAsia="es-MX"/>
        </w:rPr>
        <w:t>para el Desarrollo (</w:t>
      </w:r>
      <w:r w:rsidRPr="00DA5FD6">
        <w:rPr>
          <w:rFonts w:eastAsia="Times New Roman" w:cs="Arial"/>
          <w:lang w:eastAsia="es-MX"/>
        </w:rPr>
        <w:t>PAD</w:t>
      </w:r>
      <w:r>
        <w:rPr>
          <w:rFonts w:eastAsia="Times New Roman" w:cs="Arial"/>
          <w:lang w:eastAsia="es-MX"/>
        </w:rPr>
        <w:t xml:space="preserve">), del “Programa de Regularización de </w:t>
      </w:r>
      <w:r w:rsidRPr="00DA5FD6">
        <w:rPr>
          <w:rFonts w:eastAsia="Times New Roman" w:cs="Arial"/>
          <w:lang w:eastAsia="es-MX"/>
        </w:rPr>
        <w:t>Tenencia de la Tierra</w:t>
      </w:r>
      <w:r>
        <w:rPr>
          <w:rFonts w:eastAsia="Times New Roman" w:cs="Arial"/>
          <w:lang w:eastAsia="es-MX"/>
        </w:rPr>
        <w:t>”,</w:t>
      </w:r>
      <w:r w:rsidRPr="00DA5FD6">
        <w:rPr>
          <w:rFonts w:eastAsia="Times New Roman" w:cs="Arial"/>
          <w:lang w:eastAsia="es-MX"/>
        </w:rPr>
        <w:t xml:space="preserve"> </w:t>
      </w:r>
      <w:r>
        <w:rPr>
          <w:rFonts w:eastAsia="Times New Roman" w:cs="Arial"/>
          <w:lang w:eastAsia="es-MX"/>
        </w:rPr>
        <w:t>en este mes el devengado</w:t>
      </w:r>
      <w:r w:rsidRPr="00DA5FD6">
        <w:rPr>
          <w:rFonts w:eastAsia="Times New Roman" w:cs="Arial"/>
          <w:lang w:eastAsia="es-MX"/>
        </w:rPr>
        <w:t xml:space="preserve"> </w:t>
      </w:r>
      <w:r>
        <w:rPr>
          <w:rFonts w:eastAsia="Times New Roman" w:cs="Arial"/>
          <w:lang w:eastAsia="es-MX"/>
        </w:rPr>
        <w:t>y</w:t>
      </w:r>
      <w:r w:rsidRPr="00DA5FD6">
        <w:rPr>
          <w:rFonts w:eastAsia="Times New Roman" w:cs="Arial"/>
          <w:lang w:eastAsia="es-MX"/>
        </w:rPr>
        <w:t xml:space="preserve"> el recaudado </w:t>
      </w:r>
      <w:r>
        <w:rPr>
          <w:rFonts w:eastAsia="Times New Roman" w:cs="Arial"/>
          <w:lang w:eastAsia="es-MX"/>
        </w:rPr>
        <w:t>es de 3</w:t>
      </w:r>
      <w:proofErr w:type="gramStart"/>
      <w:r>
        <w:rPr>
          <w:rFonts w:eastAsia="Times New Roman" w:cs="Arial"/>
          <w:lang w:eastAsia="es-MX"/>
        </w:rPr>
        <w:t>,594,061.14</w:t>
      </w:r>
      <w:proofErr w:type="gramEnd"/>
      <w:r>
        <w:rPr>
          <w:rFonts w:eastAsia="Times New Roman" w:cs="Arial"/>
          <w:lang w:eastAsia="es-MX"/>
        </w:rPr>
        <w:t>. Al mes se tiene un monto acumulado por 17</w:t>
      </w:r>
      <w:proofErr w:type="gramStart"/>
      <w:r>
        <w:rPr>
          <w:rFonts w:eastAsia="Times New Roman" w:cs="Arial"/>
          <w:lang w:eastAsia="es-MX"/>
        </w:rPr>
        <w:t>,970,305.69</w:t>
      </w:r>
      <w:proofErr w:type="gramEnd"/>
      <w:r>
        <w:rPr>
          <w:rFonts w:eastAsia="Times New Roman" w:cs="Arial"/>
          <w:lang w:eastAsia="es-MX"/>
        </w:rPr>
        <w:t>.</w:t>
      </w:r>
    </w:p>
    <w:p w14:paraId="180169BC" w14:textId="77777777" w:rsidR="00DC6423" w:rsidRPr="0096540A" w:rsidRDefault="00DC6423" w:rsidP="00DC6423">
      <w:pPr>
        <w:spacing w:after="0" w:line="276" w:lineRule="auto"/>
        <w:ind w:right="-1"/>
        <w:contextualSpacing/>
        <w:jc w:val="both"/>
        <w:rPr>
          <w:rFonts w:eastAsia="Times New Roman" w:cs="Arial"/>
          <w:sz w:val="14"/>
          <w:szCs w:val="24"/>
          <w:lang w:eastAsia="es-MX"/>
        </w:rPr>
      </w:pPr>
    </w:p>
    <w:p w14:paraId="094213B0" w14:textId="77777777" w:rsidR="00DC6423" w:rsidRPr="00D16623" w:rsidRDefault="00DC6423" w:rsidP="00DC6423">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Otros Ingresos y Beneficios:</w:t>
      </w:r>
      <w:r w:rsidRPr="00DA5FD6">
        <w:rPr>
          <w:rFonts w:eastAsia="Times New Roman" w:cs="Arial"/>
          <w:lang w:eastAsia="es-MX"/>
        </w:rPr>
        <w:t xml:space="preserve"> En el mes</w:t>
      </w:r>
      <w:r>
        <w:rPr>
          <w:rFonts w:eastAsia="Times New Roman" w:cs="Arial"/>
          <w:lang w:eastAsia="es-MX"/>
        </w:rPr>
        <w:t xml:space="preserve"> que se comenta,</w:t>
      </w:r>
      <w:r w:rsidRPr="00DA5FD6">
        <w:rPr>
          <w:rFonts w:eastAsia="Times New Roman" w:cs="Arial"/>
          <w:lang w:eastAsia="es-MX"/>
        </w:rPr>
        <w:t xml:space="preserve"> se o</w:t>
      </w:r>
      <w:r>
        <w:rPr>
          <w:rFonts w:eastAsia="Times New Roman" w:cs="Arial"/>
          <w:lang w:eastAsia="es-MX"/>
        </w:rPr>
        <w:t xml:space="preserve">bserva un monto de 2,592,933.98, al mes se tiene un acumulado </w:t>
      </w:r>
      <w:r w:rsidRPr="00410DDD">
        <w:rPr>
          <w:rFonts w:eastAsia="Times New Roman" w:cs="Arial"/>
          <w:lang w:eastAsia="es-MX"/>
        </w:rPr>
        <w:t>por</w:t>
      </w:r>
      <w:r>
        <w:rPr>
          <w:rFonts w:eastAsia="Times New Roman" w:cs="Arial"/>
          <w:lang w:eastAsia="es-MX"/>
        </w:rPr>
        <w:t xml:space="preserve"> 244,160,423.20, </w:t>
      </w:r>
      <w:r w:rsidRPr="00D16623">
        <w:rPr>
          <w:rFonts w:eastAsia="Times New Roman" w:cs="Arial"/>
          <w:lang w:eastAsia="es-MX"/>
        </w:rPr>
        <w:t>que corresponden a:</w:t>
      </w:r>
    </w:p>
    <w:p w14:paraId="46F9F7DE" w14:textId="77777777" w:rsidR="00DC6423" w:rsidRPr="0096540A" w:rsidRDefault="00DC6423" w:rsidP="00DC6423">
      <w:pPr>
        <w:spacing w:after="0" w:line="276" w:lineRule="auto"/>
        <w:ind w:right="-1"/>
        <w:jc w:val="both"/>
        <w:rPr>
          <w:rFonts w:cs="Arial"/>
          <w:sz w:val="16"/>
        </w:rPr>
      </w:pPr>
    </w:p>
    <w:p w14:paraId="7EA6CA93" w14:textId="77777777" w:rsidR="00DC6423" w:rsidRPr="00DA5FD6" w:rsidRDefault="00DC6423" w:rsidP="00DC6423">
      <w:pPr>
        <w:spacing w:line="276" w:lineRule="auto"/>
        <w:ind w:left="644" w:right="-1"/>
        <w:jc w:val="both"/>
        <w:outlineLvl w:val="0"/>
        <w:rPr>
          <w:rFonts w:cs="Arial"/>
        </w:rPr>
      </w:pPr>
      <w:r w:rsidRPr="00DA5FD6">
        <w:rPr>
          <w:rFonts w:cs="Arial"/>
          <w:b/>
        </w:rPr>
        <w:t>Ingresos Financieros</w:t>
      </w:r>
      <w:r w:rsidRPr="00DA5FD6">
        <w:rPr>
          <w:rFonts w:cs="Arial"/>
        </w:rPr>
        <w:t xml:space="preserve">. - Se observa en el mes un saldo </w:t>
      </w:r>
      <w:r>
        <w:rPr>
          <w:rFonts w:cs="Arial"/>
        </w:rPr>
        <w:t>de 2</w:t>
      </w:r>
      <w:proofErr w:type="gramStart"/>
      <w:r>
        <w:rPr>
          <w:rFonts w:cs="Arial"/>
        </w:rPr>
        <w:t>,541,801.96</w:t>
      </w:r>
      <w:proofErr w:type="gramEnd"/>
      <w:r w:rsidRPr="00DA5FD6">
        <w:rPr>
          <w:rFonts w:cs="Arial"/>
        </w:rPr>
        <w:t xml:space="preserve">, </w:t>
      </w:r>
      <w:r>
        <w:rPr>
          <w:rFonts w:cs="Arial"/>
        </w:rPr>
        <w:t>que corresponden a</w:t>
      </w:r>
      <w:r>
        <w:rPr>
          <w:rFonts w:eastAsia="Times New Roman" w:cs="Arial"/>
          <w:lang w:eastAsia="es-MX"/>
        </w:rPr>
        <w:t xml:space="preserve"> </w:t>
      </w:r>
      <w:r w:rsidRPr="00DA5FD6">
        <w:rPr>
          <w:rFonts w:cs="Arial"/>
        </w:rPr>
        <w:t>los intereses de las cuentas bancarias productivas</w:t>
      </w:r>
      <w:r>
        <w:rPr>
          <w:rFonts w:cs="Arial"/>
        </w:rPr>
        <w:t xml:space="preserve"> y la cuenta de inversión</w:t>
      </w:r>
      <w:r w:rsidRPr="00DA5FD6">
        <w:rPr>
          <w:rFonts w:cs="Arial"/>
        </w:rPr>
        <w:t xml:space="preserve"> del Instituto. Al mes se tiene un acumulado</w:t>
      </w:r>
      <w:r>
        <w:rPr>
          <w:rFonts w:cs="Arial"/>
        </w:rPr>
        <w:t xml:space="preserve"> por 243</w:t>
      </w:r>
      <w:proofErr w:type="gramStart"/>
      <w:r>
        <w:rPr>
          <w:rFonts w:cs="Arial"/>
        </w:rPr>
        <w:t>,843,333.83</w:t>
      </w:r>
      <w:proofErr w:type="gramEnd"/>
      <w:r w:rsidRPr="00DA5FD6">
        <w:rPr>
          <w:rFonts w:cs="Arial"/>
        </w:rPr>
        <w:t>.</w:t>
      </w:r>
    </w:p>
    <w:p w14:paraId="5FB65BD1" w14:textId="77777777" w:rsidR="00DC6423" w:rsidRDefault="00DC6423" w:rsidP="00DC6423">
      <w:pPr>
        <w:spacing w:line="276" w:lineRule="auto"/>
        <w:ind w:left="644" w:right="-1"/>
        <w:jc w:val="both"/>
        <w:outlineLvl w:val="0"/>
        <w:rPr>
          <w:rFonts w:cs="Arial"/>
        </w:rPr>
      </w:pPr>
      <w:r w:rsidRPr="00D16623">
        <w:rPr>
          <w:rFonts w:cs="Arial"/>
          <w:b/>
        </w:rPr>
        <w:lastRenderedPageBreak/>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Pr>
          <w:rFonts w:cs="Arial"/>
        </w:rPr>
        <w:t xml:space="preserve">51,132.02 </w:t>
      </w:r>
      <w:r w:rsidRPr="00DA5FD6">
        <w:rPr>
          <w:rFonts w:cs="Arial"/>
        </w:rPr>
        <w:t xml:space="preserve">por </w:t>
      </w:r>
      <w:r>
        <w:rPr>
          <w:rFonts w:cs="Arial"/>
        </w:rPr>
        <w:t>recuperación en indemnización de bienes muebles, venta de bases para concurso, aprovechamientos por sanción o incumplimiento y rendimientos de la remesa de los ingresos por RPC.</w:t>
      </w:r>
      <w:r w:rsidRPr="007C7CED">
        <w:rPr>
          <w:rFonts w:cs="Arial"/>
        </w:rPr>
        <w:t xml:space="preserve"> </w:t>
      </w:r>
      <w:r w:rsidRPr="00DA5FD6">
        <w:rPr>
          <w:rFonts w:cs="Arial"/>
        </w:rPr>
        <w:t xml:space="preserve">Presenta un saldo acumulado </w:t>
      </w:r>
      <w:r>
        <w:rPr>
          <w:rFonts w:cs="Arial"/>
        </w:rPr>
        <w:t>por 317,089.37.</w:t>
      </w:r>
    </w:p>
    <w:p w14:paraId="71ED48D9" w14:textId="77777777" w:rsidR="00DC6423" w:rsidRPr="00DA5FD6" w:rsidRDefault="00DC6423" w:rsidP="00DC6423">
      <w:pPr>
        <w:spacing w:line="276" w:lineRule="auto"/>
        <w:ind w:left="644" w:right="-1"/>
        <w:jc w:val="both"/>
        <w:outlineLvl w:val="0"/>
        <w:rPr>
          <w:rFonts w:cs="Arial"/>
        </w:rPr>
      </w:pPr>
    </w:p>
    <w:p w14:paraId="3710AA90" w14:textId="77777777" w:rsidR="00DC6423" w:rsidRDefault="00DC6423" w:rsidP="00DC6423">
      <w:pPr>
        <w:spacing w:line="276" w:lineRule="auto"/>
        <w:ind w:right="-1"/>
        <w:jc w:val="both"/>
        <w:outlineLvl w:val="0"/>
        <w:rPr>
          <w:rFonts w:cs="Arial"/>
          <w:b/>
        </w:rPr>
      </w:pPr>
      <w:r w:rsidRPr="00543156">
        <w:rPr>
          <w:rFonts w:cs="Arial"/>
          <w:b/>
        </w:rPr>
        <w:t>Gastos y Otras Pérdidas:</w:t>
      </w:r>
      <w:r>
        <w:rPr>
          <w:rFonts w:cs="Arial"/>
          <w:b/>
        </w:rPr>
        <w:t xml:space="preserve"> </w:t>
      </w:r>
    </w:p>
    <w:p w14:paraId="156C285D" w14:textId="77777777" w:rsidR="00DC6423" w:rsidRPr="007759F0" w:rsidRDefault="00DC6423" w:rsidP="00DC6423">
      <w:pPr>
        <w:pStyle w:val="Prrafodelista"/>
        <w:numPr>
          <w:ilvl w:val="0"/>
          <w:numId w:val="19"/>
        </w:numPr>
        <w:spacing w:line="276" w:lineRule="auto"/>
        <w:ind w:right="-1"/>
        <w:jc w:val="both"/>
        <w:outlineLvl w:val="0"/>
        <w:rPr>
          <w:rFonts w:ascii="HelveticaNeueLT Std" w:eastAsiaTheme="minorHAnsi" w:hAnsi="HelveticaNeueLT Std" w:cs="Arial"/>
          <w:sz w:val="20"/>
          <w:szCs w:val="20"/>
          <w:lang w:eastAsia="en-US"/>
        </w:rPr>
      </w:pPr>
      <w:r w:rsidRPr="007759F0">
        <w:rPr>
          <w:rFonts w:ascii="HelveticaNeueLT Std" w:eastAsiaTheme="minorHAnsi" w:hAnsi="HelveticaNeueLT Std" w:cs="Arial"/>
          <w:b/>
          <w:sz w:val="20"/>
          <w:szCs w:val="20"/>
          <w:lang w:eastAsia="en-US"/>
        </w:rPr>
        <w:t>Gastos de Funcionamiento</w:t>
      </w:r>
      <w:r w:rsidRPr="007759F0">
        <w:rPr>
          <w:rFonts w:cs="Arial"/>
        </w:rPr>
        <w:t xml:space="preserve">. - </w:t>
      </w:r>
      <w:r w:rsidRPr="007759F0">
        <w:rPr>
          <w:rFonts w:ascii="HelveticaNeueLT Std" w:eastAsiaTheme="minorHAnsi" w:hAnsi="HelveticaNeueLT Std" w:cs="Arial"/>
          <w:sz w:val="20"/>
          <w:szCs w:val="20"/>
          <w:lang w:eastAsia="en-US"/>
        </w:rPr>
        <w:t xml:space="preserve">Para la operación del Instituto, se han erogado en este mes la cantidad de </w:t>
      </w:r>
      <w:r>
        <w:rPr>
          <w:rFonts w:ascii="HelveticaNeueLT Std" w:eastAsiaTheme="minorHAnsi" w:hAnsi="HelveticaNeueLT Std" w:cs="Arial"/>
          <w:sz w:val="20"/>
          <w:szCs w:val="20"/>
          <w:lang w:eastAsia="en-US"/>
        </w:rPr>
        <w:t>21</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312</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859</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09</w:t>
      </w:r>
      <w:r w:rsidRPr="007759F0">
        <w:rPr>
          <w:rFonts w:ascii="HelveticaNeueLT Std" w:eastAsiaTheme="minorHAnsi" w:hAnsi="HelveticaNeueLT Std" w:cs="Arial"/>
          <w:sz w:val="20"/>
          <w:szCs w:val="20"/>
          <w:lang w:eastAsia="en-US"/>
        </w:rPr>
        <w:t xml:space="preserve">, integrados </w:t>
      </w:r>
      <w:r>
        <w:rPr>
          <w:rFonts w:ascii="HelveticaNeueLT Std" w:eastAsiaTheme="minorHAnsi" w:hAnsi="HelveticaNeueLT Std" w:cs="Arial"/>
          <w:sz w:val="20"/>
          <w:szCs w:val="20"/>
          <w:lang w:eastAsia="en-US"/>
        </w:rPr>
        <w:t xml:space="preserve">principalmente </w:t>
      </w:r>
      <w:r w:rsidRPr="007759F0">
        <w:rPr>
          <w:rFonts w:ascii="HelveticaNeueLT Std" w:eastAsiaTheme="minorHAnsi" w:hAnsi="HelveticaNeueLT Std" w:cs="Arial"/>
          <w:sz w:val="20"/>
          <w:szCs w:val="20"/>
          <w:lang w:eastAsia="en-US"/>
        </w:rPr>
        <w:t xml:space="preserve">por: “Servicios Personales” (pagos de la nómina y sus colaterales) </w:t>
      </w:r>
      <w:r>
        <w:rPr>
          <w:rFonts w:ascii="HelveticaNeueLT Std" w:eastAsiaTheme="minorHAnsi" w:hAnsi="HelveticaNeueLT Std" w:cs="Arial"/>
          <w:sz w:val="20"/>
          <w:szCs w:val="20"/>
          <w:lang w:eastAsia="en-US"/>
        </w:rPr>
        <w:t>con un</w:t>
      </w:r>
      <w:r w:rsidRPr="007759F0">
        <w:rPr>
          <w:rFonts w:ascii="HelveticaNeueLT Std" w:eastAsiaTheme="minorHAnsi" w:hAnsi="HelveticaNeueLT Std" w:cs="Arial"/>
          <w:sz w:val="20"/>
          <w:szCs w:val="20"/>
          <w:lang w:eastAsia="en-US"/>
        </w:rPr>
        <w:t xml:space="preserve"> importe de </w:t>
      </w:r>
      <w:r>
        <w:rPr>
          <w:rFonts w:ascii="HelveticaNeueLT Std" w:eastAsiaTheme="minorHAnsi" w:hAnsi="HelveticaNeueLT Std" w:cs="Arial"/>
          <w:sz w:val="20"/>
          <w:szCs w:val="20"/>
          <w:lang w:eastAsia="en-US"/>
        </w:rPr>
        <w:t>10,891</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187</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 xml:space="preserve">81, que representa el 51.10 por ciento, el </w:t>
      </w:r>
      <w:r w:rsidRPr="007759F0">
        <w:rPr>
          <w:rFonts w:ascii="HelveticaNeueLT Std" w:eastAsiaTheme="minorHAnsi" w:hAnsi="HelveticaNeueLT Std" w:cs="Arial"/>
          <w:sz w:val="20"/>
          <w:szCs w:val="20"/>
          <w:lang w:eastAsia="en-US"/>
        </w:rPr>
        <w:t>concep</w:t>
      </w:r>
      <w:r>
        <w:rPr>
          <w:rFonts w:ascii="HelveticaNeueLT Std" w:eastAsiaTheme="minorHAnsi" w:hAnsi="HelveticaNeueLT Std" w:cs="Arial"/>
          <w:sz w:val="20"/>
          <w:szCs w:val="20"/>
          <w:lang w:eastAsia="en-US"/>
        </w:rPr>
        <w:t>to de “Materiales y Suministros” con un importe de 2,712,735.70 que representa 12.73 por ciento, en el concepto de “Servicios Generales” por 7,708</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935</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58</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 xml:space="preserve">que </w:t>
      </w:r>
      <w:r w:rsidRPr="007759F0">
        <w:rPr>
          <w:rFonts w:ascii="HelveticaNeueLT Std" w:eastAsiaTheme="minorHAnsi" w:hAnsi="HelveticaNeueLT Std" w:cs="Arial"/>
          <w:sz w:val="20"/>
          <w:szCs w:val="20"/>
          <w:lang w:eastAsia="en-US"/>
        </w:rPr>
        <w:t xml:space="preserve">representa el </w:t>
      </w:r>
      <w:r>
        <w:rPr>
          <w:rFonts w:ascii="HelveticaNeueLT Std" w:eastAsiaTheme="minorHAnsi" w:hAnsi="HelveticaNeueLT Std" w:cs="Arial"/>
          <w:sz w:val="20"/>
          <w:szCs w:val="20"/>
          <w:lang w:eastAsia="en-US"/>
        </w:rPr>
        <w:t>36</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17 por ciento. Este rubro presenta un saldo acumulado por 92</w:t>
      </w:r>
      <w:proofErr w:type="gramStart"/>
      <w:r>
        <w:rPr>
          <w:rFonts w:ascii="HelveticaNeueLT Std" w:eastAsiaTheme="minorHAnsi" w:hAnsi="HelveticaNeueLT Std" w:cs="Arial"/>
          <w:sz w:val="20"/>
          <w:szCs w:val="20"/>
          <w:lang w:eastAsia="en-US"/>
        </w:rPr>
        <w:t>,369,037.21</w:t>
      </w:r>
      <w:proofErr w:type="gramEnd"/>
      <w:r>
        <w:rPr>
          <w:rFonts w:ascii="HelveticaNeueLT Std" w:eastAsiaTheme="minorHAnsi" w:hAnsi="HelveticaNeueLT Std" w:cs="Arial"/>
          <w:sz w:val="20"/>
          <w:szCs w:val="20"/>
          <w:lang w:eastAsia="en-US"/>
        </w:rPr>
        <w:t>.</w:t>
      </w:r>
    </w:p>
    <w:p w14:paraId="71552749" w14:textId="77777777" w:rsidR="00DC6423" w:rsidRPr="00714562" w:rsidRDefault="00DC6423" w:rsidP="00DC6423">
      <w:pPr>
        <w:spacing w:after="0" w:line="276" w:lineRule="auto"/>
        <w:ind w:left="644" w:right="-1"/>
        <w:jc w:val="both"/>
        <w:rPr>
          <w:rFonts w:cs="Arial"/>
        </w:rPr>
      </w:pPr>
    </w:p>
    <w:p w14:paraId="6AD121DD" w14:textId="77777777" w:rsidR="00DC6423" w:rsidRDefault="00DC6423" w:rsidP="00DC6423">
      <w:pPr>
        <w:numPr>
          <w:ilvl w:val="0"/>
          <w:numId w:val="19"/>
        </w:numPr>
        <w:spacing w:after="0" w:line="276" w:lineRule="auto"/>
        <w:ind w:right="-1"/>
        <w:jc w:val="both"/>
        <w:rPr>
          <w:rFonts w:cs="Arial"/>
        </w:rPr>
      </w:pPr>
      <w:r w:rsidRPr="00DA5FD6">
        <w:rPr>
          <w:rFonts w:cs="Arial"/>
          <w:b/>
        </w:rPr>
        <w:t>Transferencias, Asignaciones, Subsidios y Otras Ayudas. -</w:t>
      </w:r>
      <w:r w:rsidRPr="00DA5FD6">
        <w:rPr>
          <w:rFonts w:cs="Arial"/>
        </w:rPr>
        <w:t xml:space="preserve"> Se observa en este mes </w:t>
      </w:r>
      <w:r>
        <w:rPr>
          <w:rFonts w:cs="Arial"/>
        </w:rPr>
        <w:t xml:space="preserve">39,436.00, por las devoluciones de Ingresos Indebidos. Presenta un saldo acumulado por 462,779.04. </w:t>
      </w:r>
    </w:p>
    <w:p w14:paraId="740D0F59" w14:textId="77777777" w:rsidR="00DC6423" w:rsidRDefault="00DC6423" w:rsidP="00DC6423">
      <w:pPr>
        <w:pStyle w:val="Prrafodelista"/>
        <w:rPr>
          <w:rFonts w:cs="Arial"/>
        </w:rPr>
      </w:pPr>
    </w:p>
    <w:p w14:paraId="3412B11C" w14:textId="77777777" w:rsidR="00DC6423" w:rsidRPr="00AA61F6" w:rsidRDefault="00DC6423" w:rsidP="00DC6423">
      <w:pPr>
        <w:numPr>
          <w:ilvl w:val="0"/>
          <w:numId w:val="19"/>
        </w:numPr>
        <w:spacing w:after="0" w:line="276" w:lineRule="auto"/>
        <w:ind w:right="-1"/>
        <w:jc w:val="both"/>
        <w:rPr>
          <w:rFonts w:cs="Arial"/>
        </w:rPr>
      </w:pPr>
      <w:r w:rsidRPr="00AA61F6">
        <w:rPr>
          <w:rFonts w:cs="Arial"/>
          <w:b/>
        </w:rPr>
        <w:t xml:space="preserve">Intereses, Comisiones y Otros Gastos de la Deuda Pública. </w:t>
      </w:r>
      <w:r>
        <w:rPr>
          <w:rFonts w:cs="Arial"/>
          <w:b/>
        </w:rPr>
        <w:t>–</w:t>
      </w:r>
      <w:r w:rsidRPr="00AA61F6">
        <w:rPr>
          <w:rFonts w:cs="Arial"/>
          <w:b/>
        </w:rPr>
        <w:t xml:space="preserve"> </w:t>
      </w:r>
      <w:r>
        <w:rPr>
          <w:rFonts w:cs="Arial"/>
        </w:rPr>
        <w:t xml:space="preserve">Se observa un saldo acumulado total por 234, 415,921.11 de los cupones de las Series “A”, “B” y Subordinada “C”. </w:t>
      </w:r>
    </w:p>
    <w:p w14:paraId="4C2148AD" w14:textId="77777777" w:rsidR="00DC6423" w:rsidRPr="00C2579F" w:rsidRDefault="00DC6423" w:rsidP="00DC6423">
      <w:pPr>
        <w:spacing w:after="0" w:line="276" w:lineRule="auto"/>
        <w:ind w:left="644" w:right="-1"/>
        <w:jc w:val="both"/>
        <w:rPr>
          <w:rFonts w:cs="Arial"/>
        </w:rPr>
      </w:pPr>
      <w:r w:rsidRPr="00C2579F">
        <w:rPr>
          <w:rFonts w:cs="Arial"/>
        </w:rPr>
        <w:t xml:space="preserve"> </w:t>
      </w:r>
    </w:p>
    <w:p w14:paraId="33EDF5F5" w14:textId="77777777" w:rsidR="00DC6423" w:rsidRDefault="00DC6423" w:rsidP="00DC6423">
      <w:pPr>
        <w:numPr>
          <w:ilvl w:val="0"/>
          <w:numId w:val="19"/>
        </w:numPr>
        <w:spacing w:after="0" w:line="276" w:lineRule="auto"/>
        <w:ind w:right="-1"/>
        <w:jc w:val="both"/>
        <w:rPr>
          <w:rFonts w:cs="Arial"/>
        </w:rPr>
      </w:pPr>
      <w:r w:rsidRPr="000E1289">
        <w:rPr>
          <w:rFonts w:cs="Arial"/>
          <w:b/>
        </w:rPr>
        <w:t>Otros Gastos y Pérdidas Extraordinarias</w:t>
      </w:r>
      <w:r w:rsidRPr="000E1289">
        <w:rPr>
          <w:rFonts w:cs="Arial"/>
        </w:rPr>
        <w:t>. - En esta partida se refleja la depreciación de bienes muebles e inmuebles</w:t>
      </w:r>
      <w:r>
        <w:rPr>
          <w:rFonts w:cs="Arial"/>
        </w:rPr>
        <w:t xml:space="preserve"> en el mes</w:t>
      </w:r>
      <w:r w:rsidRPr="000E1289">
        <w:rPr>
          <w:rFonts w:cs="Arial"/>
        </w:rPr>
        <w:t xml:space="preserve"> por la cantidad de </w:t>
      </w:r>
      <w:r>
        <w:rPr>
          <w:rFonts w:cs="Arial"/>
        </w:rPr>
        <w:t>845</w:t>
      </w:r>
      <w:r w:rsidRPr="000E1289">
        <w:rPr>
          <w:rFonts w:cs="Arial"/>
        </w:rPr>
        <w:t>,</w:t>
      </w:r>
      <w:r>
        <w:rPr>
          <w:rFonts w:cs="Arial"/>
        </w:rPr>
        <w:t>159</w:t>
      </w:r>
      <w:r w:rsidRPr="000E1289">
        <w:rPr>
          <w:rFonts w:cs="Arial"/>
        </w:rPr>
        <w:t>.</w:t>
      </w:r>
      <w:r>
        <w:rPr>
          <w:rFonts w:cs="Arial"/>
        </w:rPr>
        <w:t>31</w:t>
      </w:r>
      <w:r w:rsidRPr="000E1289">
        <w:rPr>
          <w:rFonts w:cs="Arial"/>
        </w:rPr>
        <w:t>,</w:t>
      </w:r>
      <w:r>
        <w:rPr>
          <w:rFonts w:cs="Arial"/>
        </w:rPr>
        <w:t xml:space="preserve"> con un acumulado de 5</w:t>
      </w:r>
      <w:proofErr w:type="gramStart"/>
      <w:r>
        <w:rPr>
          <w:rFonts w:cs="Arial"/>
        </w:rPr>
        <w:t>,346,637.15</w:t>
      </w:r>
      <w:proofErr w:type="gramEnd"/>
      <w:r>
        <w:rPr>
          <w:rFonts w:cs="Arial"/>
        </w:rPr>
        <w:t>.</w:t>
      </w:r>
      <w:r w:rsidRPr="000E1289">
        <w:rPr>
          <w:rFonts w:cs="Arial"/>
        </w:rPr>
        <w:t xml:space="preserve"> </w:t>
      </w:r>
      <w:r>
        <w:rPr>
          <w:rFonts w:cs="Arial"/>
        </w:rPr>
        <w:t>A</w:t>
      </w:r>
      <w:r w:rsidRPr="000E1289">
        <w:rPr>
          <w:rFonts w:cs="Arial"/>
        </w:rPr>
        <w:t>sí mismo un importe de 2</w:t>
      </w:r>
      <w:proofErr w:type="gramStart"/>
      <w:r w:rsidRPr="000E1289">
        <w:rPr>
          <w:rFonts w:cs="Arial"/>
        </w:rPr>
        <w:t>,464,484.75</w:t>
      </w:r>
      <w:proofErr w:type="gramEnd"/>
      <w:r w:rsidRPr="000E1289">
        <w:rPr>
          <w:rFonts w:cs="Arial"/>
        </w:rPr>
        <w:t>, por la devolución de los remanentes del PAD del ejercicio 2019, al Gobierno del Estado de México.</w:t>
      </w:r>
      <w:r>
        <w:rPr>
          <w:rFonts w:cs="Arial"/>
        </w:rPr>
        <w:t xml:space="preserve"> Este Rubro presenta un saldo acumulado total por 7</w:t>
      </w:r>
      <w:proofErr w:type="gramStart"/>
      <w:r>
        <w:rPr>
          <w:rFonts w:cs="Arial"/>
        </w:rPr>
        <w:t>,811,121.90</w:t>
      </w:r>
      <w:proofErr w:type="gramEnd"/>
      <w:r>
        <w:rPr>
          <w:rFonts w:cs="Arial"/>
        </w:rPr>
        <w:t>.</w:t>
      </w:r>
    </w:p>
    <w:p w14:paraId="4B017B10" w14:textId="77777777" w:rsidR="00DC6423" w:rsidRPr="000E1289" w:rsidRDefault="00DC6423" w:rsidP="00DC6423">
      <w:pPr>
        <w:spacing w:after="0" w:line="276" w:lineRule="auto"/>
        <w:ind w:right="-1"/>
        <w:jc w:val="both"/>
        <w:rPr>
          <w:rFonts w:cs="Arial"/>
        </w:rPr>
      </w:pPr>
    </w:p>
    <w:p w14:paraId="12DB0475" w14:textId="77777777" w:rsidR="00DC6423" w:rsidRPr="0096540A" w:rsidRDefault="00DC6423" w:rsidP="00DC6423">
      <w:pPr>
        <w:spacing w:after="0" w:line="276" w:lineRule="auto"/>
        <w:ind w:left="644" w:right="-1"/>
        <w:jc w:val="both"/>
        <w:rPr>
          <w:rFonts w:cs="Arial"/>
          <w:sz w:val="2"/>
        </w:rPr>
      </w:pPr>
    </w:p>
    <w:p w14:paraId="7746C8B4" w14:textId="77777777" w:rsidR="00DC6423" w:rsidRDefault="00DC6423" w:rsidP="00DC6423">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w:t>
      </w:r>
      <w:r>
        <w:rPr>
          <w:rFonts w:cs="Arial"/>
        </w:rPr>
        <w:t xml:space="preserve"> PAD del</w:t>
      </w:r>
      <w:r w:rsidRPr="00867EA8">
        <w:rPr>
          <w:rFonts w:cs="Arial"/>
        </w:rPr>
        <w:t xml:space="preserve"> Programa </w:t>
      </w:r>
      <w:r>
        <w:rPr>
          <w:rFonts w:cs="Arial"/>
        </w:rPr>
        <w:t>de Regularización de Tenencia de la Tierra, por la cantidad de 2</w:t>
      </w:r>
      <w:proofErr w:type="gramStart"/>
      <w:r>
        <w:rPr>
          <w:rFonts w:cs="Arial"/>
        </w:rPr>
        <w:t>,480,007.65</w:t>
      </w:r>
      <w:proofErr w:type="gramEnd"/>
      <w:r>
        <w:rPr>
          <w:rFonts w:cs="Arial"/>
        </w:rPr>
        <w:t>. Presenta un sal</w:t>
      </w:r>
      <w:r w:rsidR="001969B5">
        <w:rPr>
          <w:rFonts w:cs="Arial"/>
        </w:rPr>
        <w:t>do acumulado por 14</w:t>
      </w:r>
      <w:proofErr w:type="gramStart"/>
      <w:r w:rsidR="001969B5">
        <w:rPr>
          <w:rFonts w:cs="Arial"/>
        </w:rPr>
        <w:t>,850,216.83</w:t>
      </w:r>
      <w:proofErr w:type="gramEnd"/>
      <w:r w:rsidR="001969B5">
        <w:rPr>
          <w:rFonts w:cs="Arial"/>
        </w:rPr>
        <w:t>.</w:t>
      </w:r>
    </w:p>
    <w:p w14:paraId="718E972D" w14:textId="77777777" w:rsidR="00DC6423" w:rsidRDefault="00DC6423" w:rsidP="00DC6423">
      <w:pPr>
        <w:spacing w:after="0" w:line="276" w:lineRule="auto"/>
        <w:ind w:right="-1"/>
        <w:jc w:val="both"/>
      </w:pPr>
    </w:p>
    <w:p w14:paraId="064A87DF" w14:textId="77777777" w:rsidR="00DC6423" w:rsidRPr="00233E7C" w:rsidRDefault="00DC6423" w:rsidP="00DC6423">
      <w:pPr>
        <w:numPr>
          <w:ilvl w:val="0"/>
          <w:numId w:val="6"/>
        </w:numPr>
        <w:spacing w:before="240" w:after="240" w:line="276" w:lineRule="auto"/>
        <w:ind w:right="-1"/>
        <w:contextualSpacing/>
        <w:outlineLvl w:val="0"/>
        <w:rPr>
          <w:rFonts w:eastAsia="Times New Roman" w:cs="Arial"/>
          <w:b/>
          <w:lang w:eastAsia="es-MX"/>
        </w:rPr>
      </w:pPr>
      <w:r w:rsidRPr="00233E7C">
        <w:rPr>
          <w:rFonts w:eastAsia="Times New Roman" w:cs="Arial"/>
          <w:b/>
          <w:lang w:eastAsia="es-MX"/>
        </w:rPr>
        <w:t>NOTAS AL ESTADO DE VARIACIONES EN LA HACIENDA PÚBLICA/PATRIMONIO</w:t>
      </w:r>
    </w:p>
    <w:p w14:paraId="744B267D" w14:textId="77777777" w:rsidR="00DC6423" w:rsidRPr="0020562B" w:rsidRDefault="00DC6423" w:rsidP="00DC6423">
      <w:pPr>
        <w:spacing w:before="240" w:after="240" w:line="276" w:lineRule="auto"/>
        <w:ind w:left="1068" w:right="-1"/>
        <w:contextualSpacing/>
        <w:outlineLvl w:val="0"/>
        <w:rPr>
          <w:rFonts w:eastAsia="Times New Roman" w:cs="Arial"/>
          <w:b/>
          <w:lang w:eastAsia="es-MX"/>
        </w:rPr>
      </w:pPr>
    </w:p>
    <w:p w14:paraId="02107742" w14:textId="77777777" w:rsidR="00DC6423" w:rsidRDefault="00DC6423" w:rsidP="00DC6423">
      <w:pPr>
        <w:spacing w:line="276" w:lineRule="auto"/>
        <w:ind w:right="-1"/>
        <w:jc w:val="both"/>
        <w:outlineLvl w:val="0"/>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de 2019</w:t>
      </w:r>
      <w:r w:rsidRPr="00DA5FD6">
        <w:rPr>
          <w:rFonts w:cs="Arial"/>
        </w:rPr>
        <w:t xml:space="preserve"> del Instituto </w:t>
      </w:r>
      <w:r>
        <w:rPr>
          <w:rFonts w:cs="Arial"/>
        </w:rPr>
        <w:t xml:space="preserve">por la cantidad de </w:t>
      </w:r>
      <w:r w:rsidRPr="000E1289">
        <w:rPr>
          <w:rFonts w:cs="Arial"/>
        </w:rPr>
        <w:t>2</w:t>
      </w:r>
      <w:proofErr w:type="gramStart"/>
      <w:r w:rsidRPr="000E1289">
        <w:rPr>
          <w:rFonts w:cs="Arial"/>
        </w:rPr>
        <w:t>,410,250.11</w:t>
      </w:r>
      <w:proofErr w:type="gramEnd"/>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14:paraId="4CBBDD8B" w14:textId="77777777" w:rsidR="00DC6423" w:rsidRPr="00963F7E" w:rsidRDefault="00DC6423" w:rsidP="00DC6423">
      <w:pPr>
        <w:spacing w:line="276" w:lineRule="auto"/>
        <w:ind w:right="-1"/>
        <w:jc w:val="both"/>
        <w:outlineLvl w:val="0"/>
        <w:rPr>
          <w:rFonts w:cs="Arial"/>
        </w:rPr>
      </w:pPr>
      <w:r w:rsidRPr="00963F7E">
        <w:rPr>
          <w:rFonts w:cs="Arial"/>
          <w:b/>
        </w:rPr>
        <w:t>Hacienda Pública / Patrimonio Generado de Ejercicios Anteriores. -</w:t>
      </w:r>
      <w:r>
        <w:rPr>
          <w:rFonts w:cs="Arial"/>
          <w:b/>
        </w:rPr>
        <w:t xml:space="preserve"> </w:t>
      </w:r>
      <w:r>
        <w:rPr>
          <w:rFonts w:cs="Arial"/>
        </w:rPr>
        <w:t xml:space="preserve">En este mes se detecta que el Patrimonio Neto Final es de </w:t>
      </w:r>
      <w:r w:rsidRPr="00963F7E">
        <w:rPr>
          <w:rFonts w:cs="Arial"/>
        </w:rPr>
        <w:t>5</w:t>
      </w:r>
      <w:proofErr w:type="gramStart"/>
      <w:r w:rsidRPr="00963F7E">
        <w:rPr>
          <w:rFonts w:cs="Arial"/>
        </w:rPr>
        <w:t>,974,321.01</w:t>
      </w:r>
      <w:proofErr w:type="gramEnd"/>
      <w:r>
        <w:rPr>
          <w:rFonts w:cs="Arial"/>
        </w:rPr>
        <w:t>, por los Resultados de Ejercicios Anteriores.</w:t>
      </w:r>
    </w:p>
    <w:p w14:paraId="5E2EEAAC" w14:textId="77777777" w:rsidR="00DC6423" w:rsidRDefault="00DC6423" w:rsidP="00DC6423">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del Ejercicio, un </w:t>
      </w:r>
      <w:r>
        <w:rPr>
          <w:rFonts w:cs="Arial"/>
        </w:rPr>
        <w:t>ahorro por 446</w:t>
      </w:r>
      <w:r w:rsidRPr="000F2F11">
        <w:rPr>
          <w:rFonts w:cs="Arial"/>
        </w:rPr>
        <w:t>,</w:t>
      </w:r>
      <w:r>
        <w:rPr>
          <w:rFonts w:cs="Arial"/>
        </w:rPr>
        <w:t>509</w:t>
      </w:r>
      <w:r w:rsidRPr="000F2F11">
        <w:rPr>
          <w:rFonts w:cs="Arial"/>
        </w:rPr>
        <w:t>,</w:t>
      </w:r>
      <w:r>
        <w:rPr>
          <w:rFonts w:cs="Arial"/>
        </w:rPr>
        <w:t>846</w:t>
      </w:r>
      <w:r w:rsidRPr="000F2F11">
        <w:rPr>
          <w:rFonts w:cs="Arial"/>
        </w:rPr>
        <w:t>.</w:t>
      </w:r>
      <w:r>
        <w:rPr>
          <w:rFonts w:cs="Arial"/>
        </w:rPr>
        <w:t>80</w:t>
      </w:r>
      <w:r w:rsidRPr="000F2F11">
        <w:rPr>
          <w:rFonts w:cs="Arial"/>
        </w:rPr>
        <w:t xml:space="preserve">,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14:paraId="48EDBCC6" w14:textId="77777777" w:rsidR="00DC6423" w:rsidRPr="00ED1957" w:rsidRDefault="00DC6423" w:rsidP="006025F2">
      <w:pPr>
        <w:numPr>
          <w:ilvl w:val="0"/>
          <w:numId w:val="6"/>
        </w:numPr>
        <w:spacing w:before="240" w:after="240" w:line="276" w:lineRule="auto"/>
        <w:ind w:right="-1"/>
        <w:contextualSpacing/>
        <w:outlineLvl w:val="0"/>
        <w:rPr>
          <w:rFonts w:eastAsia="Times New Roman" w:cs="Arial"/>
          <w:b/>
          <w:lang w:eastAsia="es-MX"/>
        </w:rPr>
      </w:pPr>
      <w:r w:rsidRPr="00ED1957">
        <w:rPr>
          <w:rFonts w:eastAsia="Times New Roman" w:cs="Arial"/>
          <w:b/>
          <w:lang w:eastAsia="es-MX"/>
        </w:rPr>
        <w:lastRenderedPageBreak/>
        <w:t>NOTAS AL ESTADO DE FLUJOS DE EFECTIVO</w:t>
      </w:r>
    </w:p>
    <w:p w14:paraId="636FCE2C" w14:textId="77777777" w:rsidR="00DC6423" w:rsidRDefault="00DC6423" w:rsidP="00DC6423">
      <w:pPr>
        <w:spacing w:line="276" w:lineRule="auto"/>
        <w:ind w:right="-1"/>
        <w:jc w:val="both"/>
        <w:rPr>
          <w:rFonts w:cs="Arial"/>
        </w:rPr>
      </w:pPr>
      <w:r w:rsidRPr="00857F85">
        <w:rPr>
          <w:rFonts w:cs="Arial"/>
        </w:rPr>
        <w:t>En este Estado se observa lo siguiente:</w:t>
      </w:r>
    </w:p>
    <w:p w14:paraId="53454A72" w14:textId="77777777" w:rsidR="00DC6423" w:rsidRDefault="00DC6423" w:rsidP="00DC6423">
      <w:pPr>
        <w:spacing w:line="276" w:lineRule="auto"/>
        <w:ind w:right="-1"/>
        <w:jc w:val="both"/>
        <w:rPr>
          <w:rFonts w:cs="Arial"/>
        </w:rPr>
      </w:pPr>
    </w:p>
    <w:p w14:paraId="2445D6CD" w14:textId="77777777" w:rsidR="00DC6423" w:rsidRPr="006025F2" w:rsidRDefault="00DC6423" w:rsidP="00DC6423">
      <w:pPr>
        <w:spacing w:line="276" w:lineRule="auto"/>
        <w:ind w:right="-1"/>
        <w:jc w:val="center"/>
        <w:rPr>
          <w:rFonts w:cs="Arial"/>
        </w:rPr>
      </w:pPr>
      <w:r w:rsidRPr="006025F2">
        <w:rPr>
          <w:noProof/>
          <w:lang w:eastAsia="es-MX"/>
        </w:rPr>
        <w:drawing>
          <wp:inline distT="0" distB="0" distL="0" distR="0" wp14:anchorId="175363A4" wp14:editId="75223B0E">
            <wp:extent cx="5324006" cy="13093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204" cy="1309911"/>
                    </a:xfrm>
                    <a:prstGeom prst="rect">
                      <a:avLst/>
                    </a:prstGeom>
                    <a:noFill/>
                    <a:ln>
                      <a:noFill/>
                    </a:ln>
                  </pic:spPr>
                </pic:pic>
              </a:graphicData>
            </a:graphic>
          </wp:inline>
        </w:drawing>
      </w:r>
    </w:p>
    <w:p w14:paraId="264E32B8" w14:textId="77777777" w:rsidR="00DC6423" w:rsidRPr="006025F2" w:rsidRDefault="00DC6423" w:rsidP="00DC6423">
      <w:pPr>
        <w:spacing w:line="276" w:lineRule="auto"/>
        <w:ind w:right="-1"/>
        <w:jc w:val="both"/>
      </w:pPr>
      <w:r w:rsidRPr="006025F2">
        <w:t>La Conciliación de los Flujos de Efectivo Netos de las Actividades de Operación y la cuenta de Ahorro/Desahorro antes de Rubros Extraordinarios, queda como sigue:</w:t>
      </w:r>
    </w:p>
    <w:p w14:paraId="20FC71D2" w14:textId="77777777" w:rsidR="00DC6423" w:rsidRDefault="004C76D3" w:rsidP="004C76D3">
      <w:pPr>
        <w:spacing w:line="276" w:lineRule="auto"/>
        <w:ind w:right="-1"/>
        <w:jc w:val="center"/>
      </w:pPr>
      <w:r w:rsidRPr="004C76D3">
        <w:rPr>
          <w:noProof/>
          <w:lang w:eastAsia="es-MX"/>
        </w:rPr>
        <w:drawing>
          <wp:inline distT="0" distB="0" distL="0" distR="0" wp14:anchorId="4CD37941" wp14:editId="67DF96CB">
            <wp:extent cx="5311526" cy="3307715"/>
            <wp:effectExtent l="0" t="0" r="381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2815" cy="3308518"/>
                    </a:xfrm>
                    <a:prstGeom prst="rect">
                      <a:avLst/>
                    </a:prstGeom>
                    <a:noFill/>
                    <a:ln>
                      <a:noFill/>
                    </a:ln>
                  </pic:spPr>
                </pic:pic>
              </a:graphicData>
            </a:graphic>
          </wp:inline>
        </w:drawing>
      </w:r>
    </w:p>
    <w:p w14:paraId="0FA748E1" w14:textId="77777777" w:rsidR="006025F2" w:rsidRDefault="00DC6423" w:rsidP="00DC6423">
      <w:pPr>
        <w:spacing w:line="276" w:lineRule="auto"/>
        <w:ind w:right="-1"/>
        <w:jc w:val="both"/>
        <w:rPr>
          <w:rFonts w:cs="Arial"/>
        </w:rPr>
      </w:pPr>
      <w:r w:rsidRPr="00857F85">
        <w:rPr>
          <w:rFonts w:cs="Arial"/>
        </w:rPr>
        <w:t xml:space="preserve">El efectivo y equivalentes en este mes para que el Instituto de la Función Registral del Estado de México cubra sus obligaciones de pago, fue de </w:t>
      </w:r>
      <w:r w:rsidR="006025F2" w:rsidRPr="006025F2">
        <w:rPr>
          <w:rFonts w:cs="Arial"/>
        </w:rPr>
        <w:t>520</w:t>
      </w:r>
      <w:proofErr w:type="gramStart"/>
      <w:r w:rsidR="006025F2" w:rsidRPr="006025F2">
        <w:rPr>
          <w:rFonts w:cs="Arial"/>
        </w:rPr>
        <w:t>,931,821.80</w:t>
      </w:r>
      <w:proofErr w:type="gramEnd"/>
      <w:r>
        <w:rPr>
          <w:rFonts w:cs="Arial"/>
        </w:rPr>
        <w:t>.</w:t>
      </w:r>
    </w:p>
    <w:p w14:paraId="1FA38D12" w14:textId="03669949" w:rsidR="003666CC" w:rsidRPr="00177121" w:rsidRDefault="006025F2" w:rsidP="006025F2">
      <w:pPr>
        <w:numPr>
          <w:ilvl w:val="0"/>
          <w:numId w:val="6"/>
        </w:numPr>
        <w:spacing w:before="240" w:after="240" w:line="276" w:lineRule="auto"/>
        <w:ind w:right="-1"/>
        <w:contextualSpacing/>
        <w:outlineLvl w:val="0"/>
        <w:rPr>
          <w:rFonts w:eastAsia="Calibri" w:cs="Arial"/>
          <w:b/>
        </w:rPr>
      </w:pPr>
      <w:r>
        <w:rPr>
          <w:rFonts w:cs="Arial"/>
        </w:rPr>
        <w:br w:type="page"/>
      </w:r>
      <w:r w:rsidR="003666CC" w:rsidRPr="00177121">
        <w:rPr>
          <w:rFonts w:eastAsia="Times New Roman" w:cs="Arial"/>
          <w:b/>
          <w:lang w:eastAsia="es-MX"/>
        </w:rPr>
        <w:t>CONCILIACIÓN ENTRE LOS INGRESOS PRESUPUESTARIOS Y CONTABLES, ASÍ COMO ENTRE LOS EGRESOS PRESUPU</w:t>
      </w:r>
      <w:r w:rsidR="00E4694C">
        <w:rPr>
          <w:rFonts w:eastAsia="Times New Roman" w:cs="Arial"/>
          <w:b/>
          <w:lang w:eastAsia="es-MX"/>
        </w:rPr>
        <w:t>ESTARIOS Y LOS GASTOS CONTABLES</w:t>
      </w:r>
    </w:p>
    <w:p w14:paraId="6067C141" w14:textId="77777777" w:rsidR="003666CC" w:rsidRPr="00C356F8" w:rsidRDefault="003666CC" w:rsidP="003666CC">
      <w:pPr>
        <w:rPr>
          <w:highlight w:val="yellow"/>
        </w:rPr>
      </w:pPr>
    </w:p>
    <w:p w14:paraId="076DD307" w14:textId="77777777" w:rsidR="003666CC" w:rsidRPr="00C356F8" w:rsidRDefault="003666CC" w:rsidP="003666CC">
      <w:pPr>
        <w:rPr>
          <w:highlight w:val="yellow"/>
        </w:rPr>
      </w:pPr>
      <w:r w:rsidRPr="00A64450">
        <w:rPr>
          <w:noProof/>
          <w:lang w:eastAsia="es-MX"/>
        </w:rPr>
        <w:drawing>
          <wp:inline distT="0" distB="0" distL="0" distR="0" wp14:anchorId="39B8F046" wp14:editId="06E67CA2">
            <wp:extent cx="6276975" cy="3857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14:paraId="1B45630D" w14:textId="77777777" w:rsidR="003666CC" w:rsidRPr="00A64450" w:rsidRDefault="003666CC" w:rsidP="003666CC">
      <w:pPr>
        <w:spacing w:after="0" w:line="276" w:lineRule="auto"/>
        <w:ind w:right="-1"/>
        <w:rPr>
          <w:noProof/>
          <w:lang w:eastAsia="es-MX"/>
        </w:rPr>
      </w:pPr>
    </w:p>
    <w:p w14:paraId="4FF5A358" w14:textId="7E173FBA" w:rsidR="003666CC" w:rsidRPr="00A64450" w:rsidRDefault="003666CC" w:rsidP="003666CC">
      <w:pPr>
        <w:tabs>
          <w:tab w:val="left" w:pos="1545"/>
        </w:tabs>
        <w:jc w:val="both"/>
        <w:rPr>
          <w:rFonts w:cs="Arial"/>
        </w:rPr>
      </w:pPr>
      <w:r w:rsidRPr="00E4694C">
        <w:rPr>
          <w:rFonts w:cs="Arial"/>
          <w:b/>
        </w:rPr>
        <w:t>Conciliación entre los Ingresos Presupuestarios y Contables</w:t>
      </w:r>
      <w:r w:rsidRPr="00A64450">
        <w:rPr>
          <w:rFonts w:cs="Arial"/>
        </w:rPr>
        <w:t xml:space="preserve">.-  En el renglón de Otros Ingresos Presupuestarios no Contables; se integran de $173,977,046.47 para el pago de Amortización de Capital de los Certificados Bursátiles Series "A" , "B" y subordinada "C" correspondientes al </w:t>
      </w:r>
      <w:r w:rsidR="00B712A7">
        <w:rPr>
          <w:rFonts w:cs="Arial"/>
        </w:rPr>
        <w:t xml:space="preserve">primer periodo del </w:t>
      </w:r>
      <w:r w:rsidRPr="00A64450">
        <w:rPr>
          <w:rFonts w:cs="Arial"/>
        </w:rPr>
        <w:t>presente ejercicio del 2020.</w:t>
      </w:r>
    </w:p>
    <w:p w14:paraId="1D883499" w14:textId="77777777" w:rsidR="003666CC" w:rsidRPr="00C356F8" w:rsidRDefault="003666CC" w:rsidP="003666CC">
      <w:pPr>
        <w:rPr>
          <w:rFonts w:cs="Arial"/>
          <w:highlight w:val="yellow"/>
        </w:rPr>
      </w:pPr>
    </w:p>
    <w:p w14:paraId="0D568BF4" w14:textId="77777777" w:rsidR="003666CC" w:rsidRPr="00C356F8" w:rsidRDefault="003666CC" w:rsidP="003666CC">
      <w:pPr>
        <w:rPr>
          <w:rFonts w:cs="Arial"/>
          <w:highlight w:val="yellow"/>
        </w:rPr>
      </w:pPr>
    </w:p>
    <w:p w14:paraId="4C43D639" w14:textId="77777777" w:rsidR="003666CC" w:rsidRPr="00177121" w:rsidRDefault="003666CC" w:rsidP="003666CC">
      <w:pPr>
        <w:tabs>
          <w:tab w:val="left" w:pos="5985"/>
          <w:tab w:val="left" w:pos="8445"/>
        </w:tabs>
        <w:rPr>
          <w:rFonts w:cs="Arial"/>
        </w:rPr>
      </w:pPr>
      <w:r w:rsidRPr="00177121">
        <w:rPr>
          <w:rFonts w:cs="Arial"/>
        </w:rPr>
        <w:tab/>
      </w:r>
      <w:r w:rsidRPr="00177121">
        <w:rPr>
          <w:rFonts w:cs="Arial"/>
        </w:rPr>
        <w:tab/>
      </w:r>
    </w:p>
    <w:p w14:paraId="617E2697" w14:textId="77777777" w:rsidR="003666CC" w:rsidRPr="00177121" w:rsidRDefault="003666CC" w:rsidP="003666CC">
      <w:pPr>
        <w:tabs>
          <w:tab w:val="left" w:pos="8445"/>
        </w:tabs>
        <w:rPr>
          <w:rFonts w:cs="Arial"/>
        </w:rPr>
      </w:pPr>
    </w:p>
    <w:p w14:paraId="3F9B5F8C" w14:textId="77777777" w:rsidR="003666CC" w:rsidRPr="00C356F8" w:rsidRDefault="003666CC" w:rsidP="003666CC">
      <w:pPr>
        <w:tabs>
          <w:tab w:val="left" w:pos="1215"/>
        </w:tabs>
        <w:jc w:val="both"/>
        <w:rPr>
          <w:rFonts w:cs="Arial"/>
          <w:highlight w:val="yellow"/>
        </w:rPr>
      </w:pPr>
      <w:r w:rsidRPr="00177121">
        <w:rPr>
          <w:noProof/>
          <w:lang w:eastAsia="es-MX"/>
        </w:rPr>
        <w:drawing>
          <wp:inline distT="0" distB="0" distL="0" distR="0" wp14:anchorId="5348061A" wp14:editId="0D1EF694">
            <wp:extent cx="6388735" cy="548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164" cy="5488486"/>
                    </a:xfrm>
                    <a:prstGeom prst="rect">
                      <a:avLst/>
                    </a:prstGeom>
                    <a:noFill/>
                    <a:ln>
                      <a:noFill/>
                    </a:ln>
                  </pic:spPr>
                </pic:pic>
              </a:graphicData>
            </a:graphic>
          </wp:inline>
        </w:drawing>
      </w:r>
    </w:p>
    <w:p w14:paraId="46AD5EE4" w14:textId="45BB02F1" w:rsidR="003666CC" w:rsidRPr="00427E23" w:rsidRDefault="003666CC" w:rsidP="003666CC">
      <w:pPr>
        <w:tabs>
          <w:tab w:val="left" w:pos="8445"/>
        </w:tabs>
        <w:jc w:val="both"/>
        <w:rPr>
          <w:rFonts w:cs="Arial"/>
        </w:rPr>
      </w:pPr>
      <w:r w:rsidRPr="00E4694C">
        <w:rPr>
          <w:rFonts w:cs="Arial"/>
          <w:b/>
        </w:rPr>
        <w:t>Conciliación entre los Egreso</w:t>
      </w:r>
      <w:r w:rsidR="00E4694C">
        <w:rPr>
          <w:rFonts w:cs="Arial"/>
          <w:b/>
        </w:rPr>
        <w:t>s Presupuestarios y los Gastos C</w:t>
      </w:r>
      <w:r w:rsidRPr="00E4694C">
        <w:rPr>
          <w:rFonts w:cs="Arial"/>
          <w:b/>
        </w:rPr>
        <w:t>ontables</w:t>
      </w:r>
      <w:r w:rsidR="00E4694C">
        <w:rPr>
          <w:rFonts w:cs="Arial"/>
        </w:rPr>
        <w:t>.-</w:t>
      </w:r>
      <w:r w:rsidRPr="00177121">
        <w:rPr>
          <w:rFonts w:cs="Arial"/>
        </w:rPr>
        <w:t xml:space="preserve"> El renglón de Otros Egresos Presupuestales No Contables de 160,862,166.36, se integra  de: 136,031,323.83 de las Transferencias al Fideicomiso de Cobranza,  21,090,394.54 del saldo de los recursos por el Programa de Acciones para el Desarrollo en el proyecto de Regularización de la Tenencia de Tierra y 3,740,447.99 que es el recurso comprometido de acuerdo al Avance Presupuestal al mes que se analiza. En el rubro de Otros Gastos Contables No Presupuestales el importe de 2,464,484.75 de los remanentes del Programa de Regularización de Tenencia de la Tierra 2019, que incluye los intereses generados.</w:t>
      </w:r>
      <w:r>
        <w:rPr>
          <w:rFonts w:cs="Arial"/>
        </w:rPr>
        <w:tab/>
      </w:r>
    </w:p>
    <w:p w14:paraId="041E334A" w14:textId="77777777" w:rsidR="003666CC" w:rsidRDefault="003666CC">
      <w:pPr>
        <w:spacing w:line="259" w:lineRule="auto"/>
      </w:pPr>
      <w:r>
        <w:br w:type="page"/>
      </w:r>
    </w:p>
    <w:p w14:paraId="15A244EC" w14:textId="77777777" w:rsidR="006025F2" w:rsidRPr="003E7D79" w:rsidRDefault="006025F2" w:rsidP="006025F2">
      <w:pPr>
        <w:jc w:val="both"/>
        <w:rPr>
          <w:rFonts w:cs="Arial"/>
          <w:highlight w:val="yellow"/>
        </w:rPr>
      </w:pPr>
    </w:p>
    <w:p w14:paraId="0D3ADD91" w14:textId="77777777" w:rsidR="006025F2" w:rsidRPr="003C2837" w:rsidRDefault="006025F2" w:rsidP="006025F2">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3C2837">
        <w:rPr>
          <w:rFonts w:eastAsia="Times New Roman" w:cs="Arial"/>
          <w:b/>
          <w:lang w:eastAsia="es-MX"/>
        </w:rPr>
        <w:t>NOTAS DE MEMORIA (CUENTAS DE ORDEN)</w:t>
      </w:r>
    </w:p>
    <w:p w14:paraId="2652B043" w14:textId="77777777" w:rsidR="006025F2" w:rsidRPr="003C2837" w:rsidRDefault="006025F2" w:rsidP="006025F2">
      <w:pPr>
        <w:tabs>
          <w:tab w:val="left" w:pos="3836"/>
        </w:tabs>
        <w:spacing w:after="0" w:line="276" w:lineRule="auto"/>
        <w:ind w:left="714" w:right="-1"/>
        <w:contextualSpacing/>
        <w:outlineLvl w:val="0"/>
        <w:rPr>
          <w:rFonts w:eastAsia="Times New Roman" w:cs="Arial"/>
          <w:b/>
          <w:lang w:eastAsia="es-MX"/>
        </w:rPr>
      </w:pPr>
    </w:p>
    <w:p w14:paraId="4D40B0BD" w14:textId="77777777" w:rsidR="006025F2" w:rsidRPr="003C2837" w:rsidRDefault="006025F2" w:rsidP="006025F2">
      <w:pPr>
        <w:tabs>
          <w:tab w:val="left" w:pos="8064"/>
        </w:tabs>
        <w:spacing w:line="276" w:lineRule="auto"/>
        <w:ind w:right="-1"/>
        <w:jc w:val="both"/>
        <w:outlineLvl w:val="0"/>
        <w:rPr>
          <w:rFonts w:cs="Arial"/>
        </w:rPr>
      </w:pPr>
      <w:r w:rsidRPr="003C2837">
        <w:rPr>
          <w:rFonts w:cs="Arial"/>
        </w:rPr>
        <w:t>Las Cuentas de Orden Contables y Presupuestarias se integran de la siguiente forma:</w:t>
      </w:r>
      <w:r w:rsidRPr="003C2837">
        <w:rPr>
          <w:rFonts w:cs="Arial"/>
        </w:rPr>
        <w:tab/>
        <w:t xml:space="preserve"> </w:t>
      </w:r>
    </w:p>
    <w:p w14:paraId="45C9178E" w14:textId="77777777" w:rsidR="006025F2" w:rsidRPr="003C2837" w:rsidRDefault="006025F2" w:rsidP="006025F2">
      <w:pPr>
        <w:tabs>
          <w:tab w:val="left" w:pos="8064"/>
        </w:tabs>
        <w:spacing w:line="276" w:lineRule="auto"/>
        <w:ind w:right="-1"/>
        <w:jc w:val="both"/>
        <w:outlineLvl w:val="0"/>
        <w:rPr>
          <w:rFonts w:cs="Arial"/>
        </w:rPr>
      </w:pPr>
      <w:r w:rsidRPr="003C2837">
        <w:rPr>
          <w:noProof/>
          <w:lang w:eastAsia="es-MX"/>
        </w:rPr>
        <w:drawing>
          <wp:inline distT="0" distB="0" distL="0" distR="0" wp14:anchorId="3D4075EE" wp14:editId="6CF91063">
            <wp:extent cx="6387389" cy="12725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0094" cy="1277063"/>
                    </a:xfrm>
                    <a:prstGeom prst="rect">
                      <a:avLst/>
                    </a:prstGeom>
                    <a:noFill/>
                    <a:ln>
                      <a:noFill/>
                    </a:ln>
                  </pic:spPr>
                </pic:pic>
              </a:graphicData>
            </a:graphic>
          </wp:inline>
        </w:drawing>
      </w:r>
    </w:p>
    <w:p w14:paraId="4E9974B5" w14:textId="77777777" w:rsidR="006025F2" w:rsidRPr="003C2837" w:rsidRDefault="006025F2" w:rsidP="006025F2">
      <w:pPr>
        <w:tabs>
          <w:tab w:val="left" w:pos="8064"/>
        </w:tabs>
        <w:spacing w:line="276" w:lineRule="auto"/>
        <w:ind w:right="-1"/>
        <w:jc w:val="both"/>
        <w:outlineLvl w:val="0"/>
        <w:rPr>
          <w:rFonts w:cs="Arial"/>
        </w:rPr>
      </w:pPr>
      <w:r w:rsidRPr="003C2837">
        <w:rPr>
          <w:noProof/>
          <w:lang w:eastAsia="es-MX"/>
        </w:rPr>
        <w:drawing>
          <wp:inline distT="0" distB="0" distL="0" distR="0" wp14:anchorId="29F69982" wp14:editId="746BC74C">
            <wp:extent cx="6389370" cy="4593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593525"/>
                    </a:xfrm>
                    <a:prstGeom prst="rect">
                      <a:avLst/>
                    </a:prstGeom>
                    <a:noFill/>
                    <a:ln>
                      <a:noFill/>
                    </a:ln>
                  </pic:spPr>
                </pic:pic>
              </a:graphicData>
            </a:graphic>
          </wp:inline>
        </w:drawing>
      </w:r>
    </w:p>
    <w:p w14:paraId="701F2096" w14:textId="77777777" w:rsidR="006025F2" w:rsidRPr="003E7D79" w:rsidRDefault="006025F2" w:rsidP="006025F2">
      <w:pPr>
        <w:tabs>
          <w:tab w:val="left" w:pos="8064"/>
        </w:tabs>
        <w:spacing w:line="276" w:lineRule="auto"/>
        <w:ind w:right="-1"/>
        <w:jc w:val="both"/>
        <w:outlineLvl w:val="0"/>
        <w:rPr>
          <w:rFonts w:cs="Arial"/>
          <w:highlight w:val="yellow"/>
        </w:rPr>
      </w:pPr>
    </w:p>
    <w:p w14:paraId="75321CB7" w14:textId="77777777" w:rsidR="006025F2" w:rsidRPr="003E7D79" w:rsidRDefault="006025F2" w:rsidP="006025F2">
      <w:pPr>
        <w:tabs>
          <w:tab w:val="left" w:pos="8064"/>
        </w:tabs>
        <w:spacing w:line="276" w:lineRule="auto"/>
        <w:ind w:right="-1"/>
        <w:jc w:val="both"/>
        <w:outlineLvl w:val="0"/>
        <w:rPr>
          <w:rFonts w:cs="Arial"/>
          <w:highlight w:val="yellow"/>
        </w:rPr>
      </w:pPr>
    </w:p>
    <w:p w14:paraId="1E848CFF" w14:textId="208DB752" w:rsidR="006025F2" w:rsidRPr="003C2837" w:rsidRDefault="006025F2" w:rsidP="006025F2">
      <w:pPr>
        <w:tabs>
          <w:tab w:val="left" w:pos="8652"/>
        </w:tabs>
        <w:spacing w:line="276" w:lineRule="auto"/>
        <w:ind w:right="-1"/>
        <w:jc w:val="both"/>
        <w:outlineLvl w:val="0"/>
        <w:rPr>
          <w:rFonts w:cs="Arial"/>
        </w:rPr>
      </w:pPr>
      <w:r w:rsidRPr="003C2837">
        <w:rPr>
          <w:rFonts w:cs="Arial"/>
        </w:rPr>
        <w:t xml:space="preserve">La comunicación de la asignación del </w:t>
      </w:r>
      <w:r w:rsidRPr="00B90DB9">
        <w:rPr>
          <w:rFonts w:cs="Arial"/>
        </w:rPr>
        <w:t>Presupuesto Autorizado para el Ejercicio Fiscal 2020</w:t>
      </w:r>
      <w:r w:rsidRPr="003C2837">
        <w:rPr>
          <w:rFonts w:cs="Arial"/>
        </w:rPr>
        <w:t>, se realizó mediante oficio No. 20704001L-0041/2020, de fecha 21 de enero de 2020, emitido por la Secretaría de Finanzas, con el cual se aprueba la asignación presupuestal autorizada por la LX Legislatura local al Instituto de la Función Registral del Estado de México, que asciende a la cantidad de 2</w:t>
      </w:r>
      <w:proofErr w:type="gramStart"/>
      <w:r w:rsidRPr="003C2837">
        <w:rPr>
          <w:rFonts w:cs="Arial"/>
        </w:rPr>
        <w:t>,921,299,039.00</w:t>
      </w:r>
      <w:proofErr w:type="gramEnd"/>
      <w:r w:rsidRPr="003C2837">
        <w:rPr>
          <w:rFonts w:cs="Arial"/>
          <w:b/>
        </w:rPr>
        <w:t xml:space="preserve">, </w:t>
      </w:r>
      <w:r w:rsidRPr="003C2837">
        <w:rPr>
          <w:rFonts w:cs="Arial"/>
        </w:rPr>
        <w:t>distribuida de la siguiente manera:</w:t>
      </w:r>
    </w:p>
    <w:p w14:paraId="5E21D77F" w14:textId="77777777" w:rsidR="006025F2" w:rsidRPr="003C2837" w:rsidRDefault="006025F2" w:rsidP="006025F2">
      <w:pPr>
        <w:tabs>
          <w:tab w:val="left" w:pos="8652"/>
        </w:tabs>
        <w:spacing w:line="276" w:lineRule="auto"/>
        <w:ind w:right="-1"/>
        <w:jc w:val="both"/>
        <w:outlineLvl w:val="0"/>
        <w:rPr>
          <w:rFonts w:cs="Arial"/>
        </w:rPr>
      </w:pPr>
      <w:r w:rsidRPr="003C2837">
        <w:rPr>
          <w:rFonts w:cs="Arial"/>
        </w:rPr>
        <w:t xml:space="preserve">                   </w:t>
      </w:r>
      <w:r w:rsidRPr="003C2837">
        <w:rPr>
          <w:noProof/>
          <w:lang w:eastAsia="es-MX"/>
        </w:rPr>
        <w:drawing>
          <wp:inline distT="0" distB="0" distL="0" distR="0" wp14:anchorId="65C99BDA" wp14:editId="026CF41C">
            <wp:extent cx="5021580" cy="1873336"/>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6811" cy="1882748"/>
                    </a:xfrm>
                    <a:prstGeom prst="rect">
                      <a:avLst/>
                    </a:prstGeom>
                    <a:noFill/>
                    <a:ln>
                      <a:noFill/>
                    </a:ln>
                  </pic:spPr>
                </pic:pic>
              </a:graphicData>
            </a:graphic>
          </wp:inline>
        </w:drawing>
      </w:r>
      <w:r w:rsidRPr="003C2837">
        <w:rPr>
          <w:rFonts w:cs="Arial"/>
        </w:rPr>
        <w:t xml:space="preserve"> </w:t>
      </w:r>
    </w:p>
    <w:p w14:paraId="5354FA34" w14:textId="77777777" w:rsidR="006025F2" w:rsidRPr="003C2837" w:rsidRDefault="006025F2" w:rsidP="006025F2">
      <w:pPr>
        <w:spacing w:line="276" w:lineRule="auto"/>
        <w:ind w:right="-1"/>
        <w:jc w:val="both"/>
        <w:outlineLvl w:val="0"/>
        <w:rPr>
          <w:rFonts w:cs="Arial"/>
        </w:rPr>
      </w:pPr>
      <w:r w:rsidRPr="003C2837">
        <w:rPr>
          <w:rFonts w:cs="Arial"/>
        </w:rPr>
        <w:t>Se tuvo una asignación presupuestal de 35</w:t>
      </w:r>
      <w:proofErr w:type="gramStart"/>
      <w:r w:rsidRPr="003C2837">
        <w:rPr>
          <w:rFonts w:cs="Arial"/>
        </w:rPr>
        <w:t>,940,611.37</w:t>
      </w:r>
      <w:proofErr w:type="gramEnd"/>
      <w:r w:rsidRPr="003C2837">
        <w:rPr>
          <w:rFonts w:cs="Arial"/>
        </w:rPr>
        <w:t xml:space="preserve">, autorizada con el oficio </w:t>
      </w:r>
      <w:r w:rsidRPr="00B90DB9">
        <w:rPr>
          <w:rFonts w:cs="Arial"/>
        </w:rPr>
        <w:t>No. 20704000L-APAD-0001/20,</w:t>
      </w:r>
      <w:r w:rsidRPr="003C2837">
        <w:rPr>
          <w:rFonts w:cs="Arial"/>
        </w:rPr>
        <w:t xml:space="preserve"> del 8 de enero de 2020, signado por el Subsecretario de Planeación y Presupuesto, para el Programa de Acciones para el Desarrollo (PAD), requeridos para continuar con el Programa de Regularización de Tenencia de la Tierra en el Estado de México, como sigue:</w:t>
      </w:r>
    </w:p>
    <w:p w14:paraId="7E0F7946" w14:textId="77777777" w:rsidR="006025F2" w:rsidRPr="003C2837" w:rsidRDefault="006025F2" w:rsidP="006025F2">
      <w:pPr>
        <w:spacing w:line="276" w:lineRule="auto"/>
        <w:ind w:right="-1"/>
        <w:jc w:val="both"/>
        <w:outlineLvl w:val="0"/>
        <w:rPr>
          <w:rFonts w:cs="Arial"/>
        </w:rPr>
      </w:pPr>
      <w:r w:rsidRPr="003C2837">
        <w:rPr>
          <w:rFonts w:cs="Arial"/>
        </w:rPr>
        <w:t xml:space="preserve">                  </w:t>
      </w:r>
      <w:r w:rsidRPr="003C2837">
        <w:rPr>
          <w:noProof/>
          <w:lang w:eastAsia="es-MX"/>
        </w:rPr>
        <w:drawing>
          <wp:inline distT="0" distB="0" distL="0" distR="0" wp14:anchorId="28DD7797" wp14:editId="5341B625">
            <wp:extent cx="5058410" cy="1965960"/>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1378" cy="1978773"/>
                    </a:xfrm>
                    <a:prstGeom prst="rect">
                      <a:avLst/>
                    </a:prstGeom>
                    <a:noFill/>
                    <a:ln>
                      <a:noFill/>
                    </a:ln>
                  </pic:spPr>
                </pic:pic>
              </a:graphicData>
            </a:graphic>
          </wp:inline>
        </w:drawing>
      </w:r>
    </w:p>
    <w:p w14:paraId="32AC7136" w14:textId="77777777" w:rsidR="006025F2" w:rsidRPr="003C2837" w:rsidRDefault="006025F2" w:rsidP="006025F2">
      <w:pPr>
        <w:tabs>
          <w:tab w:val="left" w:pos="488"/>
          <w:tab w:val="right" w:pos="10063"/>
        </w:tabs>
        <w:spacing w:line="276" w:lineRule="auto"/>
        <w:ind w:right="-1"/>
        <w:outlineLvl w:val="0"/>
      </w:pPr>
      <w:r w:rsidRPr="003C2837">
        <w:t>El presupuesto se ha modificado para el Ejercicio 2020, de acuerdo con las siguientes adecuaciones</w:t>
      </w:r>
      <w:r w:rsidRPr="003C2837">
        <w:rPr>
          <w:noProof/>
          <w:lang w:eastAsia="es-MX"/>
        </w:rPr>
        <w:drawing>
          <wp:inline distT="0" distB="0" distL="0" distR="0" wp14:anchorId="1AF59591" wp14:editId="5A779345">
            <wp:extent cx="6389370" cy="1001221"/>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1001221"/>
                    </a:xfrm>
                    <a:prstGeom prst="rect">
                      <a:avLst/>
                    </a:prstGeom>
                    <a:noFill/>
                    <a:ln>
                      <a:noFill/>
                    </a:ln>
                  </pic:spPr>
                </pic:pic>
              </a:graphicData>
            </a:graphic>
          </wp:inline>
        </w:drawing>
      </w:r>
    </w:p>
    <w:p w14:paraId="1C7FE4FC" w14:textId="77777777" w:rsidR="006025F2" w:rsidRPr="004B2812" w:rsidRDefault="006025F2" w:rsidP="006025F2">
      <w:pPr>
        <w:spacing w:line="259" w:lineRule="auto"/>
        <w:rPr>
          <w:b/>
        </w:rPr>
      </w:pPr>
      <w:r w:rsidRPr="004B2812">
        <w:rPr>
          <w:b/>
        </w:rPr>
        <w:t>Estado Comparativo del Ejercicio del Presupuesto de Egresos:</w:t>
      </w:r>
    </w:p>
    <w:p w14:paraId="71804C25" w14:textId="77777777" w:rsidR="006025F2" w:rsidRPr="00EC6A9E" w:rsidRDefault="006025F2" w:rsidP="006025F2">
      <w:pPr>
        <w:spacing w:line="259" w:lineRule="auto"/>
        <w:rPr>
          <w:b/>
        </w:rPr>
      </w:pPr>
      <w:r w:rsidRPr="00EC6A9E">
        <w:rPr>
          <w:noProof/>
          <w:lang w:eastAsia="es-MX"/>
        </w:rPr>
        <w:drawing>
          <wp:inline distT="0" distB="0" distL="0" distR="0" wp14:anchorId="3859B5BA" wp14:editId="649D7D7B">
            <wp:extent cx="6388351" cy="1600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374" cy="1600707"/>
                    </a:xfrm>
                    <a:prstGeom prst="rect">
                      <a:avLst/>
                    </a:prstGeom>
                    <a:noFill/>
                    <a:ln>
                      <a:noFill/>
                    </a:ln>
                  </pic:spPr>
                </pic:pic>
              </a:graphicData>
            </a:graphic>
          </wp:inline>
        </w:drawing>
      </w:r>
    </w:p>
    <w:p w14:paraId="61F614E9" w14:textId="77777777" w:rsidR="006025F2" w:rsidRPr="00EC6A9E" w:rsidRDefault="006025F2" w:rsidP="006025F2">
      <w:pPr>
        <w:tabs>
          <w:tab w:val="left" w:pos="488"/>
        </w:tabs>
        <w:spacing w:line="276" w:lineRule="auto"/>
        <w:ind w:right="-1"/>
        <w:jc w:val="both"/>
        <w:outlineLvl w:val="0"/>
        <w:rPr>
          <w:rFonts w:cs="Arial"/>
        </w:rPr>
      </w:pPr>
    </w:p>
    <w:p w14:paraId="388D1705" w14:textId="77777777" w:rsidR="006025F2" w:rsidRPr="00EC6A9E" w:rsidRDefault="006025F2" w:rsidP="006025F2">
      <w:pPr>
        <w:tabs>
          <w:tab w:val="left" w:pos="488"/>
        </w:tabs>
        <w:spacing w:line="276" w:lineRule="auto"/>
        <w:ind w:right="-1"/>
        <w:jc w:val="both"/>
        <w:outlineLvl w:val="0"/>
        <w:rPr>
          <w:rFonts w:cs="Arial"/>
        </w:rPr>
      </w:pPr>
      <w:r w:rsidRPr="00EC6A9E">
        <w:rPr>
          <w:rFonts w:cs="Arial"/>
        </w:rPr>
        <w:t>El presupuesto de egresos aprobado modificado anual fue de 2,921,299,039.00, el presupuesto modificado al mes es de 1,722,072,654.37 y se ha ejercido al mes que se analiza la cantidad de 691,674,219.72, por lo tanto, se observa una variación absoluta contra el presupuesto modificado autorizado de 1,030,398,434.65, principalmente por lo siguiente:</w:t>
      </w:r>
    </w:p>
    <w:p w14:paraId="17B8F5A2" w14:textId="77777777" w:rsidR="006025F2" w:rsidRPr="00EC6A9E" w:rsidRDefault="006025F2" w:rsidP="006025F2">
      <w:pPr>
        <w:spacing w:line="276" w:lineRule="auto"/>
        <w:ind w:right="-1"/>
        <w:jc w:val="both"/>
        <w:rPr>
          <w:rFonts w:cs="Arial"/>
        </w:rPr>
      </w:pPr>
      <w:r w:rsidRPr="00EC6A9E">
        <w:rPr>
          <w:rFonts w:cs="Arial"/>
          <w:b/>
        </w:rPr>
        <w:t>En el Capítulo 1000 “Servicios Personales</w:t>
      </w:r>
      <w:r w:rsidRPr="00EC6A9E">
        <w:rPr>
          <w:rFonts w:cs="Arial"/>
        </w:rPr>
        <w:t>”.</w:t>
      </w:r>
      <w:r w:rsidRPr="00EC6A9E">
        <w:rPr>
          <w:rFonts w:cs="Arial"/>
          <w:b/>
        </w:rPr>
        <w:t xml:space="preserve"> -</w:t>
      </w:r>
      <w:r w:rsidRPr="00EC6A9E">
        <w:rPr>
          <w:rFonts w:cs="Arial"/>
        </w:rPr>
        <w:t xml:space="preserve"> El subejercicio mensual obedece a los movimientos de personal por bajas de servidores públicos, cuyas plazas se encontraban presupuestadas con el rango más alto, y por consiguiente impacta en el subejercicio acumulado.</w:t>
      </w:r>
    </w:p>
    <w:p w14:paraId="2DB40106" w14:textId="77777777" w:rsidR="006025F2" w:rsidRPr="00EC6A9E" w:rsidRDefault="006025F2" w:rsidP="006025F2">
      <w:pPr>
        <w:spacing w:line="276" w:lineRule="auto"/>
        <w:ind w:right="-1"/>
        <w:jc w:val="both"/>
        <w:rPr>
          <w:rFonts w:cs="Arial"/>
        </w:rPr>
      </w:pPr>
      <w:r w:rsidRPr="00EC6A9E">
        <w:rPr>
          <w:rFonts w:cs="Arial"/>
          <w:b/>
        </w:rPr>
        <w:t>En el Capítulo 2000 “Materiales y Suministros”.-</w:t>
      </w:r>
      <w:r w:rsidRPr="00EC6A9E">
        <w:rPr>
          <w:rFonts w:cs="Arial"/>
        </w:rPr>
        <w:t xml:space="preserve"> El subejercicio mensual obedece a que se encuentra en proceso la substanciación de algunos procedimientos adquisitivos correspondiente al segundo cuatrimestre y por consiguiente impacta en el subejercicio acumulado. Adicional a lo anterior, derivado de la situación que impera nuestro país y el mundo, frente a la pandemia generada por el </w:t>
      </w:r>
      <w:proofErr w:type="spellStart"/>
      <w:r w:rsidRPr="00EC6A9E">
        <w:rPr>
          <w:rFonts w:cs="Arial"/>
        </w:rPr>
        <w:t>Covid</w:t>
      </w:r>
      <w:proofErr w:type="spellEnd"/>
      <w:r w:rsidRPr="00EC6A9E">
        <w:rPr>
          <w:rFonts w:cs="Arial"/>
        </w:rPr>
        <w:t xml:space="preserve"> 19, el Gobierno de México ha ordenado permanecer en casa (cuarentena) a efecto de evitar contagio y propagación de mayores casos de contracción del virus, lo cual genera una desaceleración del gasto público de este Instituto.</w:t>
      </w:r>
    </w:p>
    <w:p w14:paraId="6D980D5B" w14:textId="77777777" w:rsidR="006025F2" w:rsidRPr="00EC6A9E" w:rsidRDefault="006025F2" w:rsidP="006025F2">
      <w:pPr>
        <w:spacing w:line="276" w:lineRule="auto"/>
        <w:ind w:right="-1"/>
        <w:jc w:val="both"/>
        <w:rPr>
          <w:rFonts w:cs="Arial"/>
        </w:rPr>
      </w:pPr>
      <w:r w:rsidRPr="00EC6A9E">
        <w:rPr>
          <w:rFonts w:cs="Arial"/>
          <w:b/>
        </w:rPr>
        <w:t>En el Capítulo 3000 “Servicios Generales”. -</w:t>
      </w:r>
      <w:r w:rsidRPr="00EC6A9E">
        <w:rPr>
          <w:rFonts w:cs="Arial"/>
        </w:rPr>
        <w:t xml:space="preserve"> El subejercicio mensual obedece a que se encuentra en proceso la contratación de servicios que </w:t>
      </w:r>
      <w:proofErr w:type="spellStart"/>
      <w:r w:rsidRPr="00EC6A9E">
        <w:rPr>
          <w:rFonts w:cs="Arial"/>
        </w:rPr>
        <w:t>fortaleceran</w:t>
      </w:r>
      <w:proofErr w:type="spellEnd"/>
      <w:r w:rsidRPr="00EC6A9E">
        <w:rPr>
          <w:rFonts w:cs="Arial"/>
        </w:rPr>
        <w:t xml:space="preserve"> la infraestructura tecnológica de este Instituto. Adicional a lo anterior, derivado de la situación que impera nuestro país y el mundo, frente a la pandemia generada por el </w:t>
      </w:r>
      <w:proofErr w:type="spellStart"/>
      <w:r w:rsidRPr="00EC6A9E">
        <w:rPr>
          <w:rFonts w:cs="Arial"/>
        </w:rPr>
        <w:t>Covid</w:t>
      </w:r>
      <w:proofErr w:type="spellEnd"/>
      <w:r w:rsidRPr="00EC6A9E">
        <w:rPr>
          <w:rFonts w:cs="Arial"/>
        </w:rPr>
        <w:t xml:space="preserve"> 19, el Gobierno de México ha ordenado permanecer en casa (cuarentena) a efecto de evitar contagio y propagación de mayores casos de contracción del virus, lo cual genera una desaceleración del gasto público de este Instituto.</w:t>
      </w:r>
    </w:p>
    <w:p w14:paraId="7D455584" w14:textId="77777777" w:rsidR="006025F2" w:rsidRPr="00EC6A9E" w:rsidRDefault="006025F2" w:rsidP="006025F2">
      <w:pPr>
        <w:spacing w:line="276" w:lineRule="auto"/>
        <w:ind w:right="-1"/>
        <w:jc w:val="both"/>
        <w:rPr>
          <w:rFonts w:cs="Arial"/>
        </w:rPr>
      </w:pPr>
      <w:r w:rsidRPr="00EC6A9E">
        <w:rPr>
          <w:rFonts w:cs="Arial"/>
          <w:b/>
        </w:rPr>
        <w:t xml:space="preserve">En el Capítulo 4000 “Transferencias, Asignaciones, Subsidios y Otras Ayudas”.- </w:t>
      </w:r>
      <w:r w:rsidRPr="00EC6A9E">
        <w:rPr>
          <w:rFonts w:cs="Arial"/>
        </w:rPr>
        <w:t>El subejercicio mensual 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14:paraId="67EE93B9" w14:textId="77777777" w:rsidR="006025F2" w:rsidRPr="00EC6A9E" w:rsidRDefault="006025F2" w:rsidP="006025F2">
      <w:pPr>
        <w:spacing w:line="276" w:lineRule="auto"/>
        <w:ind w:right="-1"/>
        <w:jc w:val="both"/>
        <w:rPr>
          <w:rFonts w:cs="Arial"/>
        </w:rPr>
      </w:pPr>
      <w:r w:rsidRPr="00EC6A9E">
        <w:rPr>
          <w:rFonts w:cs="Arial"/>
          <w:b/>
        </w:rPr>
        <w:t xml:space="preserve">En el Capítulo 5000 “Bienes Muebles, Inmuebles e Intangibles”.- </w:t>
      </w:r>
      <w:r w:rsidRPr="00EC6A9E">
        <w:rPr>
          <w:rFonts w:cs="Arial"/>
        </w:rPr>
        <w:t xml:space="preserve">El subejercicio mensual obedece a que se encuentra en proceso la adquisición de infraestructura tecnológica de este Instituto. Adicional a lo anterior, derivado de la situación que impera nuestro país y el mundo, frente a la pandemia generada por el </w:t>
      </w:r>
      <w:proofErr w:type="spellStart"/>
      <w:r w:rsidRPr="00EC6A9E">
        <w:rPr>
          <w:rFonts w:cs="Arial"/>
        </w:rPr>
        <w:t>Covid</w:t>
      </w:r>
      <w:proofErr w:type="spellEnd"/>
      <w:r w:rsidRPr="00EC6A9E">
        <w:rPr>
          <w:rFonts w:cs="Arial"/>
        </w:rPr>
        <w:t xml:space="preserve"> 19, el Gobierno de México ha ordenado permanecer en casa (cuarentena) a efecto de evitar contagio y propagación de mayores casos de contracción del virus, lo cual genera una desaceleración del gasto público de este Instituto.</w:t>
      </w:r>
    </w:p>
    <w:p w14:paraId="46A61A44" w14:textId="77777777" w:rsidR="006025F2" w:rsidRPr="00EC6A9E" w:rsidRDefault="006025F2" w:rsidP="006025F2">
      <w:pPr>
        <w:spacing w:line="276" w:lineRule="auto"/>
        <w:ind w:right="-1"/>
        <w:jc w:val="both"/>
        <w:rPr>
          <w:rFonts w:cs="Arial"/>
        </w:rPr>
      </w:pPr>
      <w:r w:rsidRPr="00EC6A9E">
        <w:rPr>
          <w:rFonts w:cs="Arial"/>
          <w:b/>
        </w:rPr>
        <w:t xml:space="preserve">En el Capítulo 9000 “Deuda Pública”.- </w:t>
      </w:r>
      <w:r w:rsidRPr="00EC6A9E">
        <w:rPr>
          <w:rFonts w:cs="Arial"/>
        </w:rPr>
        <w:t xml:space="preserve">El subejercicio obtenido en el capítulo de “Deuda Pública”, deriva del remanente del pago del cupón de los Certificados Bursátiles Fiduciarios Series “C” correspondiente al primer semestre, por lo que dicha economía, apalancará el pago que concierne al segundo semestre en los próximos meses de agosto y septiembre de acuerdo a las obligaciones Contractuales de los fideicomisos irrevocables números 80615 y F/1426, así como, a los recursos destinados al pago de </w:t>
      </w:r>
      <w:proofErr w:type="spellStart"/>
      <w:r w:rsidRPr="00EC6A9E">
        <w:rPr>
          <w:rFonts w:cs="Arial"/>
        </w:rPr>
        <w:t>Adefas</w:t>
      </w:r>
      <w:proofErr w:type="spellEnd"/>
      <w:r w:rsidRPr="00EC6A9E">
        <w:rPr>
          <w:rFonts w:cs="Arial"/>
        </w:rPr>
        <w:t xml:space="preserve"> pendientes de liquidar.</w:t>
      </w:r>
    </w:p>
    <w:p w14:paraId="6D4A786B" w14:textId="77777777" w:rsidR="009F775A" w:rsidRPr="00EC6A9E" w:rsidRDefault="009F775A" w:rsidP="009F775A">
      <w:pPr>
        <w:numPr>
          <w:ilvl w:val="0"/>
          <w:numId w:val="5"/>
        </w:numPr>
        <w:tabs>
          <w:tab w:val="left" w:pos="3836"/>
        </w:tabs>
        <w:spacing w:after="0" w:line="276" w:lineRule="auto"/>
        <w:ind w:right="-1"/>
        <w:contextualSpacing/>
        <w:outlineLvl w:val="0"/>
        <w:rPr>
          <w:rFonts w:eastAsia="Times New Roman" w:cs="Arial"/>
          <w:b/>
          <w:lang w:eastAsia="es-MX"/>
        </w:rPr>
      </w:pPr>
      <w:r w:rsidRPr="00EC6A9E">
        <w:rPr>
          <w:rFonts w:eastAsia="Times New Roman" w:cs="Arial"/>
          <w:b/>
          <w:lang w:eastAsia="es-MX"/>
        </w:rPr>
        <w:t>NOTAS DE GESTIÓN ADMINISTRATIVA</w:t>
      </w:r>
    </w:p>
    <w:p w14:paraId="5CFA9948" w14:textId="77777777" w:rsidR="009F775A" w:rsidRPr="00EC6A9E" w:rsidRDefault="009F775A" w:rsidP="009F775A">
      <w:pPr>
        <w:tabs>
          <w:tab w:val="left" w:pos="3836"/>
        </w:tabs>
        <w:spacing w:after="0" w:line="276" w:lineRule="auto"/>
        <w:ind w:left="720" w:right="-1"/>
        <w:contextualSpacing/>
        <w:outlineLvl w:val="0"/>
        <w:rPr>
          <w:rFonts w:eastAsia="Times New Roman" w:cs="Arial"/>
          <w:b/>
          <w:lang w:eastAsia="es-MX"/>
        </w:rPr>
      </w:pPr>
    </w:p>
    <w:p w14:paraId="14D7351A" w14:textId="77777777" w:rsidR="009F775A" w:rsidRPr="00EC6A9E" w:rsidRDefault="009F775A" w:rsidP="009F775A">
      <w:pPr>
        <w:spacing w:line="276" w:lineRule="auto"/>
        <w:ind w:right="-1"/>
        <w:jc w:val="both"/>
      </w:pPr>
      <w:r w:rsidRPr="00EC6A9E">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1F1CE709" w14:textId="77777777" w:rsidR="009F775A" w:rsidRPr="00EC6A9E" w:rsidRDefault="009F775A" w:rsidP="009F775A">
      <w:pPr>
        <w:spacing w:line="276" w:lineRule="auto"/>
        <w:ind w:right="-1"/>
        <w:jc w:val="both"/>
        <w:rPr>
          <w:sz w:val="2"/>
        </w:rPr>
      </w:pPr>
    </w:p>
    <w:p w14:paraId="32D80DC6" w14:textId="77777777" w:rsidR="009F775A" w:rsidRPr="00EC6A9E" w:rsidRDefault="009F775A" w:rsidP="009F775A">
      <w:pPr>
        <w:spacing w:line="276" w:lineRule="auto"/>
        <w:ind w:right="-1"/>
        <w:jc w:val="both"/>
      </w:pPr>
      <w:r w:rsidRPr="00EC6A9E">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595460A" w14:textId="77777777" w:rsidR="009F775A" w:rsidRPr="00EC6A9E" w:rsidRDefault="009F775A" w:rsidP="009F775A">
      <w:pPr>
        <w:numPr>
          <w:ilvl w:val="0"/>
          <w:numId w:val="9"/>
        </w:numPr>
        <w:spacing w:after="0" w:line="276" w:lineRule="auto"/>
        <w:ind w:left="851" w:right="-1"/>
        <w:contextualSpacing/>
        <w:rPr>
          <w:rFonts w:eastAsia="Times New Roman" w:cs="Arial"/>
          <w:b/>
          <w:lang w:eastAsia="es-MX"/>
        </w:rPr>
      </w:pPr>
      <w:r w:rsidRPr="00EC6A9E">
        <w:rPr>
          <w:rFonts w:eastAsia="Times New Roman" w:cs="Times New Roman"/>
          <w:b/>
          <w:lang w:eastAsia="es-MX"/>
        </w:rPr>
        <w:t>Introducción</w:t>
      </w:r>
    </w:p>
    <w:p w14:paraId="6AACB0B1" w14:textId="77777777" w:rsidR="009F775A" w:rsidRPr="00EC6A9E" w:rsidRDefault="009F775A" w:rsidP="009F775A">
      <w:pPr>
        <w:spacing w:before="240" w:line="276" w:lineRule="auto"/>
        <w:ind w:right="-1"/>
        <w:jc w:val="both"/>
      </w:pPr>
      <w:r w:rsidRPr="00EC6A9E">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7E0365F1" w14:textId="77777777" w:rsidR="009F775A" w:rsidRPr="00EC6A9E" w:rsidRDefault="009F775A" w:rsidP="009F775A">
      <w:pPr>
        <w:spacing w:line="276" w:lineRule="auto"/>
        <w:ind w:right="-1"/>
        <w:jc w:val="both"/>
      </w:pPr>
      <w:r w:rsidRPr="00EC6A9E">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636AC11D" w14:textId="77777777" w:rsidR="009F775A" w:rsidRPr="00EC6A9E" w:rsidRDefault="009F775A" w:rsidP="009F775A">
      <w:pPr>
        <w:spacing w:line="276" w:lineRule="auto"/>
        <w:ind w:right="-1"/>
        <w:jc w:val="both"/>
      </w:pPr>
      <w:r w:rsidRPr="00EC6A9E">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117F6B67" w14:textId="77777777" w:rsidR="009F775A" w:rsidRPr="00EC6A9E" w:rsidRDefault="009F775A" w:rsidP="009F775A">
      <w:pPr>
        <w:spacing w:line="276" w:lineRule="auto"/>
        <w:ind w:right="-1"/>
        <w:jc w:val="both"/>
      </w:pPr>
      <w:r w:rsidRPr="00EC6A9E">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2728AFE4" w14:textId="77777777" w:rsidR="009F775A" w:rsidRPr="00EC6A9E" w:rsidRDefault="009F775A" w:rsidP="009F775A">
      <w:pPr>
        <w:numPr>
          <w:ilvl w:val="0"/>
          <w:numId w:val="9"/>
        </w:numPr>
        <w:spacing w:after="0" w:line="276" w:lineRule="auto"/>
        <w:ind w:left="851" w:right="-1"/>
        <w:contextualSpacing/>
        <w:rPr>
          <w:rFonts w:eastAsia="Times New Roman" w:cs="Times New Roman"/>
          <w:b/>
          <w:lang w:eastAsia="es-MX"/>
        </w:rPr>
      </w:pPr>
      <w:r w:rsidRPr="00EC6A9E">
        <w:rPr>
          <w:rFonts w:eastAsia="Times New Roman" w:cs="Times New Roman"/>
          <w:b/>
          <w:lang w:eastAsia="es-MX"/>
        </w:rPr>
        <w:t>Panorama Económico y Financiero</w:t>
      </w:r>
    </w:p>
    <w:p w14:paraId="5EF08263" w14:textId="77777777" w:rsidR="009F775A" w:rsidRPr="00EC6A9E" w:rsidRDefault="009F775A" w:rsidP="009F775A">
      <w:pPr>
        <w:spacing w:after="0" w:line="276" w:lineRule="auto"/>
        <w:ind w:left="851" w:right="-1"/>
        <w:contextualSpacing/>
        <w:rPr>
          <w:rFonts w:eastAsia="Times New Roman" w:cs="Times New Roman"/>
          <w:b/>
          <w:lang w:eastAsia="es-MX"/>
        </w:rPr>
      </w:pPr>
    </w:p>
    <w:p w14:paraId="4BC6F185" w14:textId="77777777" w:rsidR="009F775A" w:rsidRPr="00EC6A9E" w:rsidRDefault="009F775A" w:rsidP="009F775A">
      <w:pPr>
        <w:spacing w:after="101" w:line="276" w:lineRule="auto"/>
        <w:ind w:right="-1"/>
        <w:jc w:val="both"/>
        <w:rPr>
          <w:rFonts w:eastAsia="Times New Roman" w:cs="Arial"/>
          <w:lang w:val="es-ES" w:eastAsia="es-ES"/>
        </w:rPr>
      </w:pPr>
      <w:r w:rsidRPr="00EC6A9E">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2A2C6830" w14:textId="77777777" w:rsidR="009F775A" w:rsidRPr="00EC6A9E" w:rsidRDefault="009F775A" w:rsidP="009F775A">
      <w:pPr>
        <w:spacing w:after="101" w:line="276" w:lineRule="auto"/>
        <w:ind w:right="-1"/>
        <w:jc w:val="both"/>
        <w:rPr>
          <w:rFonts w:eastAsia="Times New Roman" w:cs="Arial"/>
          <w:lang w:val="es-ES" w:eastAsia="es-ES"/>
        </w:rPr>
      </w:pPr>
    </w:p>
    <w:p w14:paraId="04A5D05C" w14:textId="77777777" w:rsidR="009F775A" w:rsidRPr="00EC6A9E" w:rsidRDefault="009F775A" w:rsidP="009F775A">
      <w:pPr>
        <w:numPr>
          <w:ilvl w:val="0"/>
          <w:numId w:val="9"/>
        </w:numPr>
        <w:spacing w:after="0" w:line="276" w:lineRule="auto"/>
        <w:ind w:left="851" w:right="-1"/>
        <w:contextualSpacing/>
        <w:rPr>
          <w:rFonts w:eastAsia="Times New Roman" w:cs="Times New Roman"/>
          <w:b/>
          <w:lang w:eastAsia="es-MX"/>
        </w:rPr>
      </w:pPr>
      <w:r w:rsidRPr="00EC6A9E">
        <w:rPr>
          <w:rFonts w:eastAsia="Times New Roman" w:cs="Times New Roman"/>
          <w:b/>
          <w:lang w:eastAsia="es-MX"/>
        </w:rPr>
        <w:t>Autorización e Historia</w:t>
      </w:r>
    </w:p>
    <w:p w14:paraId="68370182" w14:textId="77777777" w:rsidR="009F775A" w:rsidRPr="00EC6A9E" w:rsidRDefault="009F775A" w:rsidP="009F775A">
      <w:pPr>
        <w:spacing w:after="0" w:line="276" w:lineRule="auto"/>
        <w:ind w:right="-1"/>
        <w:contextualSpacing/>
        <w:rPr>
          <w:rFonts w:eastAsia="Times New Roman" w:cs="Times New Roman"/>
          <w:b/>
          <w:sz w:val="10"/>
          <w:lang w:eastAsia="es-MX"/>
        </w:rPr>
      </w:pPr>
    </w:p>
    <w:p w14:paraId="2141B8E3" w14:textId="77777777" w:rsidR="009F775A" w:rsidRPr="00EC6A9E" w:rsidRDefault="009F775A" w:rsidP="009F775A">
      <w:pPr>
        <w:spacing w:line="276" w:lineRule="auto"/>
        <w:ind w:right="-1"/>
        <w:jc w:val="both"/>
      </w:pPr>
      <w:r w:rsidRPr="00EC6A9E">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715E9C14" w14:textId="77777777" w:rsidR="009F775A" w:rsidRPr="00EC6A9E" w:rsidRDefault="009F775A" w:rsidP="009F775A">
      <w:pPr>
        <w:spacing w:line="276" w:lineRule="auto"/>
        <w:ind w:right="-1"/>
        <w:jc w:val="both"/>
      </w:pPr>
      <w:r w:rsidRPr="00EC6A9E">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55968D45" w14:textId="77777777" w:rsidR="009F775A" w:rsidRPr="00EC6A9E" w:rsidRDefault="009F775A" w:rsidP="009F775A">
      <w:pPr>
        <w:spacing w:line="276" w:lineRule="auto"/>
        <w:ind w:right="-1"/>
        <w:jc w:val="both"/>
      </w:pPr>
      <w:r w:rsidRPr="00EC6A9E">
        <w:t>Asimismo, se subrogaron al Instituto de la Función Registral del Estado de México, los derechos y obligaciones de la Dirección General del Registro Público de la Propiedad de la Secretaría General de Gobierno.</w:t>
      </w:r>
    </w:p>
    <w:p w14:paraId="0BB68063" w14:textId="77777777" w:rsidR="009F775A" w:rsidRPr="00EC6A9E" w:rsidRDefault="009F775A" w:rsidP="009F775A">
      <w:pPr>
        <w:spacing w:line="276" w:lineRule="auto"/>
        <w:ind w:right="-1"/>
        <w:jc w:val="both"/>
      </w:pPr>
      <w:r w:rsidRPr="00EC6A9E">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73681427" w14:textId="77777777" w:rsidR="009F775A" w:rsidRPr="00EC6A9E" w:rsidRDefault="009F775A" w:rsidP="009F775A">
      <w:pPr>
        <w:spacing w:line="276" w:lineRule="auto"/>
        <w:ind w:right="-1"/>
        <w:jc w:val="both"/>
      </w:pPr>
      <w:r w:rsidRPr="00EC6A9E">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7ADA133A" w14:textId="77777777" w:rsidR="009F775A" w:rsidRPr="00EC6A9E" w:rsidRDefault="009F775A" w:rsidP="009F775A">
      <w:pPr>
        <w:spacing w:line="276" w:lineRule="auto"/>
        <w:ind w:right="-1"/>
        <w:jc w:val="both"/>
      </w:pPr>
      <w:r w:rsidRPr="00EC6A9E">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1B208A0A" w14:textId="77777777" w:rsidR="009F775A" w:rsidRPr="00EC6A9E" w:rsidRDefault="009F775A" w:rsidP="009F775A">
      <w:pPr>
        <w:spacing w:line="276" w:lineRule="auto"/>
        <w:ind w:right="-1"/>
        <w:jc w:val="both"/>
      </w:pPr>
      <w:r w:rsidRPr="00EC6A9E">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A5C5FC0" w14:textId="77777777" w:rsidR="009F775A" w:rsidRPr="00EC6A9E" w:rsidRDefault="009F775A" w:rsidP="009F775A">
      <w:pPr>
        <w:spacing w:line="276" w:lineRule="auto"/>
        <w:ind w:right="-1"/>
        <w:jc w:val="both"/>
      </w:pPr>
      <w:r w:rsidRPr="00EC6A9E">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54D2127A" w14:textId="77777777" w:rsidR="009F775A" w:rsidRPr="00EC6A9E" w:rsidRDefault="009F775A" w:rsidP="009F775A">
      <w:pPr>
        <w:spacing w:line="276" w:lineRule="auto"/>
        <w:ind w:right="-1"/>
        <w:jc w:val="both"/>
      </w:pPr>
      <w:r w:rsidRPr="00EC6A9E">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1A1BC856" w14:textId="77777777" w:rsidR="009F775A" w:rsidRPr="00EC6A9E" w:rsidRDefault="009F775A" w:rsidP="009F775A">
      <w:pPr>
        <w:spacing w:line="276" w:lineRule="auto"/>
        <w:ind w:left="360" w:right="-1"/>
        <w:jc w:val="both"/>
        <w:rPr>
          <w:b/>
        </w:rPr>
      </w:pPr>
      <w:r w:rsidRPr="00EC6A9E">
        <w:rPr>
          <w:b/>
        </w:rPr>
        <w:t>4.</w:t>
      </w:r>
      <w:r w:rsidRPr="00EC6A9E">
        <w:rPr>
          <w:b/>
        </w:rPr>
        <w:tab/>
        <w:t>Organización y Objeto Social</w:t>
      </w:r>
    </w:p>
    <w:p w14:paraId="36E141F1" w14:textId="77777777" w:rsidR="009F775A" w:rsidRPr="00EC6A9E" w:rsidRDefault="009F775A" w:rsidP="009F775A">
      <w:pPr>
        <w:spacing w:after="0" w:line="276" w:lineRule="auto"/>
        <w:ind w:right="-1"/>
        <w:jc w:val="both"/>
        <w:rPr>
          <w:rFonts w:eastAsia="Times New Roman" w:cs="Arial"/>
          <w:lang w:val="es-ES" w:eastAsia="es-ES"/>
        </w:rPr>
      </w:pPr>
      <w:r w:rsidRPr="00EC6A9E">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7AAB84F4" w14:textId="77777777" w:rsidR="009F775A" w:rsidRPr="00EC6A9E" w:rsidRDefault="009F775A" w:rsidP="009F775A">
      <w:pPr>
        <w:spacing w:line="276" w:lineRule="auto"/>
        <w:ind w:right="-1"/>
        <w:jc w:val="both"/>
      </w:pPr>
      <w:r w:rsidRPr="00EC6A9E">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2" w:history="1">
        <w:r w:rsidRPr="00EC6A9E">
          <w:rPr>
            <w:color w:val="0000FF"/>
            <w:u w:val="single"/>
          </w:rPr>
          <w:t>http://ifrem.edomex.gob.mx/organigrama</w:t>
        </w:r>
      </w:hyperlink>
      <w:r w:rsidRPr="00EC6A9E">
        <w:t>.</w:t>
      </w:r>
    </w:p>
    <w:p w14:paraId="21186CA5" w14:textId="6DB83C4C" w:rsidR="00B90DB9" w:rsidRDefault="009F775A" w:rsidP="009F775A">
      <w:pPr>
        <w:spacing w:line="276" w:lineRule="auto"/>
        <w:ind w:right="-1"/>
        <w:jc w:val="both"/>
        <w:rPr>
          <w:rFonts w:eastAsia="Times New Roman" w:cs="Arial"/>
          <w:lang w:val="es-ES" w:eastAsia="es-ES"/>
        </w:rPr>
      </w:pPr>
      <w:r w:rsidRPr="00EC6A9E">
        <w:t xml:space="preserve"> </w:t>
      </w:r>
      <w:r w:rsidRPr="00EC6A9E">
        <w:rPr>
          <w:rFonts w:eastAsia="Times New Roman" w:cs="Arial"/>
          <w:lang w:val="es-ES" w:eastAsia="es-ES"/>
        </w:rPr>
        <w:t>El Instituto,</w:t>
      </w:r>
      <w:r w:rsidRPr="00EC6A9E">
        <w:rPr>
          <w:rFonts w:eastAsia="Times New Roman" w:cs="CenturyGothic"/>
          <w:lang w:val="es-ES" w:eastAsia="es-ES"/>
        </w:rPr>
        <w:t xml:space="preserve"> p</w:t>
      </w:r>
      <w:r w:rsidRPr="00EC6A9E">
        <w:rPr>
          <w:rFonts w:eastAsia="Times New Roman" w:cs="Arial"/>
          <w:lang w:val="es-ES" w:eastAsia="es-ES"/>
        </w:rPr>
        <w:t>ara el cumplimiento de su objeto, tendrá las atribuciones que se mencionan en su Decreto de creación publicado en el periódico oficial Gaceta del Gobierno.</w:t>
      </w:r>
    </w:p>
    <w:p w14:paraId="4FEE33EF" w14:textId="77777777" w:rsidR="00B90DB9" w:rsidRDefault="00B90DB9">
      <w:pPr>
        <w:spacing w:line="259" w:lineRule="auto"/>
        <w:rPr>
          <w:rFonts w:eastAsia="Times New Roman" w:cs="Arial"/>
          <w:lang w:val="es-ES" w:eastAsia="es-ES"/>
        </w:rPr>
      </w:pPr>
      <w:r>
        <w:rPr>
          <w:rFonts w:eastAsia="Times New Roman" w:cs="Arial"/>
          <w:lang w:val="es-ES" w:eastAsia="es-ES"/>
        </w:rPr>
        <w:br w:type="page"/>
      </w:r>
    </w:p>
    <w:p w14:paraId="410CADEA" w14:textId="77777777" w:rsidR="009F775A" w:rsidRPr="00EC6A9E" w:rsidRDefault="009F775A" w:rsidP="009F775A">
      <w:pPr>
        <w:numPr>
          <w:ilvl w:val="0"/>
          <w:numId w:val="10"/>
        </w:numPr>
        <w:spacing w:after="240" w:line="276" w:lineRule="auto"/>
        <w:ind w:right="-1"/>
        <w:contextualSpacing/>
        <w:jc w:val="both"/>
        <w:rPr>
          <w:rFonts w:eastAsia="Times New Roman" w:cs="Times New Roman"/>
          <w:lang w:eastAsia="es-MX"/>
        </w:rPr>
      </w:pPr>
      <w:r w:rsidRPr="00EC6A9E">
        <w:rPr>
          <w:rFonts w:eastAsia="Times New Roman" w:cs="Times New Roman"/>
          <w:b/>
          <w:lang w:eastAsia="es-MX"/>
        </w:rPr>
        <w:t>Bases de preparación de los Estados Financieros</w:t>
      </w:r>
    </w:p>
    <w:p w14:paraId="1E78B7C9" w14:textId="77777777" w:rsidR="009F775A" w:rsidRPr="00EC6A9E" w:rsidRDefault="009F775A" w:rsidP="009F775A">
      <w:pPr>
        <w:spacing w:after="240" w:line="276" w:lineRule="auto"/>
        <w:ind w:left="284" w:right="-1"/>
        <w:contextualSpacing/>
        <w:jc w:val="both"/>
        <w:rPr>
          <w:rFonts w:eastAsia="Times New Roman" w:cs="Times New Roman"/>
          <w:sz w:val="6"/>
          <w:lang w:eastAsia="es-MX"/>
        </w:rPr>
      </w:pPr>
    </w:p>
    <w:p w14:paraId="182F6254" w14:textId="77777777" w:rsidR="009F775A" w:rsidRPr="00EC6A9E" w:rsidRDefault="009F775A" w:rsidP="009F775A">
      <w:pPr>
        <w:spacing w:after="101" w:line="276" w:lineRule="auto"/>
        <w:ind w:right="-1"/>
        <w:jc w:val="both"/>
        <w:rPr>
          <w:rFonts w:eastAsia="Times New Roman" w:cs="Arial"/>
          <w:lang w:val="es-ES" w:eastAsia="es-ES"/>
        </w:rPr>
      </w:pPr>
      <w:r w:rsidRPr="00EC6A9E">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(Decimoctava Edición) 2019, para el presente ejercicio fiscal, publicado en la “Gaceta del Gobierno” el lunes 31 de mayo de 2019, aplicable a los Organismos Auxiliares del Gobierno del Estado de México, para efectos de la Ley para la Coordinación y Control de Organismos Auxiliares.</w:t>
      </w:r>
    </w:p>
    <w:p w14:paraId="6CDBEEDB" w14:textId="77777777" w:rsidR="009F775A" w:rsidRPr="00EC6A9E" w:rsidRDefault="009F775A" w:rsidP="009F775A">
      <w:pPr>
        <w:spacing w:line="276" w:lineRule="auto"/>
        <w:ind w:right="-1"/>
        <w:jc w:val="both"/>
      </w:pPr>
      <w:r w:rsidRPr="00EC6A9E">
        <w:t xml:space="preserve">Con base en dicho manual en este ejercicio se han realizado las </w:t>
      </w:r>
      <w:r w:rsidRPr="00EC6A9E">
        <w:rPr>
          <w:rFonts w:eastAsia="Times New Roman" w:cs="Arial"/>
          <w:lang w:val="es-ES" w:eastAsia="es-ES"/>
        </w:rPr>
        <w:t>adecuaciones</w:t>
      </w:r>
      <w:r w:rsidRPr="00EC6A9E">
        <w:t xml:space="preserve"> de presentación necesarias para estas notas. Así mismo </w:t>
      </w:r>
      <w:r w:rsidRPr="00EC6A9E">
        <w:rPr>
          <w:rFonts w:cs="Arial"/>
          <w:lang w:eastAsia="es-MX"/>
        </w:rPr>
        <w:t>la información se elaboró conforme a las normas, criterios y principios técnicos y las disposiciones legales aplicables, obedeciendo a las mejores prácticas contables,</w:t>
      </w:r>
      <w:r w:rsidRPr="00EC6A9E">
        <w:t xml:space="preserve"> se incluye lo correspondiente a las normas y lineamientos </w:t>
      </w:r>
      <w:r w:rsidRPr="00EC6A9E">
        <w:rPr>
          <w:rFonts w:cs="Arial"/>
          <w:lang w:eastAsia="es-MX"/>
        </w:rPr>
        <w:t xml:space="preserve">emitidos por </w:t>
      </w:r>
      <w:r w:rsidRPr="00EC6A9E">
        <w:t>el Consejo Nacional de Armonización Contable (CONAC)</w:t>
      </w:r>
      <w:r w:rsidRPr="00EC6A9E">
        <w:rPr>
          <w:rFonts w:cs="Arial"/>
          <w:lang w:eastAsia="es-MX"/>
        </w:rPr>
        <w:t>;</w:t>
      </w:r>
      <w:r w:rsidRPr="00EC6A9E">
        <w:t xml:space="preserve"> publicados el 13 de octubre de 2014, en el periódico oficial del Gobierno del Estado de México, denominado “Gaceta del Gobierno”.</w:t>
      </w:r>
    </w:p>
    <w:p w14:paraId="4C672631" w14:textId="77777777" w:rsidR="009F775A" w:rsidRPr="00EC6A9E" w:rsidRDefault="009F775A" w:rsidP="009F775A">
      <w:pPr>
        <w:autoSpaceDE w:val="0"/>
        <w:autoSpaceDN w:val="0"/>
        <w:adjustRightInd w:val="0"/>
        <w:spacing w:line="276" w:lineRule="auto"/>
        <w:ind w:right="-1"/>
        <w:jc w:val="both"/>
      </w:pPr>
      <w:r w:rsidRPr="00EC6A9E">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2C310F87" w14:textId="77777777" w:rsidR="009F775A" w:rsidRPr="00EC6A9E" w:rsidRDefault="009F775A" w:rsidP="009F775A">
      <w:pPr>
        <w:autoSpaceDE w:val="0"/>
        <w:autoSpaceDN w:val="0"/>
        <w:adjustRightInd w:val="0"/>
        <w:spacing w:line="276" w:lineRule="auto"/>
        <w:ind w:right="-1"/>
        <w:jc w:val="both"/>
        <w:rPr>
          <w:b/>
          <w:bCs/>
        </w:rPr>
      </w:pPr>
      <w:r w:rsidRPr="00EC6A9E">
        <w:t>El 26 de octubre de 2018, el Consejo Nacional de Armonización Contable con fundamento en los artículos 6, 7, 9 y 14 de la Ley General de Contabilidad Gubernamental, aprobó los siguientes: “</w:t>
      </w:r>
      <w:r w:rsidRPr="00EC6A9E">
        <w:rPr>
          <w:b/>
          <w:bCs/>
        </w:rPr>
        <w:t xml:space="preserve">Acuerdo por el que se reforman y adicionan las Normas y Metodología para la Determinación de los Momentos Contables de los Ingresos”, </w:t>
      </w:r>
      <w:r w:rsidRPr="00EC6A9E">
        <w:rPr>
          <w:bCs/>
        </w:rPr>
        <w:t>así como</w:t>
      </w:r>
      <w:r w:rsidRPr="00EC6A9E">
        <w:rPr>
          <w:b/>
          <w:bCs/>
        </w:rPr>
        <w:t xml:space="preserve">; el Acuerdo por el que se reforma y adiciona el Manual de Contabilidad Gubernamental. </w:t>
      </w:r>
      <w:r w:rsidRPr="00EC6A9E">
        <w:rPr>
          <w:b/>
          <w:bCs/>
          <w:i/>
          <w:sz w:val="22"/>
        </w:rPr>
        <w:t>“</w:t>
      </w:r>
      <w:r w:rsidRPr="00EC6A9E">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C6A9E">
        <w:rPr>
          <w:b/>
          <w:bCs/>
        </w:rPr>
        <w:t>“</w:t>
      </w:r>
    </w:p>
    <w:p w14:paraId="712D6CD5" w14:textId="77777777" w:rsidR="009F775A" w:rsidRPr="00EC6A9E" w:rsidRDefault="009F775A" w:rsidP="009F775A">
      <w:pPr>
        <w:autoSpaceDE w:val="0"/>
        <w:autoSpaceDN w:val="0"/>
        <w:adjustRightInd w:val="0"/>
        <w:spacing w:line="276" w:lineRule="auto"/>
        <w:ind w:right="-1"/>
        <w:jc w:val="both"/>
        <w:rPr>
          <w:i/>
          <w:sz w:val="18"/>
          <w:szCs w:val="16"/>
        </w:rPr>
      </w:pPr>
      <w:r w:rsidRPr="00EC6A9E">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C6A9E">
        <w:rPr>
          <w:rFonts w:eastAsia="Times New Roman" w:cs="Times New Roman"/>
          <w:b/>
          <w:lang w:eastAsia="es-MX"/>
        </w:rPr>
        <w:t>Políticas de Contabilidad Significativas”.</w:t>
      </w:r>
      <w:r w:rsidRPr="00EC6A9E">
        <w:rPr>
          <w:rFonts w:cs="Arial"/>
          <w:color w:val="000000"/>
          <w:sz w:val="16"/>
          <w:szCs w:val="16"/>
        </w:rPr>
        <w:t xml:space="preserve"> </w:t>
      </w:r>
      <w:r w:rsidRPr="00EC6A9E">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76B50975" w14:textId="77777777" w:rsidR="009F775A" w:rsidRPr="00EC6A9E" w:rsidRDefault="009F775A" w:rsidP="009F775A">
      <w:pPr>
        <w:autoSpaceDE w:val="0"/>
        <w:autoSpaceDN w:val="0"/>
        <w:adjustRightInd w:val="0"/>
        <w:spacing w:after="240" w:line="276" w:lineRule="auto"/>
        <w:ind w:right="-1"/>
        <w:contextualSpacing/>
        <w:jc w:val="both"/>
        <w:rPr>
          <w:i/>
          <w:sz w:val="18"/>
          <w:szCs w:val="16"/>
        </w:rPr>
      </w:pPr>
      <w:r w:rsidRPr="00EC6A9E">
        <w:rPr>
          <w:rFonts w:cs="Arial"/>
          <w:b/>
          <w:bCs/>
        </w:rPr>
        <w:t xml:space="preserve">“Acuerdo por el que se reforma y adiciona el Formato de Conciliación entre los Ingresos Presupuestarios y Contables, así como entre los Egresos Presupuestarios y los Gastos Contables”. </w:t>
      </w:r>
      <w:r w:rsidRPr="00EC6A9E">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1A38C4DE" w14:textId="77777777" w:rsidR="009F775A" w:rsidRPr="00EC6A9E" w:rsidRDefault="009F775A" w:rsidP="009F775A">
      <w:pPr>
        <w:autoSpaceDE w:val="0"/>
        <w:autoSpaceDN w:val="0"/>
        <w:adjustRightInd w:val="0"/>
        <w:spacing w:after="240" w:line="276" w:lineRule="auto"/>
        <w:ind w:left="284" w:right="-1"/>
        <w:contextualSpacing/>
        <w:jc w:val="both"/>
        <w:rPr>
          <w:i/>
          <w:sz w:val="18"/>
          <w:szCs w:val="16"/>
        </w:rPr>
      </w:pPr>
    </w:p>
    <w:p w14:paraId="0EE539C4" w14:textId="77777777" w:rsidR="009F775A" w:rsidRPr="00EC6A9E" w:rsidRDefault="009F775A" w:rsidP="009F775A">
      <w:pPr>
        <w:spacing w:line="259" w:lineRule="auto"/>
        <w:jc w:val="both"/>
        <w:rPr>
          <w:i/>
          <w:sz w:val="18"/>
          <w:szCs w:val="16"/>
        </w:rPr>
      </w:pPr>
      <w:r w:rsidRPr="00EC6A9E">
        <w:rPr>
          <w:rFonts w:cs="Arial"/>
          <w:b/>
          <w:bCs/>
        </w:rPr>
        <w:t>“Acuerdo por el que se reforma el Clasificador por Rubros de Ingresos”. “</w:t>
      </w:r>
      <w:r w:rsidRPr="00EC6A9E">
        <w:rPr>
          <w:i/>
          <w:sz w:val="18"/>
          <w:szCs w:val="16"/>
        </w:rPr>
        <w:t>Se reforman el párrafo sexto de antecedentes y el párrafo catorce del punto A. ASPECTOS GENERALES”.</w:t>
      </w:r>
    </w:p>
    <w:p w14:paraId="0AE5C1C3" w14:textId="77777777" w:rsidR="009F775A" w:rsidRPr="00EC6A9E" w:rsidRDefault="009F775A" w:rsidP="009F775A">
      <w:pPr>
        <w:spacing w:after="0" w:line="276" w:lineRule="auto"/>
        <w:ind w:right="-1"/>
        <w:jc w:val="both"/>
        <w:rPr>
          <w:rFonts w:cs="Arial"/>
        </w:rPr>
      </w:pPr>
      <w:r w:rsidRPr="00EC6A9E">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2B471A1A" w14:textId="77777777" w:rsidR="009F775A" w:rsidRPr="00EC6A9E" w:rsidRDefault="009F775A" w:rsidP="009F775A">
      <w:pPr>
        <w:spacing w:after="0" w:line="276" w:lineRule="auto"/>
        <w:ind w:right="-1"/>
        <w:jc w:val="both"/>
        <w:rPr>
          <w:rFonts w:cs="Arial"/>
        </w:rPr>
      </w:pPr>
    </w:p>
    <w:p w14:paraId="61C11D20" w14:textId="77777777" w:rsidR="009F775A" w:rsidRPr="00EC6A9E" w:rsidRDefault="009F775A" w:rsidP="009F775A">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EC6A9E">
        <w:rPr>
          <w:rFonts w:eastAsia="Times New Roman" w:cs="Times New Roman"/>
          <w:b/>
          <w:lang w:eastAsia="es-MX"/>
        </w:rPr>
        <w:t>Políticas de Contabilidad Significativas</w:t>
      </w:r>
    </w:p>
    <w:p w14:paraId="488751FB" w14:textId="77777777" w:rsidR="009F775A" w:rsidRPr="00EC6A9E" w:rsidRDefault="009F775A" w:rsidP="009F775A">
      <w:pPr>
        <w:autoSpaceDE w:val="0"/>
        <w:autoSpaceDN w:val="0"/>
        <w:adjustRightInd w:val="0"/>
        <w:spacing w:after="240" w:line="276" w:lineRule="auto"/>
        <w:ind w:left="284" w:right="-1"/>
        <w:contextualSpacing/>
        <w:jc w:val="both"/>
        <w:rPr>
          <w:rFonts w:eastAsia="Times New Roman" w:cs="Times New Roman"/>
          <w:lang w:eastAsia="es-MX"/>
        </w:rPr>
      </w:pPr>
    </w:p>
    <w:p w14:paraId="0A60DF9B" w14:textId="77777777" w:rsidR="009F775A" w:rsidRPr="00EC6A9E" w:rsidRDefault="009F775A" w:rsidP="009F775A">
      <w:pPr>
        <w:numPr>
          <w:ilvl w:val="0"/>
          <w:numId w:val="24"/>
        </w:numPr>
        <w:spacing w:before="240" w:line="276" w:lineRule="auto"/>
        <w:jc w:val="both"/>
        <w:rPr>
          <w:rFonts w:cs="Arial"/>
        </w:rPr>
      </w:pPr>
      <w:r w:rsidRPr="00EC6A9E">
        <w:rPr>
          <w:rFonts w:cs="Arial"/>
        </w:rPr>
        <w:t>Los Estados Financieros se preparan tomando como base los Postulados Básicos de Contabilidad Gubernamental.</w:t>
      </w:r>
    </w:p>
    <w:p w14:paraId="416EF37B" w14:textId="77777777" w:rsidR="009F775A" w:rsidRPr="00EC6A9E" w:rsidRDefault="009F775A" w:rsidP="009F775A">
      <w:pPr>
        <w:numPr>
          <w:ilvl w:val="0"/>
          <w:numId w:val="24"/>
        </w:numPr>
        <w:spacing w:line="259" w:lineRule="auto"/>
        <w:ind w:right="-1"/>
        <w:jc w:val="both"/>
        <w:rPr>
          <w:rFonts w:cs="Arial"/>
        </w:rPr>
      </w:pPr>
      <w:r w:rsidRPr="00EC6A9E">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587F9C09" w14:textId="77777777" w:rsidR="009F775A" w:rsidRPr="00EC6A9E" w:rsidRDefault="009F775A" w:rsidP="009F775A">
      <w:pPr>
        <w:numPr>
          <w:ilvl w:val="0"/>
          <w:numId w:val="24"/>
        </w:numPr>
        <w:spacing w:line="276" w:lineRule="auto"/>
        <w:ind w:right="-1"/>
        <w:jc w:val="both"/>
        <w:rPr>
          <w:rFonts w:cs="Arial"/>
        </w:rPr>
      </w:pPr>
      <w:r w:rsidRPr="00EC6A9E">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3291E3C1" w14:textId="77777777" w:rsidR="009F775A" w:rsidRPr="00EC6A9E" w:rsidRDefault="009F775A" w:rsidP="009F775A">
      <w:pPr>
        <w:numPr>
          <w:ilvl w:val="0"/>
          <w:numId w:val="24"/>
        </w:numPr>
        <w:spacing w:line="276" w:lineRule="auto"/>
        <w:ind w:right="-1"/>
        <w:jc w:val="both"/>
        <w:rPr>
          <w:rFonts w:cs="Arial"/>
        </w:rPr>
      </w:pPr>
      <w:r w:rsidRPr="00EC6A9E">
        <w:rPr>
          <w:rFonts w:cs="Arial"/>
        </w:rPr>
        <w:t>La información de obra pública se clasifica en Obras en Proceso y Gasto Ejercido; y Obras Concluidas y su Costo. Así como la información de la nómina: Plantilla de personal.</w:t>
      </w:r>
    </w:p>
    <w:p w14:paraId="21DB3ED4" w14:textId="77777777" w:rsidR="009F775A" w:rsidRPr="00EC6A9E" w:rsidRDefault="009F775A" w:rsidP="009F775A">
      <w:pPr>
        <w:numPr>
          <w:ilvl w:val="0"/>
          <w:numId w:val="24"/>
        </w:numPr>
        <w:spacing w:line="276" w:lineRule="auto"/>
        <w:ind w:right="-1"/>
        <w:jc w:val="both"/>
        <w:rPr>
          <w:rFonts w:cs="Arial"/>
        </w:rPr>
      </w:pPr>
      <w:r w:rsidRPr="00EC6A9E">
        <w:rPr>
          <w:rFonts w:cs="Arial"/>
        </w:rPr>
        <w:t>Respecto a la clasificación del pasivo, se considerará a corto plazo el que vence dentro del ejercicio fiscal correspondiente y, a largo plazo el que venza en ejercicios fiscales posteriores al que corresponda la información.</w:t>
      </w:r>
    </w:p>
    <w:p w14:paraId="73060B14" w14:textId="77777777" w:rsidR="009F775A" w:rsidRPr="00EC6A9E" w:rsidRDefault="009F775A" w:rsidP="009F775A">
      <w:pPr>
        <w:numPr>
          <w:ilvl w:val="0"/>
          <w:numId w:val="24"/>
        </w:numPr>
        <w:spacing w:line="276" w:lineRule="auto"/>
        <w:ind w:right="-1"/>
        <w:jc w:val="both"/>
        <w:rPr>
          <w:rFonts w:cs="Arial"/>
        </w:rPr>
      </w:pPr>
      <w:r w:rsidRPr="00EC6A9E">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49E3E3B8" w14:textId="77777777" w:rsidR="009F775A" w:rsidRPr="00EC6A9E" w:rsidRDefault="009F775A" w:rsidP="009F775A">
      <w:pPr>
        <w:numPr>
          <w:ilvl w:val="0"/>
          <w:numId w:val="24"/>
        </w:numPr>
        <w:spacing w:line="276" w:lineRule="auto"/>
        <w:ind w:right="-1"/>
        <w:jc w:val="both"/>
        <w:rPr>
          <w:rFonts w:cs="Arial"/>
        </w:rPr>
      </w:pPr>
      <w:r w:rsidRPr="00EC6A9E">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46A3E196" w14:textId="77777777" w:rsidR="009F775A" w:rsidRPr="00EC6A9E" w:rsidRDefault="009F775A" w:rsidP="009F775A">
      <w:pPr>
        <w:numPr>
          <w:ilvl w:val="0"/>
          <w:numId w:val="24"/>
        </w:numPr>
        <w:spacing w:line="276" w:lineRule="auto"/>
        <w:ind w:right="-1"/>
        <w:jc w:val="both"/>
        <w:rPr>
          <w:rFonts w:cs="Arial"/>
        </w:rPr>
      </w:pPr>
      <w:r w:rsidRPr="00EC6A9E">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181205DF" w14:textId="77777777" w:rsidR="009F775A" w:rsidRPr="00EC6A9E" w:rsidRDefault="009F775A" w:rsidP="009F775A">
      <w:pPr>
        <w:numPr>
          <w:ilvl w:val="0"/>
          <w:numId w:val="24"/>
        </w:numPr>
        <w:spacing w:line="276" w:lineRule="auto"/>
        <w:ind w:right="-1"/>
        <w:jc w:val="both"/>
        <w:rPr>
          <w:rFonts w:cs="Arial"/>
        </w:rPr>
      </w:pPr>
      <w:r w:rsidRPr="00EC6A9E">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0677EF57" w14:textId="77777777" w:rsidR="009F775A" w:rsidRPr="00EC6A9E" w:rsidRDefault="009F775A" w:rsidP="009F775A">
      <w:pPr>
        <w:numPr>
          <w:ilvl w:val="0"/>
          <w:numId w:val="24"/>
        </w:numPr>
        <w:spacing w:line="276" w:lineRule="auto"/>
        <w:ind w:right="-1"/>
        <w:jc w:val="both"/>
        <w:rPr>
          <w:rFonts w:cs="Arial"/>
        </w:rPr>
      </w:pPr>
      <w:r w:rsidRPr="00EC6A9E">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4225A057" w14:textId="77777777" w:rsidR="009F775A" w:rsidRPr="00EC6A9E" w:rsidRDefault="009F775A" w:rsidP="009F775A">
      <w:pPr>
        <w:spacing w:line="276" w:lineRule="auto"/>
        <w:ind w:right="-1"/>
        <w:jc w:val="both"/>
        <w:rPr>
          <w:rFonts w:cs="Arial"/>
          <w:lang w:val="es-ES"/>
        </w:rPr>
      </w:pPr>
    </w:p>
    <w:p w14:paraId="38850B3D" w14:textId="77777777" w:rsidR="009F775A" w:rsidRPr="00EC6A9E" w:rsidRDefault="009F775A" w:rsidP="009F775A">
      <w:pPr>
        <w:pStyle w:val="Prrafodelista"/>
        <w:numPr>
          <w:ilvl w:val="0"/>
          <w:numId w:val="12"/>
        </w:numPr>
        <w:spacing w:after="240" w:line="276" w:lineRule="auto"/>
        <w:ind w:right="-1"/>
        <w:jc w:val="both"/>
        <w:rPr>
          <w:rFonts w:ascii="HelveticaNeueLT Std" w:hAnsi="HelveticaNeueLT Std"/>
          <w:b/>
          <w:sz w:val="20"/>
          <w:szCs w:val="20"/>
        </w:rPr>
      </w:pPr>
      <w:r w:rsidRPr="00EC6A9E">
        <w:rPr>
          <w:rFonts w:ascii="HelveticaNeueLT Std" w:hAnsi="HelveticaNeueLT Std"/>
          <w:b/>
          <w:sz w:val="20"/>
          <w:szCs w:val="20"/>
        </w:rPr>
        <w:t>Posición en Moneda Extranjera y Protección por Riesgo Cambiario</w:t>
      </w:r>
    </w:p>
    <w:p w14:paraId="79D6A651" w14:textId="1F1ED841" w:rsidR="002B5493" w:rsidRDefault="009F775A" w:rsidP="00B712A7">
      <w:pPr>
        <w:pStyle w:val="Texto"/>
        <w:spacing w:line="276" w:lineRule="auto"/>
        <w:ind w:right="-1" w:firstLine="0"/>
        <w:rPr>
          <w:rFonts w:ascii="HelveticaNeueLT Std" w:hAnsi="HelveticaNeueLT Std"/>
          <w:sz w:val="20"/>
        </w:rPr>
      </w:pPr>
      <w:r w:rsidRPr="00EC6A9E">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p>
    <w:p w14:paraId="7D5B0290" w14:textId="77777777" w:rsidR="002E7C1A" w:rsidRDefault="002E7C1A" w:rsidP="00B712A7">
      <w:pPr>
        <w:pStyle w:val="Texto"/>
        <w:spacing w:line="276" w:lineRule="auto"/>
        <w:ind w:right="-1" w:firstLine="0"/>
        <w:rPr>
          <w:rFonts w:ascii="HelveticaNeueLT Std" w:hAnsi="HelveticaNeueLT Std"/>
          <w:sz w:val="20"/>
        </w:rPr>
      </w:pPr>
    </w:p>
    <w:p w14:paraId="7215DC9A" w14:textId="6DED8E62" w:rsidR="00B712A7" w:rsidRPr="007342A4" w:rsidRDefault="00B712A7" w:rsidP="00403858">
      <w:pPr>
        <w:pStyle w:val="Texto"/>
        <w:numPr>
          <w:ilvl w:val="0"/>
          <w:numId w:val="12"/>
        </w:numPr>
        <w:spacing w:line="276" w:lineRule="auto"/>
        <w:ind w:right="-1"/>
        <w:rPr>
          <w:rFonts w:ascii="HelveticaNeueLT Std" w:hAnsi="HelveticaNeueLT Std"/>
          <w:b/>
          <w:sz w:val="20"/>
        </w:rPr>
      </w:pPr>
      <w:r w:rsidRPr="007342A4">
        <w:rPr>
          <w:rFonts w:ascii="HelveticaNeueLT Std" w:hAnsi="HelveticaNeueLT Std"/>
          <w:b/>
          <w:sz w:val="20"/>
        </w:rPr>
        <w:t>Reporte Analítico del Activo</w:t>
      </w:r>
    </w:p>
    <w:p w14:paraId="4BBCE506" w14:textId="77777777" w:rsidR="00B712A7" w:rsidRPr="007342A4" w:rsidRDefault="00B712A7" w:rsidP="00B712A7">
      <w:pPr>
        <w:pStyle w:val="Texto"/>
        <w:spacing w:after="0" w:line="240" w:lineRule="exact"/>
        <w:ind w:left="644" w:firstLine="0"/>
        <w:rPr>
          <w:rFonts w:ascii="HelveticaNeueLT Std" w:hAnsi="HelveticaNeueLT Std"/>
          <w:sz w:val="20"/>
          <w:lang w:val="es-MX"/>
        </w:rPr>
      </w:pPr>
      <w:r w:rsidRPr="007342A4">
        <w:rPr>
          <w:rFonts w:ascii="HelveticaNeueLT Std" w:hAnsi="HelveticaNeueLT Std"/>
          <w:noProof/>
          <w:sz w:val="20"/>
          <w:lang w:val="es-MX" w:eastAsia="es-MX"/>
        </w:rPr>
        <mc:AlternateContent>
          <mc:Choice Requires="wpc">
            <w:drawing>
              <wp:anchor distT="0" distB="0" distL="114300" distR="114300" simplePos="0" relativeHeight="251659264" behindDoc="0" locked="0" layoutInCell="1" allowOverlap="1" wp14:anchorId="158036D4" wp14:editId="72C41AC3">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A596492"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vxQAAANwAAAAPAAAAZHJzL2Rvd25yZXYueG1sRI/NasMw&#10;EITvhbyD2EIvpZFbG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AAf9OvxQAAANwAAAAP&#10;AAAAAAAAAAAAAAAAAAcCAABkcnMvZG93bnJldi54bWxQSwUGAAAAAAMAAwC3AAAA+QIAAAAA&#10;" fillcolor="#d4d4d4" stroked="f"/>
                <v:line id="Line 440" o:spid="_x0000_s1029" style="position:absolute;visibility:visible;mso-wrap-style:square" from="63627,3403" to="6363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41" o:spid="_x0000_s1030" style="position:absolute;left:63627;top:340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42" o:spid="_x0000_s1031" style="position:absolute;visibility:visible;mso-wrap-style:square" from="63627,4972" to="6363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43" o:spid="_x0000_s1032" style="position:absolute;left:63627;top:4972;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44" o:spid="_x0000_s1033" style="position:absolute;visibility:visible;mso-wrap-style:square" from="63627,6216" to="6363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45" o:spid="_x0000_s1034" style="position:absolute;left:63627;top:621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46" o:spid="_x0000_s1035" style="position:absolute;visibility:visible;mso-wrap-style:square" from="63627,7334" to="63633,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47" o:spid="_x0000_s1036" style="position:absolute;left:63627;top:733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48" o:spid="_x0000_s1037" style="position:absolute;visibility:visible;mso-wrap-style:square" from="63627,8445" to="63633,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49" o:spid="_x0000_s1038" style="position:absolute;left:63627;top:8445;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50" o:spid="_x0000_s1039" style="position:absolute;visibility:visible;mso-wrap-style:square" from="63627,9556" to="63633,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51" o:spid="_x0000_s1040" style="position:absolute;left:63627;top:955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52" o:spid="_x0000_s1041" style="position:absolute;visibility:visible;mso-wrap-style:square" from="63627,10674" to="63633,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53" o:spid="_x0000_s1042" style="position:absolute;left:63627;top:1067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54" o:spid="_x0000_s1043" style="position:absolute;visibility:visible;mso-wrap-style:square" from="63627,12376" to="6363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55" o:spid="_x0000_s1044" style="position:absolute;left:63627;top:1237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56" o:spid="_x0000_s1045" style="position:absolute;visibility:visible;mso-wrap-style:square" from="63627,13487" to="63633,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57" o:spid="_x0000_s1046" style="position:absolute;left:63627;top:13487;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58" o:spid="_x0000_s1047" style="position:absolute;visibility:visible;mso-wrap-style:square" from="63627,14598" to="63633,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59" o:spid="_x0000_s1048" style="position:absolute;left:63627;top:14598;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60" o:spid="_x0000_s1049" style="position:absolute;visibility:visible;mso-wrap-style:square" from="63627,15716" to="63633,1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61" o:spid="_x0000_s1050" style="position:absolute;left:63627;top:1571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62" o:spid="_x0000_s1051" style="position:absolute;visibility:visible;mso-wrap-style:square" from="63627,16827" to="63633,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63" o:spid="_x0000_s1052" style="position:absolute;left:63627;top:1682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64" o:spid="_x0000_s1053" style="position:absolute;visibility:visible;mso-wrap-style:square" from="63627,17938" to="63633,1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65" o:spid="_x0000_s1054" style="position:absolute;left:63627;top:1793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66" o:spid="_x0000_s1055" style="position:absolute;visibility:visible;mso-wrap-style:square" from="63627,19119" to="63633,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67" o:spid="_x0000_s1056" style="position:absolute;left:63627;top:1911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group>
            </w:pict>
          </mc:Fallback>
        </mc:AlternateContent>
      </w:r>
      <w:r w:rsidRPr="007342A4">
        <w:rPr>
          <w:rFonts w:ascii="HelveticaNeueLT Std" w:hAnsi="HelveticaNeueLT Std"/>
          <w:sz w:val="20"/>
          <w:lang w:val="es-MX"/>
        </w:rPr>
        <w:t>En el “</w:t>
      </w:r>
      <w:r w:rsidRPr="007342A4">
        <w:rPr>
          <w:rFonts w:ascii="HelveticaNeueLT Std" w:hAnsi="HelveticaNeueLT Std"/>
          <w:b/>
          <w:sz w:val="20"/>
          <w:lang w:val="es-MX"/>
        </w:rPr>
        <w:t xml:space="preserve">Estado Analítico del Activo”, </w:t>
      </w:r>
      <w:r w:rsidRPr="007342A4">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7342A4">
        <w:rPr>
          <w:rFonts w:ascii="HelveticaNeueLT Std" w:hAnsi="HelveticaNeueLT Std"/>
          <w:b/>
          <w:sz w:val="20"/>
          <w:lang w:val="es-MX"/>
        </w:rPr>
        <w:t xml:space="preserve"> bienes muebles e inmuebles, </w:t>
      </w:r>
      <w:r w:rsidRPr="007342A4">
        <w:rPr>
          <w:rFonts w:ascii="HelveticaNeueLT Std" w:hAnsi="HelveticaNeueLT Std"/>
          <w:sz w:val="20"/>
          <w:lang w:val="es-MX"/>
        </w:rPr>
        <w:t>como</w:t>
      </w:r>
      <w:r w:rsidRPr="007342A4">
        <w:rPr>
          <w:rFonts w:ascii="HelveticaNeueLT Std" w:hAnsi="HelveticaNeueLT Std"/>
          <w:b/>
          <w:sz w:val="20"/>
          <w:lang w:val="es-MX"/>
        </w:rPr>
        <w:t xml:space="preserve"> </w:t>
      </w:r>
      <w:r w:rsidRPr="007342A4">
        <w:rPr>
          <w:rFonts w:ascii="HelveticaNeueLT Std" w:hAnsi="HelveticaNeueLT Std"/>
          <w:sz w:val="20"/>
          <w:lang w:val="es-MX"/>
        </w:rPr>
        <w:t>se detallan a continuación:</w:t>
      </w:r>
    </w:p>
    <w:p w14:paraId="28AAF25F" w14:textId="77777777" w:rsidR="00B712A7" w:rsidRPr="003E7D79" w:rsidRDefault="00B712A7" w:rsidP="00B712A7">
      <w:pPr>
        <w:pStyle w:val="Prrafodelista"/>
        <w:tabs>
          <w:tab w:val="left" w:pos="7080"/>
        </w:tabs>
        <w:spacing w:after="101" w:line="276" w:lineRule="auto"/>
        <w:ind w:left="644" w:right="-1"/>
        <w:rPr>
          <w:rFonts w:ascii="HelveticaNeueLT Std" w:hAnsi="HelveticaNeueLT Std"/>
          <w:b/>
          <w:sz w:val="20"/>
          <w:szCs w:val="20"/>
          <w:highlight w:val="yellow"/>
        </w:rPr>
      </w:pPr>
    </w:p>
    <w:p w14:paraId="4120DC29" w14:textId="77777777" w:rsidR="00B712A7" w:rsidRPr="003E7D79" w:rsidRDefault="00B712A7" w:rsidP="002E7C1A">
      <w:pPr>
        <w:pStyle w:val="Prrafodelista"/>
        <w:tabs>
          <w:tab w:val="left" w:pos="7080"/>
        </w:tabs>
        <w:spacing w:after="101" w:line="276" w:lineRule="auto"/>
        <w:ind w:left="644" w:right="-1"/>
        <w:jc w:val="center"/>
        <w:rPr>
          <w:rFonts w:ascii="HelveticaNeueLT Std" w:hAnsi="HelveticaNeueLT Std"/>
          <w:b/>
          <w:sz w:val="20"/>
          <w:szCs w:val="20"/>
          <w:highlight w:val="yellow"/>
        </w:rPr>
      </w:pPr>
      <w:r w:rsidRPr="007B627E">
        <w:rPr>
          <w:noProof/>
        </w:rPr>
        <w:drawing>
          <wp:inline distT="0" distB="0" distL="0" distR="0" wp14:anchorId="6843A113" wp14:editId="0296A75D">
            <wp:extent cx="4542349" cy="16426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8836" cy="1644967"/>
                    </a:xfrm>
                    <a:prstGeom prst="rect">
                      <a:avLst/>
                    </a:prstGeom>
                    <a:noFill/>
                    <a:ln>
                      <a:noFill/>
                    </a:ln>
                  </pic:spPr>
                </pic:pic>
              </a:graphicData>
            </a:graphic>
          </wp:inline>
        </w:drawing>
      </w:r>
    </w:p>
    <w:p w14:paraId="24AAECD5" w14:textId="77777777" w:rsidR="00B712A7" w:rsidRPr="007342A4" w:rsidRDefault="00B712A7" w:rsidP="00B712A7">
      <w:pPr>
        <w:pStyle w:val="Texto"/>
        <w:spacing w:line="276" w:lineRule="auto"/>
        <w:ind w:right="-1" w:firstLine="0"/>
        <w:rPr>
          <w:rFonts w:ascii="HelveticaNeueLT Std" w:hAnsi="HelveticaNeueLT Std"/>
          <w:sz w:val="20"/>
          <w:lang w:val="es-MX"/>
        </w:rPr>
      </w:pPr>
      <w:r w:rsidRPr="007342A4">
        <w:rPr>
          <w:rFonts w:ascii="HelveticaNeueLT Std" w:hAnsi="HelveticaNeueLT Std"/>
          <w:b/>
          <w:sz w:val="20"/>
          <w:lang w:val="es-MX"/>
        </w:rPr>
        <w:t xml:space="preserve">Depreciación. - </w:t>
      </w:r>
      <w:r w:rsidRPr="007342A4">
        <w:rPr>
          <w:rFonts w:ascii="HelveticaNeueLT Std" w:hAnsi="HelveticaNeueLT Std"/>
          <w:sz w:val="20"/>
          <w:lang w:val="es-MX"/>
        </w:rPr>
        <w:t>Se calcula por el método de línea recta a partir del mes siguiente al de su adquisición, aplicando los porcentajes siguientes:</w:t>
      </w:r>
    </w:p>
    <w:tbl>
      <w:tblPr>
        <w:tblStyle w:val="Tablaconcuadrcula"/>
        <w:tblW w:w="0" w:type="auto"/>
        <w:tblInd w:w="1134" w:type="dxa"/>
        <w:tblLook w:val="04A0" w:firstRow="1" w:lastRow="0" w:firstColumn="1" w:lastColumn="0" w:noHBand="0" w:noVBand="1"/>
      </w:tblPr>
      <w:tblGrid>
        <w:gridCol w:w="4746"/>
        <w:gridCol w:w="2824"/>
      </w:tblGrid>
      <w:tr w:rsidR="00B712A7" w:rsidRPr="003E7D79" w14:paraId="1945C66E" w14:textId="77777777" w:rsidTr="0048790F">
        <w:trPr>
          <w:trHeight w:val="872"/>
        </w:trPr>
        <w:tc>
          <w:tcPr>
            <w:tcW w:w="4746" w:type="dxa"/>
          </w:tcPr>
          <w:p w14:paraId="4C4C7C59" w14:textId="77777777" w:rsidR="00B712A7" w:rsidRPr="007342A4" w:rsidRDefault="00B712A7" w:rsidP="0048790F">
            <w:pPr>
              <w:spacing w:line="276" w:lineRule="auto"/>
              <w:ind w:right="-1"/>
              <w:jc w:val="both"/>
              <w:rPr>
                <w:rFonts w:ascii="HelveticaNeueLT Std" w:eastAsia="Times New Roman" w:hAnsi="HelveticaNeueLT Std"/>
                <w:b/>
                <w:color w:val="000000"/>
                <w:u w:val="single"/>
              </w:rPr>
            </w:pPr>
            <w:r w:rsidRPr="007342A4">
              <w:rPr>
                <w:rFonts w:ascii="HelveticaNeueLT Std" w:eastAsia="Times New Roman" w:hAnsi="HelveticaNeueLT Std"/>
                <w:b/>
                <w:color w:val="000000"/>
                <w:u w:val="single"/>
              </w:rPr>
              <w:t>Concepto</w:t>
            </w:r>
          </w:p>
          <w:p w14:paraId="2D4B3B6C" w14:textId="77777777" w:rsidR="00B712A7" w:rsidRPr="007342A4" w:rsidRDefault="00B712A7" w:rsidP="0048790F">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 xml:space="preserve">Edificios </w:t>
            </w:r>
          </w:p>
          <w:p w14:paraId="3A3376F3" w14:textId="77777777" w:rsidR="00B712A7" w:rsidRPr="007342A4" w:rsidRDefault="00B712A7" w:rsidP="0048790F">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Equipo de cómputo</w:t>
            </w:r>
            <w:r w:rsidRPr="007342A4">
              <w:rPr>
                <w:rFonts w:ascii="HelveticaNeueLT Std" w:eastAsia="Times New Roman" w:hAnsi="HelveticaNeueLT Std"/>
                <w:color w:val="000000"/>
              </w:rPr>
              <w:tab/>
            </w:r>
          </w:p>
          <w:p w14:paraId="63672483" w14:textId="77777777" w:rsidR="00B712A7" w:rsidRPr="007342A4" w:rsidRDefault="00B712A7" w:rsidP="0048790F">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Mobiliario y equipo de oficina</w:t>
            </w:r>
          </w:p>
          <w:p w14:paraId="06F0A670" w14:textId="77777777" w:rsidR="00B712A7" w:rsidRPr="007342A4" w:rsidRDefault="00B712A7" w:rsidP="0048790F">
            <w:pPr>
              <w:spacing w:line="276" w:lineRule="auto"/>
              <w:ind w:right="-1"/>
              <w:rPr>
                <w:rFonts w:ascii="HelveticaNeueLT Std" w:eastAsia="Times New Roman" w:hAnsi="HelveticaNeueLT Std"/>
                <w:color w:val="000000"/>
              </w:rPr>
            </w:pPr>
            <w:r w:rsidRPr="007342A4">
              <w:rPr>
                <w:rFonts w:ascii="HelveticaNeueLT Std" w:eastAsia="Times New Roman" w:hAnsi="HelveticaNeueLT Std"/>
                <w:color w:val="000000"/>
              </w:rPr>
              <w:t>Maquinaria</w:t>
            </w:r>
            <w:r w:rsidRPr="007342A4">
              <w:rPr>
                <w:rFonts w:ascii="HelveticaNeueLT Std" w:eastAsia="Times New Roman" w:hAnsi="HelveticaNeueLT Std"/>
                <w:color w:val="000000"/>
              </w:rPr>
              <w:tab/>
            </w:r>
          </w:p>
          <w:p w14:paraId="592DB8EE" w14:textId="77777777" w:rsidR="00B712A7" w:rsidRPr="007342A4" w:rsidRDefault="00B712A7" w:rsidP="0048790F">
            <w:pPr>
              <w:spacing w:line="276" w:lineRule="auto"/>
              <w:ind w:right="-1"/>
              <w:rPr>
                <w:rFonts w:ascii="HelveticaNeueLT Std" w:eastAsia="Times New Roman" w:hAnsi="HelveticaNeueLT Std"/>
              </w:rPr>
            </w:pPr>
            <w:r w:rsidRPr="007342A4">
              <w:rPr>
                <w:rFonts w:ascii="HelveticaNeueLT Std" w:eastAsia="Times New Roman" w:hAnsi="HelveticaNeueLT Std"/>
                <w:color w:val="000000"/>
              </w:rPr>
              <w:t>Vehículos</w:t>
            </w:r>
          </w:p>
        </w:tc>
        <w:tc>
          <w:tcPr>
            <w:tcW w:w="2824" w:type="dxa"/>
          </w:tcPr>
          <w:p w14:paraId="4A1C5CAD"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Tasa</w:t>
            </w:r>
          </w:p>
          <w:p w14:paraId="3D1C2700"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2%</w:t>
            </w:r>
          </w:p>
          <w:p w14:paraId="7C10EFC8"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20%</w:t>
            </w:r>
          </w:p>
          <w:p w14:paraId="30CBC21E"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3%</w:t>
            </w:r>
          </w:p>
          <w:p w14:paraId="13E2D97C"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10%</w:t>
            </w:r>
          </w:p>
          <w:p w14:paraId="00BE22B2" w14:textId="77777777" w:rsidR="00B712A7" w:rsidRPr="007342A4" w:rsidRDefault="00B712A7" w:rsidP="0048790F">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10%</w:t>
            </w:r>
          </w:p>
        </w:tc>
      </w:tr>
    </w:tbl>
    <w:p w14:paraId="24DA338B" w14:textId="77777777" w:rsidR="00B712A7" w:rsidRPr="00842256" w:rsidRDefault="00B712A7" w:rsidP="00B712A7">
      <w:pPr>
        <w:pStyle w:val="Texto"/>
        <w:tabs>
          <w:tab w:val="left" w:pos="1803"/>
        </w:tabs>
        <w:spacing w:line="276" w:lineRule="auto"/>
        <w:ind w:right="-1" w:firstLine="0"/>
        <w:rPr>
          <w:rFonts w:ascii="HelveticaNeueLT Std" w:hAnsi="HelveticaNeueLT Std"/>
          <w:b/>
          <w:sz w:val="20"/>
          <w:lang w:val="es-MX"/>
        </w:rPr>
      </w:pPr>
    </w:p>
    <w:p w14:paraId="61F828B5" w14:textId="77777777" w:rsidR="00B712A7" w:rsidRPr="00842256" w:rsidRDefault="00B712A7" w:rsidP="00B712A7">
      <w:pPr>
        <w:tabs>
          <w:tab w:val="left" w:pos="1803"/>
        </w:tabs>
        <w:spacing w:after="101" w:line="276" w:lineRule="auto"/>
        <w:ind w:right="-1"/>
        <w:jc w:val="both"/>
        <w:rPr>
          <w:rFonts w:eastAsia="Times New Roman" w:cs="Arial"/>
          <w:color w:val="000000"/>
          <w:lang w:eastAsia="es-ES"/>
        </w:rPr>
      </w:pPr>
      <w:r w:rsidRPr="00842256">
        <w:rPr>
          <w:rFonts w:eastAsia="Times New Roman" w:cs="Arial"/>
          <w:b/>
          <w:lang w:eastAsia="es-ES"/>
        </w:rPr>
        <w:t>Depreciación, Deterioro y Amortización Acumulada de Bienes</w:t>
      </w:r>
      <w:r w:rsidRPr="00842256">
        <w:rPr>
          <w:rFonts w:eastAsia="Times New Roman" w:cs="Arial"/>
          <w:lang w:eastAsia="es-ES"/>
        </w:rPr>
        <w:t xml:space="preserve">. - El saldo de 144, 644, 724.80, se integra con las siguientes cuentas, dando un total neto en el rubro de activo fijo </w:t>
      </w:r>
      <w:r w:rsidRPr="00842256">
        <w:rPr>
          <w:rFonts w:eastAsia="Times New Roman" w:cs="Arial"/>
          <w:color w:val="000000"/>
          <w:lang w:eastAsia="es-ES"/>
        </w:rPr>
        <w:t>de 169, 144, 426.50.</w:t>
      </w:r>
    </w:p>
    <w:p w14:paraId="083E9BB6" w14:textId="77777777" w:rsidR="00B712A7" w:rsidRPr="00842256" w:rsidRDefault="00B712A7" w:rsidP="00B712A7">
      <w:pPr>
        <w:spacing w:after="101" w:line="276" w:lineRule="auto"/>
        <w:ind w:right="-1"/>
        <w:jc w:val="both"/>
        <w:rPr>
          <w:rFonts w:eastAsia="Times New Roman" w:cs="Arial"/>
          <w:lang w:eastAsia="es-ES"/>
        </w:rPr>
      </w:pPr>
      <w:r w:rsidRPr="00842256">
        <w:rPr>
          <w:rFonts w:eastAsia="Times New Roman" w:cs="Arial"/>
          <w:b/>
          <w:lang w:eastAsia="es-ES"/>
        </w:rPr>
        <w:t>Depreciación Acumulada de Bienes Inmuebles. -</w:t>
      </w:r>
      <w:r w:rsidRPr="00842256">
        <w:rPr>
          <w:rFonts w:eastAsia="Times New Roman" w:cs="Arial"/>
          <w:lang w:eastAsia="es-ES"/>
        </w:rPr>
        <w:t xml:space="preserve"> El saldo de 8</w:t>
      </w:r>
      <w:proofErr w:type="gramStart"/>
      <w:r w:rsidRPr="00842256">
        <w:rPr>
          <w:rFonts w:eastAsia="Times New Roman" w:cs="Arial"/>
          <w:lang w:eastAsia="es-ES"/>
        </w:rPr>
        <w:t>,010,129.78</w:t>
      </w:r>
      <w:proofErr w:type="gramEnd"/>
      <w:r w:rsidRPr="00842256">
        <w:rPr>
          <w:rFonts w:eastAsia="Times New Roman" w:cs="Arial"/>
          <w:lang w:eastAsia="es-ES"/>
        </w:rPr>
        <w:t>, es el importe de la disminución a valores históricos de los bienes inmuebles del Instituto, el total neto en la cuenta de Edificios No Habitacionales es por 78,315,605.41.</w:t>
      </w:r>
    </w:p>
    <w:p w14:paraId="64E838C8" w14:textId="77777777" w:rsidR="00B712A7" w:rsidRPr="00842256" w:rsidRDefault="00B712A7" w:rsidP="00B712A7">
      <w:pPr>
        <w:spacing w:after="101" w:line="276" w:lineRule="auto"/>
        <w:ind w:right="-1"/>
        <w:jc w:val="both"/>
        <w:rPr>
          <w:rFonts w:eastAsia="Times New Roman" w:cs="Arial"/>
          <w:lang w:eastAsia="es-ES"/>
        </w:rPr>
      </w:pPr>
      <w:r w:rsidRPr="00842256">
        <w:rPr>
          <w:rFonts w:eastAsia="Times New Roman" w:cs="Arial"/>
          <w:b/>
          <w:lang w:eastAsia="es-ES"/>
        </w:rPr>
        <w:t>Depreciación Acumulada de Bienes Muebles. -</w:t>
      </w:r>
      <w:r w:rsidRPr="00842256">
        <w:rPr>
          <w:rFonts w:eastAsia="Times New Roman" w:cs="Arial"/>
          <w:lang w:eastAsia="es-ES"/>
        </w:rPr>
        <w:t xml:space="preserve"> El saldo de 136</w:t>
      </w:r>
      <w:proofErr w:type="gramStart"/>
      <w:r w:rsidRPr="00842256">
        <w:rPr>
          <w:rFonts w:eastAsia="Times New Roman" w:cs="Arial"/>
          <w:lang w:eastAsia="es-ES"/>
        </w:rPr>
        <w:t>,634,595.02</w:t>
      </w:r>
      <w:proofErr w:type="gramEnd"/>
      <w:r w:rsidRPr="00842256">
        <w:rPr>
          <w:rFonts w:eastAsia="Times New Roman" w:cs="Arial"/>
          <w:lang w:eastAsia="es-ES"/>
        </w:rPr>
        <w:t>, es el importe de la disminución a valores históricos de los bienes muebles del Instituto, dando un total neto en este rubro por 90,828,821.09.</w:t>
      </w:r>
    </w:p>
    <w:p w14:paraId="3BD73C2E" w14:textId="30FF177B" w:rsidR="00B712A7" w:rsidRPr="00B90DB9" w:rsidRDefault="00B712A7" w:rsidP="00B90DB9">
      <w:pPr>
        <w:pStyle w:val="Prrafodelista"/>
        <w:numPr>
          <w:ilvl w:val="0"/>
          <w:numId w:val="12"/>
        </w:numPr>
        <w:spacing w:line="259" w:lineRule="auto"/>
        <w:rPr>
          <w:rFonts w:ascii="HelveticaNeueLT Std" w:hAnsi="HelveticaNeueLT Std"/>
          <w:b/>
          <w:sz w:val="20"/>
          <w:szCs w:val="20"/>
        </w:rPr>
      </w:pPr>
      <w:r w:rsidRPr="00B90DB9">
        <w:rPr>
          <w:rFonts w:ascii="HelveticaNeueLT Std" w:hAnsi="HelveticaNeueLT Std"/>
          <w:b/>
          <w:sz w:val="20"/>
          <w:szCs w:val="20"/>
        </w:rPr>
        <w:t>Fideicomisos, Mandatos y Análogos</w:t>
      </w:r>
    </w:p>
    <w:p w14:paraId="06E40BB7" w14:textId="77777777" w:rsidR="002E7C1A" w:rsidRPr="002E7C1A" w:rsidRDefault="002E7C1A" w:rsidP="002E7C1A">
      <w:pPr>
        <w:pStyle w:val="Prrafodelista"/>
        <w:spacing w:line="259" w:lineRule="auto"/>
        <w:rPr>
          <w:rFonts w:ascii="HelveticaNeueLT Std" w:hAnsi="HelveticaNeueLT Std" w:cs="Arial"/>
          <w:sz w:val="20"/>
          <w:szCs w:val="20"/>
          <w:lang w:eastAsia="es-ES"/>
        </w:rPr>
      </w:pPr>
    </w:p>
    <w:p w14:paraId="4B2C7D4A" w14:textId="77777777" w:rsidR="00B712A7" w:rsidRPr="002E7C1A" w:rsidRDefault="00B712A7" w:rsidP="00B712A7">
      <w:pPr>
        <w:numPr>
          <w:ilvl w:val="0"/>
          <w:numId w:val="13"/>
        </w:numPr>
        <w:spacing w:after="240" w:line="276" w:lineRule="auto"/>
        <w:ind w:right="-1"/>
        <w:jc w:val="both"/>
        <w:rPr>
          <w:rFonts w:cs="Arial"/>
        </w:rPr>
      </w:pPr>
      <w:r w:rsidRPr="002E7C1A">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04CF4BCA" w14:textId="77777777" w:rsidR="00B712A7" w:rsidRPr="002E7C1A" w:rsidRDefault="00B712A7" w:rsidP="00B712A7">
      <w:pPr>
        <w:numPr>
          <w:ilvl w:val="0"/>
          <w:numId w:val="13"/>
        </w:numPr>
        <w:spacing w:after="240" w:line="276" w:lineRule="auto"/>
        <w:ind w:right="-1"/>
        <w:jc w:val="both"/>
        <w:rPr>
          <w:rFonts w:cs="Arial"/>
        </w:rPr>
      </w:pPr>
      <w:r w:rsidRPr="002E7C1A">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1F9B37F0" w14:textId="77777777" w:rsidR="00B712A7" w:rsidRPr="002E7C1A" w:rsidRDefault="00B712A7" w:rsidP="00B712A7">
      <w:pPr>
        <w:numPr>
          <w:ilvl w:val="0"/>
          <w:numId w:val="13"/>
        </w:numPr>
        <w:spacing w:after="240" w:line="276" w:lineRule="auto"/>
        <w:ind w:right="-1"/>
        <w:jc w:val="both"/>
        <w:rPr>
          <w:rFonts w:cs="Arial"/>
        </w:rPr>
      </w:pPr>
      <w:r w:rsidRPr="002E7C1A">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20BDA477" w14:textId="77777777" w:rsidR="00B712A7" w:rsidRPr="002E7C1A" w:rsidRDefault="00B712A7" w:rsidP="00B712A7">
      <w:pPr>
        <w:numPr>
          <w:ilvl w:val="0"/>
          <w:numId w:val="13"/>
        </w:numPr>
        <w:spacing w:after="240" w:line="276" w:lineRule="auto"/>
        <w:ind w:right="-1"/>
        <w:jc w:val="both"/>
        <w:rPr>
          <w:rFonts w:cs="Arial"/>
        </w:rPr>
      </w:pPr>
      <w:r w:rsidRPr="002E7C1A">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2E7C1A">
        <w:rPr>
          <w:rFonts w:cs="Arial"/>
        </w:rPr>
        <w:t>Invex</w:t>
      </w:r>
      <w:proofErr w:type="spellEnd"/>
      <w:r w:rsidRPr="002E7C1A">
        <w:rPr>
          <w:rFonts w:cs="Arial"/>
        </w:rPr>
        <w:t xml:space="preserve">, S.A., Institución de Banca Múltiple </w:t>
      </w:r>
      <w:proofErr w:type="spellStart"/>
      <w:r w:rsidRPr="002E7C1A">
        <w:rPr>
          <w:rFonts w:cs="Arial"/>
        </w:rPr>
        <w:t>Invex</w:t>
      </w:r>
      <w:proofErr w:type="spellEnd"/>
      <w:r w:rsidRPr="002E7C1A">
        <w:rPr>
          <w:rFonts w:cs="Arial"/>
        </w:rPr>
        <w:t xml:space="preserve"> Grupo Financiero y </w:t>
      </w:r>
      <w:proofErr w:type="spellStart"/>
      <w:r w:rsidRPr="002E7C1A">
        <w:rPr>
          <w:rFonts w:cs="Arial"/>
        </w:rPr>
        <w:t>Monex</w:t>
      </w:r>
      <w:proofErr w:type="spellEnd"/>
      <w:r w:rsidRPr="002E7C1A">
        <w:rPr>
          <w:rFonts w:cs="Arial"/>
        </w:rPr>
        <w:t xml:space="preserve"> Casa de Bolsa, S.A. de C.V., como “Fiduciarios” representantes comunes de los tenedores de los Certificados Bursátiles Fiduciarios Series “A” y “B”.</w:t>
      </w:r>
    </w:p>
    <w:p w14:paraId="265B3E80" w14:textId="77777777" w:rsidR="00B712A7" w:rsidRPr="002E7C1A" w:rsidRDefault="00B712A7" w:rsidP="00B712A7">
      <w:pPr>
        <w:numPr>
          <w:ilvl w:val="0"/>
          <w:numId w:val="13"/>
        </w:numPr>
        <w:spacing w:line="276" w:lineRule="auto"/>
        <w:ind w:right="-1"/>
        <w:jc w:val="both"/>
        <w:rPr>
          <w:rFonts w:cs="Arial"/>
        </w:rPr>
      </w:pPr>
      <w:r w:rsidRPr="002E7C1A">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2E7C1A">
        <w:rPr>
          <w:rFonts w:cs="Arial"/>
        </w:rPr>
        <w:t>Monex</w:t>
      </w:r>
      <w:proofErr w:type="spellEnd"/>
      <w:r w:rsidRPr="002E7C1A">
        <w:rPr>
          <w:rFonts w:cs="Arial"/>
        </w:rPr>
        <w:t xml:space="preserve"> Casa de Bolsa, S.A. de C.V., </w:t>
      </w:r>
      <w:proofErr w:type="spellStart"/>
      <w:r w:rsidRPr="002E7C1A">
        <w:rPr>
          <w:rFonts w:cs="Arial"/>
        </w:rPr>
        <w:t>Monex</w:t>
      </w:r>
      <w:proofErr w:type="spellEnd"/>
      <w:r w:rsidRPr="002E7C1A">
        <w:rPr>
          <w:rFonts w:cs="Arial"/>
        </w:rPr>
        <w:t xml:space="preserve"> Grupo Financiero, como representante común de los tenedores de los Certificados Bursátiles y </w:t>
      </w:r>
    </w:p>
    <w:p w14:paraId="1579831A" w14:textId="77777777" w:rsidR="00B712A7" w:rsidRPr="002E7C1A" w:rsidRDefault="00B712A7" w:rsidP="00B712A7">
      <w:pPr>
        <w:spacing w:line="276" w:lineRule="auto"/>
        <w:ind w:left="786" w:right="-1"/>
        <w:jc w:val="both"/>
        <w:rPr>
          <w:rFonts w:cs="Arial"/>
        </w:rPr>
      </w:pPr>
      <w:proofErr w:type="spellStart"/>
      <w:r w:rsidRPr="002E7C1A">
        <w:rPr>
          <w:rFonts w:cs="Arial"/>
        </w:rPr>
        <w:t>The</w:t>
      </w:r>
      <w:proofErr w:type="spellEnd"/>
      <w:r w:rsidRPr="002E7C1A">
        <w:rPr>
          <w:rFonts w:cs="Arial"/>
        </w:rPr>
        <w:t xml:space="preserve"> Bank of New York </w:t>
      </w:r>
      <w:proofErr w:type="spellStart"/>
      <w:r w:rsidRPr="002E7C1A">
        <w:rPr>
          <w:rFonts w:cs="Arial"/>
        </w:rPr>
        <w:t>Mellon</w:t>
      </w:r>
      <w:proofErr w:type="spellEnd"/>
      <w:r w:rsidRPr="002E7C1A">
        <w:rPr>
          <w:rFonts w:cs="Arial"/>
        </w:rPr>
        <w:t>, S.A., Institución de Banca Múltiple como mandatario del Garante “A” y del Garante “B”.</w:t>
      </w:r>
    </w:p>
    <w:p w14:paraId="71A744AC" w14:textId="77777777" w:rsidR="00B712A7" w:rsidRPr="002E7C1A" w:rsidRDefault="00B712A7" w:rsidP="00B712A7">
      <w:pPr>
        <w:pStyle w:val="Prrafodelista"/>
        <w:numPr>
          <w:ilvl w:val="0"/>
          <w:numId w:val="13"/>
        </w:numPr>
        <w:spacing w:line="259" w:lineRule="auto"/>
        <w:rPr>
          <w:rFonts w:ascii="HelveticaNeueLT Std" w:hAnsi="HelveticaNeueLT Std" w:cs="Arial"/>
          <w:sz w:val="20"/>
          <w:szCs w:val="20"/>
        </w:rPr>
      </w:pPr>
      <w:r w:rsidRPr="002E7C1A">
        <w:rPr>
          <w:rFonts w:ascii="HelveticaNeueLT Std" w:hAnsi="HelveticaNeueLT Std" w:cs="Arial"/>
          <w:sz w:val="20"/>
          <w:szCs w:val="20"/>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39027E95" w14:textId="77777777" w:rsidR="00B712A7" w:rsidRPr="002E7C1A" w:rsidRDefault="00B712A7" w:rsidP="00B712A7">
      <w:pPr>
        <w:numPr>
          <w:ilvl w:val="0"/>
          <w:numId w:val="13"/>
        </w:numPr>
        <w:spacing w:line="276" w:lineRule="auto"/>
        <w:ind w:right="-1"/>
        <w:jc w:val="both"/>
        <w:rPr>
          <w:rFonts w:cs="Arial"/>
        </w:rPr>
      </w:pPr>
      <w:r w:rsidRPr="002E7C1A">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2E7C1A">
        <w:rPr>
          <w:rFonts w:cs="Arial"/>
        </w:rPr>
        <w:t>Treasury</w:t>
      </w:r>
      <w:proofErr w:type="spellEnd"/>
      <w:r w:rsidRPr="002E7C1A">
        <w:rPr>
          <w:rFonts w:cs="Arial"/>
        </w:rPr>
        <w:t xml:space="preserve"> </w:t>
      </w:r>
      <w:proofErr w:type="spellStart"/>
      <w:r w:rsidRPr="002E7C1A">
        <w:rPr>
          <w:rFonts w:cs="Arial"/>
        </w:rPr>
        <w:t>Cost</w:t>
      </w:r>
      <w:proofErr w:type="spellEnd"/>
      <w:r w:rsidRPr="002E7C1A">
        <w:rPr>
          <w:rFonts w:cs="Arial"/>
        </w:rPr>
        <w:t xml:space="preserve">, más 3.5 por ciento, y (ii) “B” por un monto de 1 mil 300 millones de pesos, con una tasa de interés anual igual al resultado de multiplicar 1.10 por la tasa moratoria que se establece en el </w:t>
      </w:r>
      <w:proofErr w:type="spellStart"/>
      <w:r w:rsidRPr="002E7C1A">
        <w:rPr>
          <w:rFonts w:cs="Arial"/>
        </w:rPr>
        <w:t>Macrotítulo</w:t>
      </w:r>
      <w:proofErr w:type="spellEnd"/>
      <w:r w:rsidRPr="002E7C1A">
        <w:rPr>
          <w:rFonts w:cs="Arial"/>
        </w:rPr>
        <w:t xml:space="preserve"> de los Certificados Bursátiles Fiduciarios Serie “B”, y se encuentran respaldados por los remanentes del Fideicomiso de Cobranza.</w:t>
      </w:r>
    </w:p>
    <w:p w14:paraId="2FBEFCF6" w14:textId="77777777" w:rsidR="00B712A7" w:rsidRPr="002E7C1A" w:rsidRDefault="00B712A7" w:rsidP="00B712A7">
      <w:pPr>
        <w:numPr>
          <w:ilvl w:val="0"/>
          <w:numId w:val="13"/>
        </w:numPr>
        <w:spacing w:line="276" w:lineRule="auto"/>
        <w:ind w:right="-1"/>
        <w:jc w:val="both"/>
        <w:rPr>
          <w:rFonts w:cs="Arial"/>
        </w:rPr>
      </w:pPr>
      <w:r w:rsidRPr="002E7C1A">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4CFB333F" w14:textId="77777777" w:rsidR="00B712A7" w:rsidRPr="002E7C1A" w:rsidRDefault="00B712A7" w:rsidP="00B712A7">
      <w:pPr>
        <w:numPr>
          <w:ilvl w:val="0"/>
          <w:numId w:val="13"/>
        </w:numPr>
        <w:spacing w:after="240" w:line="276" w:lineRule="auto"/>
        <w:ind w:right="-1"/>
        <w:jc w:val="both"/>
        <w:rPr>
          <w:rFonts w:cs="Arial"/>
        </w:rPr>
      </w:pPr>
      <w:r w:rsidRPr="002E7C1A">
        <w:rPr>
          <w:rFonts w:cs="Arial"/>
        </w:rPr>
        <w:t xml:space="preserve">Adicionalmente los CBFS Serie A contarán con una garantía financiera de </w:t>
      </w:r>
      <w:proofErr w:type="spellStart"/>
      <w:r w:rsidRPr="002E7C1A">
        <w:rPr>
          <w:rFonts w:cs="Arial"/>
        </w:rPr>
        <w:t>Overseas</w:t>
      </w:r>
      <w:proofErr w:type="spellEnd"/>
      <w:r w:rsidRPr="002E7C1A">
        <w:rPr>
          <w:rFonts w:cs="Arial"/>
        </w:rPr>
        <w:t xml:space="preserve"> </w:t>
      </w:r>
      <w:proofErr w:type="spellStart"/>
      <w:r w:rsidRPr="002E7C1A">
        <w:rPr>
          <w:rFonts w:cs="Arial"/>
        </w:rPr>
        <w:t>Private</w:t>
      </w:r>
      <w:proofErr w:type="spellEnd"/>
      <w:r w:rsidRPr="002E7C1A">
        <w:rPr>
          <w:rFonts w:cs="Arial"/>
        </w:rPr>
        <w:t xml:space="preserve"> </w:t>
      </w:r>
      <w:proofErr w:type="spellStart"/>
      <w:r w:rsidRPr="002E7C1A">
        <w:rPr>
          <w:rFonts w:cs="Arial"/>
        </w:rPr>
        <w:t>Investment</w:t>
      </w:r>
      <w:proofErr w:type="spellEnd"/>
      <w:r w:rsidRPr="002E7C1A">
        <w:rPr>
          <w:rFonts w:cs="Arial"/>
        </w:rPr>
        <w:t xml:space="preserve"> </w:t>
      </w:r>
      <w:proofErr w:type="spellStart"/>
      <w:r w:rsidRPr="002E7C1A">
        <w:rPr>
          <w:rFonts w:cs="Arial"/>
        </w:rPr>
        <w:t>Corporation</w:t>
      </w:r>
      <w:proofErr w:type="spellEnd"/>
      <w:r w:rsidRPr="002E7C1A">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5BE9D579" w14:textId="77777777" w:rsidR="00B712A7" w:rsidRPr="002E7C1A" w:rsidRDefault="00B712A7" w:rsidP="00B712A7">
      <w:pPr>
        <w:numPr>
          <w:ilvl w:val="0"/>
          <w:numId w:val="13"/>
        </w:numPr>
        <w:spacing w:line="276" w:lineRule="auto"/>
        <w:ind w:right="-1"/>
        <w:jc w:val="both"/>
        <w:rPr>
          <w:rFonts w:cs="Arial"/>
        </w:rPr>
      </w:pPr>
      <w:r w:rsidRPr="002E7C1A">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34AF57C7" w14:textId="77777777" w:rsidR="00B712A7" w:rsidRPr="002E7C1A" w:rsidRDefault="00B712A7" w:rsidP="00B712A7">
      <w:pPr>
        <w:numPr>
          <w:ilvl w:val="0"/>
          <w:numId w:val="13"/>
        </w:numPr>
        <w:spacing w:line="276" w:lineRule="auto"/>
        <w:ind w:right="-1"/>
        <w:jc w:val="both"/>
        <w:rPr>
          <w:rFonts w:cs="Arial"/>
        </w:rPr>
      </w:pPr>
      <w:r w:rsidRPr="002E7C1A">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45C73872" w14:textId="77777777" w:rsidR="00B712A7" w:rsidRPr="002E7C1A" w:rsidRDefault="00B712A7" w:rsidP="00B712A7">
      <w:pPr>
        <w:numPr>
          <w:ilvl w:val="0"/>
          <w:numId w:val="13"/>
        </w:numPr>
        <w:spacing w:line="276" w:lineRule="auto"/>
        <w:ind w:right="-1"/>
        <w:jc w:val="both"/>
        <w:rPr>
          <w:rFonts w:cs="Arial"/>
        </w:rPr>
      </w:pPr>
      <w:r w:rsidRPr="002E7C1A">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06CD4E60" w14:textId="145161F5" w:rsidR="00B90DB9" w:rsidRDefault="00B712A7" w:rsidP="00B712A7">
      <w:pPr>
        <w:numPr>
          <w:ilvl w:val="0"/>
          <w:numId w:val="13"/>
        </w:numPr>
        <w:spacing w:line="276" w:lineRule="auto"/>
        <w:ind w:right="-1"/>
        <w:jc w:val="both"/>
        <w:rPr>
          <w:rFonts w:cs="Arial"/>
        </w:rPr>
      </w:pPr>
      <w:r w:rsidRPr="002E7C1A">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1127ADED" w14:textId="77777777" w:rsidR="00B90DB9" w:rsidRDefault="00B90DB9">
      <w:pPr>
        <w:spacing w:line="259" w:lineRule="auto"/>
        <w:rPr>
          <w:rFonts w:cs="Arial"/>
        </w:rPr>
      </w:pPr>
      <w:r>
        <w:rPr>
          <w:rFonts w:cs="Arial"/>
        </w:rPr>
        <w:br w:type="page"/>
      </w:r>
    </w:p>
    <w:p w14:paraId="22A0D728" w14:textId="4EC1D12B" w:rsidR="00B712A7" w:rsidRDefault="00B712A7" w:rsidP="00B90DB9">
      <w:pPr>
        <w:pStyle w:val="Prrafodelista"/>
        <w:numPr>
          <w:ilvl w:val="0"/>
          <w:numId w:val="12"/>
        </w:numPr>
        <w:spacing w:after="240" w:line="276" w:lineRule="auto"/>
        <w:ind w:right="-1"/>
        <w:jc w:val="both"/>
        <w:rPr>
          <w:rFonts w:ascii="HelveticaNeueLT Std" w:hAnsi="HelveticaNeueLT Std"/>
          <w:b/>
          <w:sz w:val="20"/>
          <w:szCs w:val="20"/>
        </w:rPr>
      </w:pPr>
      <w:r w:rsidRPr="00B712A7">
        <w:rPr>
          <w:rFonts w:ascii="HelveticaNeueLT Std" w:hAnsi="HelveticaNeueLT Std"/>
          <w:b/>
          <w:sz w:val="20"/>
          <w:szCs w:val="20"/>
        </w:rPr>
        <w:t>Reporte de la Recaudación</w:t>
      </w:r>
    </w:p>
    <w:p w14:paraId="4D7C4A26" w14:textId="77777777" w:rsidR="00403858" w:rsidRDefault="00403858" w:rsidP="00B90DB9">
      <w:pPr>
        <w:pStyle w:val="Prrafodelista"/>
        <w:spacing w:after="240" w:line="276" w:lineRule="auto"/>
        <w:ind w:left="284" w:right="-1" w:hanging="284"/>
        <w:rPr>
          <w:noProof/>
        </w:rPr>
      </w:pPr>
    </w:p>
    <w:p w14:paraId="7C822C9E" w14:textId="54FE5FC8" w:rsidR="00B712A7" w:rsidRPr="00B712A7" w:rsidRDefault="00B712A7" w:rsidP="00B90DB9">
      <w:pPr>
        <w:pStyle w:val="Prrafodelista"/>
        <w:spacing w:after="240" w:line="276" w:lineRule="auto"/>
        <w:ind w:left="284" w:right="-1" w:hanging="284"/>
        <w:rPr>
          <w:rFonts w:ascii="HelveticaNeueLT Std" w:hAnsi="HelveticaNeueLT Std"/>
          <w:b/>
          <w:sz w:val="20"/>
          <w:szCs w:val="20"/>
        </w:rPr>
      </w:pPr>
      <w:r w:rsidRPr="00B712A7">
        <w:rPr>
          <w:noProof/>
        </w:rPr>
        <w:drawing>
          <wp:inline distT="0" distB="0" distL="0" distR="0" wp14:anchorId="1E4DF214" wp14:editId="626B3B05">
            <wp:extent cx="6336209" cy="458096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4444" cy="4630298"/>
                    </a:xfrm>
                    <a:prstGeom prst="rect">
                      <a:avLst/>
                    </a:prstGeom>
                    <a:noFill/>
                    <a:ln>
                      <a:noFill/>
                    </a:ln>
                  </pic:spPr>
                </pic:pic>
              </a:graphicData>
            </a:graphic>
          </wp:inline>
        </w:drawing>
      </w:r>
    </w:p>
    <w:p w14:paraId="34357A15" w14:textId="77777777" w:rsidR="00403858" w:rsidRDefault="00403858" w:rsidP="00B712A7">
      <w:pPr>
        <w:pStyle w:val="Sinespaciado"/>
        <w:jc w:val="both"/>
        <w:rPr>
          <w:rFonts w:cs="Arial"/>
          <w:b/>
        </w:rPr>
      </w:pPr>
    </w:p>
    <w:p w14:paraId="4E7E1E46" w14:textId="77777777" w:rsidR="00403858" w:rsidRDefault="00403858" w:rsidP="00B712A7">
      <w:pPr>
        <w:pStyle w:val="Sinespaciado"/>
        <w:jc w:val="both"/>
        <w:rPr>
          <w:rFonts w:cs="Arial"/>
          <w:b/>
        </w:rPr>
      </w:pPr>
    </w:p>
    <w:p w14:paraId="575C497C" w14:textId="77777777" w:rsidR="00403858" w:rsidRDefault="00403858" w:rsidP="00B712A7">
      <w:pPr>
        <w:pStyle w:val="Sinespaciado"/>
        <w:jc w:val="both"/>
        <w:rPr>
          <w:rFonts w:cs="Arial"/>
          <w:b/>
        </w:rPr>
      </w:pPr>
    </w:p>
    <w:p w14:paraId="290C1372" w14:textId="7145CE67" w:rsidR="00B712A7" w:rsidRPr="00B712A7" w:rsidRDefault="00B712A7" w:rsidP="00B712A7">
      <w:pPr>
        <w:pStyle w:val="Sinespaciado"/>
        <w:jc w:val="both"/>
        <w:rPr>
          <w:rFonts w:cs="Arial"/>
          <w:b/>
        </w:rPr>
      </w:pPr>
      <w:r w:rsidRPr="00B712A7">
        <w:rPr>
          <w:rFonts w:cs="Arial"/>
          <w:b/>
        </w:rPr>
        <w:t>INGRESOS</w:t>
      </w:r>
    </w:p>
    <w:p w14:paraId="4F52BC67" w14:textId="77777777" w:rsidR="00B712A7" w:rsidRPr="002E7C1A" w:rsidRDefault="00B712A7" w:rsidP="00B712A7">
      <w:pPr>
        <w:pStyle w:val="Sinespaciado"/>
        <w:jc w:val="both"/>
        <w:rPr>
          <w:sz w:val="8"/>
        </w:rPr>
      </w:pPr>
    </w:p>
    <w:p w14:paraId="481063D9" w14:textId="77777777" w:rsidR="002E7C1A" w:rsidRDefault="00B712A7" w:rsidP="002E7C1A">
      <w:pPr>
        <w:pStyle w:val="Sinespaciado"/>
        <w:jc w:val="both"/>
        <w:rPr>
          <w:rFonts w:cs="Arial"/>
        </w:rPr>
      </w:pPr>
      <w:r w:rsidRPr="00B712A7">
        <w:rPr>
          <w:rFonts w:cs="Arial"/>
        </w:rPr>
        <w:t>Inicialmente se previó recaudar en la Ley de Ingresos Estimada la cantidad de 2</w:t>
      </w:r>
      <w:proofErr w:type="gramStart"/>
      <w:r w:rsidRPr="00B712A7">
        <w:rPr>
          <w:rFonts w:cs="Arial"/>
        </w:rPr>
        <w:t>,921,299,039.00</w:t>
      </w:r>
      <w:proofErr w:type="gramEnd"/>
      <w:r w:rsidRPr="00B712A7">
        <w:rPr>
          <w:rFonts w:cs="Arial"/>
        </w:rPr>
        <w:t>, se dio una asignación en el Capítulo de Inversión Pública por 35,940,611.37 que corresponden al Programa Acciones para el Desarrollo (PAD), denominado “Regularización de Tenencia de la Tierra, provenientes del Gobierno del Estado de México (GEM), cuya fuente de financiamiento son recursos esta</w:t>
      </w:r>
      <w:r>
        <w:rPr>
          <w:rFonts w:cs="Arial"/>
        </w:rPr>
        <w:t>ta</w:t>
      </w:r>
      <w:r w:rsidRPr="00B712A7">
        <w:rPr>
          <w:rFonts w:cs="Arial"/>
        </w:rPr>
        <w:t>les, dando un total autorizado de 2,957,239,650.37. Se han realizado ampliaciones al presupuesto por un total de 17</w:t>
      </w:r>
      <w:proofErr w:type="gramStart"/>
      <w:r w:rsidRPr="00B712A7">
        <w:rPr>
          <w:rFonts w:cs="Arial"/>
        </w:rPr>
        <w:t>,119,617.00</w:t>
      </w:r>
      <w:proofErr w:type="gramEnd"/>
      <w:r w:rsidRPr="00B712A7">
        <w:rPr>
          <w:rFonts w:cs="Arial"/>
        </w:rPr>
        <w:t>. El importe total recaudado al mes de junio es de 970</w:t>
      </w:r>
      <w:proofErr w:type="gramStart"/>
      <w:r w:rsidRPr="00B712A7">
        <w:rPr>
          <w:rFonts w:cs="Arial"/>
        </w:rPr>
        <w:t>,397,446.27</w:t>
      </w:r>
      <w:proofErr w:type="gramEnd"/>
      <w:r w:rsidRPr="00B712A7">
        <w:rPr>
          <w:rFonts w:cs="Arial"/>
        </w:rPr>
        <w:t xml:space="preserve">, por lo que existe una variación del 67.4 por ciento con respecto al total autorizado. </w:t>
      </w:r>
    </w:p>
    <w:p w14:paraId="49072276" w14:textId="3B318ABF" w:rsidR="00B712A7" w:rsidRPr="00B712A7" w:rsidRDefault="002E7C1A" w:rsidP="002E7C1A">
      <w:pPr>
        <w:spacing w:line="259" w:lineRule="auto"/>
        <w:rPr>
          <w:rFonts w:cs="Arial"/>
          <w:b/>
        </w:rPr>
      </w:pPr>
      <w:r>
        <w:rPr>
          <w:rFonts w:cs="Arial"/>
        </w:rPr>
        <w:br w:type="page"/>
      </w:r>
      <w:r w:rsidR="00B90DB9">
        <w:rPr>
          <w:rFonts w:cs="Arial"/>
          <w:b/>
        </w:rPr>
        <w:t>INGRESOS DE GESTIÓN</w:t>
      </w:r>
    </w:p>
    <w:p w14:paraId="75CCCF4D" w14:textId="77777777" w:rsidR="00B712A7" w:rsidRPr="00B712A7" w:rsidRDefault="00B712A7" w:rsidP="00B712A7">
      <w:pPr>
        <w:pStyle w:val="Sinespaciado"/>
        <w:jc w:val="both"/>
        <w:rPr>
          <w:rFonts w:cs="Arial"/>
          <w:color w:val="C00000"/>
        </w:rPr>
      </w:pPr>
      <w:r w:rsidRPr="00B712A7">
        <w:rPr>
          <w:rFonts w:cs="Arial"/>
        </w:rPr>
        <w:t>Inicialmente se previó recaudar ingresos por concepto de derechos del Registro Público de la Propiedad y Comercio por 1</w:t>
      </w:r>
      <w:proofErr w:type="gramStart"/>
      <w:r w:rsidRPr="00B712A7">
        <w:rPr>
          <w:rFonts w:cs="Arial"/>
        </w:rPr>
        <w:t>,557,886,722.00</w:t>
      </w:r>
      <w:proofErr w:type="gramEnd"/>
      <w:r w:rsidRPr="00B712A7">
        <w:rPr>
          <w:rFonts w:cs="Arial"/>
        </w:rPr>
        <w:t>. No se han realizado ampliaciones al presupuesto; ni traspasos internos.</w:t>
      </w:r>
    </w:p>
    <w:p w14:paraId="4D39C544" w14:textId="77777777" w:rsidR="00B712A7" w:rsidRPr="00B712A7" w:rsidRDefault="00B712A7" w:rsidP="00B712A7">
      <w:pPr>
        <w:pStyle w:val="Sinespaciado"/>
        <w:jc w:val="both"/>
        <w:rPr>
          <w:rFonts w:cs="Arial"/>
        </w:rPr>
      </w:pPr>
    </w:p>
    <w:p w14:paraId="3C51AB21" w14:textId="77777777" w:rsidR="00B712A7" w:rsidRPr="00B712A7" w:rsidRDefault="00B712A7" w:rsidP="00B712A7">
      <w:pPr>
        <w:pStyle w:val="Sinespaciado"/>
        <w:jc w:val="both"/>
        <w:rPr>
          <w:rFonts w:cs="Arial"/>
        </w:rPr>
      </w:pPr>
      <w:r w:rsidRPr="00B712A7">
        <w:rPr>
          <w:rFonts w:cs="Arial"/>
        </w:rPr>
        <w:t>Se han recaudado por los derechos de los servicios que presta el Instituto 534</w:t>
      </w:r>
      <w:proofErr w:type="gramStart"/>
      <w:r w:rsidRPr="00B712A7">
        <w:rPr>
          <w:rFonts w:cs="Arial"/>
        </w:rPr>
        <w:t>,288,194.00</w:t>
      </w:r>
      <w:proofErr w:type="gramEnd"/>
      <w:r w:rsidRPr="00B712A7">
        <w:rPr>
          <w:rFonts w:cs="Arial"/>
        </w:rPr>
        <w:t xml:space="preserve">, lo que representa el 65.7 por ciento menos respecto del total autorizado. </w:t>
      </w:r>
    </w:p>
    <w:p w14:paraId="241EDA45" w14:textId="77777777" w:rsidR="00B712A7" w:rsidRPr="00B712A7" w:rsidRDefault="00B712A7" w:rsidP="00B712A7">
      <w:pPr>
        <w:pStyle w:val="Sinespaciado"/>
        <w:jc w:val="both"/>
        <w:rPr>
          <w:rFonts w:cs="Arial"/>
        </w:rPr>
      </w:pPr>
    </w:p>
    <w:p w14:paraId="4EA85545" w14:textId="22EC9CDE" w:rsidR="00B712A7" w:rsidRPr="00B712A7" w:rsidRDefault="00B712A7" w:rsidP="00B712A7">
      <w:pPr>
        <w:pStyle w:val="Sinespaciado"/>
        <w:jc w:val="both"/>
        <w:rPr>
          <w:rFonts w:cs="Arial"/>
          <w:b/>
        </w:rPr>
      </w:pPr>
      <w:r w:rsidRPr="00B712A7">
        <w:rPr>
          <w:rFonts w:cs="Arial"/>
          <w:b/>
        </w:rPr>
        <w:t>PARTICIPACIONES, APORTACIONES, TRANSFERENCIAS, ASIGNAC</w:t>
      </w:r>
      <w:r w:rsidR="00B90DB9">
        <w:rPr>
          <w:rFonts w:cs="Arial"/>
          <w:b/>
        </w:rPr>
        <w:t>IONES, SUBSIDIOS Y OTRAS AYUDAS</w:t>
      </w:r>
    </w:p>
    <w:p w14:paraId="2ADC077E" w14:textId="77777777" w:rsidR="00B712A7" w:rsidRPr="00B712A7" w:rsidRDefault="00B712A7" w:rsidP="00B712A7">
      <w:pPr>
        <w:pStyle w:val="Sinespaciado"/>
        <w:jc w:val="both"/>
        <w:rPr>
          <w:rFonts w:cs="Arial"/>
        </w:rPr>
      </w:pPr>
    </w:p>
    <w:p w14:paraId="561834EE" w14:textId="77777777" w:rsidR="00B712A7" w:rsidRPr="00B712A7" w:rsidRDefault="00B712A7" w:rsidP="00B712A7">
      <w:pPr>
        <w:pStyle w:val="Sinespaciado"/>
        <w:jc w:val="both"/>
        <w:rPr>
          <w:rFonts w:cs="Arial"/>
        </w:rPr>
      </w:pPr>
      <w:r w:rsidRPr="00B712A7">
        <w:rPr>
          <w:rFonts w:cs="Arial"/>
        </w:rPr>
        <w:t>Se autorizó la asignación presupuestal de los proyectos denominados “Regularización de Tenencia de la Tierra” por 35</w:t>
      </w:r>
      <w:proofErr w:type="gramStart"/>
      <w:r w:rsidRPr="00B712A7">
        <w:rPr>
          <w:rFonts w:cs="Arial"/>
        </w:rPr>
        <w:t>,940,611.37</w:t>
      </w:r>
      <w:proofErr w:type="gramEnd"/>
      <w:r w:rsidRPr="00B712A7">
        <w:rPr>
          <w:rFonts w:cs="Arial"/>
        </w:rPr>
        <w:t xml:space="preserve">, este importe se refleja en el rubro del Programa de Acciones para el Desarrollo (PAD) y se va recaudando con los depósitos que realiza mensualmente el GEM, que al mes de junio son 17,970,305.69. </w:t>
      </w:r>
    </w:p>
    <w:p w14:paraId="79B3653A" w14:textId="77777777" w:rsidR="00B712A7" w:rsidRPr="00B712A7" w:rsidRDefault="00B712A7" w:rsidP="00B712A7">
      <w:pPr>
        <w:pStyle w:val="Sinespaciado"/>
        <w:jc w:val="both"/>
        <w:rPr>
          <w:rFonts w:cs="Arial"/>
        </w:rPr>
      </w:pPr>
    </w:p>
    <w:p w14:paraId="723F48F2" w14:textId="4DD4A24B" w:rsidR="00B712A7" w:rsidRPr="00B712A7" w:rsidRDefault="00B90DB9" w:rsidP="00B712A7">
      <w:pPr>
        <w:pStyle w:val="Sinespaciado"/>
        <w:jc w:val="both"/>
        <w:rPr>
          <w:rFonts w:cs="Arial"/>
          <w:b/>
        </w:rPr>
      </w:pPr>
      <w:r>
        <w:rPr>
          <w:rFonts w:cs="Arial"/>
          <w:b/>
        </w:rPr>
        <w:t>OTROS INGRESOS Y BENEFICIOS</w:t>
      </w:r>
    </w:p>
    <w:p w14:paraId="00DE54E5" w14:textId="77777777" w:rsidR="00B712A7" w:rsidRPr="00B712A7" w:rsidRDefault="00B712A7" w:rsidP="00B712A7">
      <w:pPr>
        <w:pStyle w:val="Sinespaciado"/>
        <w:jc w:val="both"/>
        <w:rPr>
          <w:rFonts w:cs="Arial"/>
        </w:rPr>
      </w:pPr>
    </w:p>
    <w:p w14:paraId="6C6B74BC" w14:textId="77777777" w:rsidR="00B712A7" w:rsidRPr="00B712A7" w:rsidRDefault="00B712A7" w:rsidP="00B712A7">
      <w:pPr>
        <w:pStyle w:val="Sinespaciado"/>
        <w:jc w:val="both"/>
        <w:rPr>
          <w:rFonts w:cs="Arial"/>
        </w:rPr>
      </w:pPr>
      <w:r w:rsidRPr="00B712A7">
        <w:rPr>
          <w:rFonts w:cs="Arial"/>
        </w:rPr>
        <w:t>Se previeron recaudar ingresos por 1,363,412,317.00, integrados de la siguiente forma: 496,741,289.00 de “Ingresos Financieros”, de los cuales 479,941,289.00 para pago a la fiduciaria (bonos) por intereses del Fideicomiso de Cobranza, más 16,800,000.00 de “Productos Financieros de Tipo Corriente”. Así mismo, 866,671,028.00 de “Otros Ingresos y Beneficios Varios”, de los cuales para los pagos de “amortización de capital” son 359,841,028.00, así como 479,504,000.00 de “Remanentes e intereses del fideicomiso de cobranza”, 23,630,000.00 para “Mantenimiento mayor” y 3,696,000.00 en “Otros Ingresos Varios”.</w:t>
      </w:r>
    </w:p>
    <w:p w14:paraId="716A3C31" w14:textId="77777777" w:rsidR="00B712A7" w:rsidRPr="00B712A7" w:rsidRDefault="00B712A7" w:rsidP="00B712A7">
      <w:pPr>
        <w:pStyle w:val="Sinespaciado"/>
        <w:jc w:val="both"/>
        <w:rPr>
          <w:rFonts w:cs="Arial"/>
        </w:rPr>
      </w:pPr>
    </w:p>
    <w:p w14:paraId="13941EC3" w14:textId="77777777" w:rsidR="00B712A7" w:rsidRPr="00B712A7" w:rsidRDefault="00B712A7" w:rsidP="00B712A7">
      <w:pPr>
        <w:pStyle w:val="Sinespaciado"/>
        <w:jc w:val="both"/>
        <w:rPr>
          <w:rFonts w:cs="Arial"/>
        </w:rPr>
      </w:pPr>
      <w:r w:rsidRPr="00B712A7">
        <w:rPr>
          <w:rFonts w:cs="Arial"/>
        </w:rPr>
        <w:t>Se realizaron traspasos internos para dar suficiencia presupuestal a los otros ingresos por intereses generados en las cuentas bancarias, para otros ingresos y beneficios varios y para rendimientos de la remesa de ingresos por RPC (Registro Público de Comercio), principalmente. Así mismo, se han realizaron ampliaciones presupuestales por 17</w:t>
      </w:r>
      <w:proofErr w:type="gramStart"/>
      <w:r w:rsidRPr="00B712A7">
        <w:rPr>
          <w:rFonts w:cs="Arial"/>
        </w:rPr>
        <w:t>,119,617.00</w:t>
      </w:r>
      <w:proofErr w:type="gramEnd"/>
      <w:r w:rsidRPr="00B712A7">
        <w:rPr>
          <w:rFonts w:cs="Arial"/>
        </w:rPr>
        <w:t xml:space="preserve"> para el pago de los adeudos de ejercicios fiscales anteriores (ADEFAS 2019).</w:t>
      </w:r>
    </w:p>
    <w:p w14:paraId="346CD52A" w14:textId="77777777" w:rsidR="00B712A7" w:rsidRPr="00B712A7" w:rsidRDefault="00B712A7" w:rsidP="00B712A7">
      <w:pPr>
        <w:pStyle w:val="Sinespaciado"/>
        <w:jc w:val="both"/>
        <w:rPr>
          <w:rFonts w:cs="Arial"/>
          <w:highlight w:val="yellow"/>
        </w:rPr>
      </w:pPr>
    </w:p>
    <w:p w14:paraId="4E3A7A2F" w14:textId="77777777" w:rsidR="00B712A7" w:rsidRPr="00B712A7" w:rsidRDefault="00B712A7" w:rsidP="00B712A7">
      <w:pPr>
        <w:pStyle w:val="Sinespaciado"/>
        <w:jc w:val="both"/>
        <w:rPr>
          <w:rFonts w:cs="Arial"/>
        </w:rPr>
      </w:pPr>
      <w:r w:rsidRPr="00B712A7">
        <w:rPr>
          <w:rFonts w:cs="Arial"/>
          <w:b/>
        </w:rPr>
        <w:t>Ingresos Financieros. -</w:t>
      </w:r>
      <w:r w:rsidRPr="00B712A7">
        <w:rPr>
          <w:rFonts w:cs="Arial"/>
        </w:rPr>
        <w:t xml:space="preserve"> Se tiene recaudado un importe de 243</w:t>
      </w:r>
      <w:proofErr w:type="gramStart"/>
      <w:r w:rsidRPr="00B712A7">
        <w:rPr>
          <w:rFonts w:cs="Arial"/>
        </w:rPr>
        <w:t>,843,333.83</w:t>
      </w:r>
      <w:proofErr w:type="gramEnd"/>
      <w:r w:rsidRPr="00B712A7">
        <w:rPr>
          <w:rFonts w:cs="Arial"/>
        </w:rPr>
        <w:t xml:space="preserve"> de los cuales 234,415,921.11 </w:t>
      </w:r>
      <w:r w:rsidRPr="00B712A7">
        <w:t xml:space="preserve">corresponden a los ingresos del Fideicomiso de Cobranza para los pagos de intereses de los bonos correspondientes al ejercicio y 9,427,412.72 se derivan de rendimientos </w:t>
      </w:r>
      <w:r w:rsidRPr="00B712A7">
        <w:rPr>
          <w:rFonts w:cs="Arial"/>
        </w:rPr>
        <w:t>por intereses financieros generados por las inversiones de las Instituciones Bancarias de este Instituto, los cuales incluyen 2,674,932.13 de intereses generados en la cuenta bancaria de “Remanentes 2020”.</w:t>
      </w:r>
    </w:p>
    <w:p w14:paraId="346E3351" w14:textId="77777777" w:rsidR="00B712A7" w:rsidRPr="00B712A7" w:rsidRDefault="00B712A7" w:rsidP="00B712A7">
      <w:pPr>
        <w:pStyle w:val="Sinespaciado"/>
        <w:jc w:val="both"/>
        <w:rPr>
          <w:rFonts w:cs="Arial"/>
        </w:rPr>
      </w:pPr>
    </w:p>
    <w:p w14:paraId="02B386E4" w14:textId="77777777" w:rsidR="00B712A7" w:rsidRPr="00B712A7" w:rsidRDefault="00B712A7" w:rsidP="00B712A7">
      <w:pPr>
        <w:pStyle w:val="Sinespaciado"/>
        <w:jc w:val="both"/>
        <w:rPr>
          <w:rFonts w:cs="Arial"/>
        </w:rPr>
      </w:pPr>
      <w:r w:rsidRPr="00B712A7">
        <w:rPr>
          <w:rFonts w:cs="Arial"/>
          <w:b/>
        </w:rPr>
        <w:t xml:space="preserve">Ingresos Diversos. - </w:t>
      </w:r>
      <w:r w:rsidRPr="00B712A7">
        <w:rPr>
          <w:rFonts w:cs="Arial"/>
        </w:rPr>
        <w:t>Se registran ingresos diversos por 174</w:t>
      </w:r>
      <w:proofErr w:type="gramStart"/>
      <w:r w:rsidRPr="00B712A7">
        <w:rPr>
          <w:rFonts w:cs="Arial"/>
        </w:rPr>
        <w:t>,295,612.75</w:t>
      </w:r>
      <w:proofErr w:type="gramEnd"/>
      <w:r w:rsidRPr="00B712A7">
        <w:rPr>
          <w:rFonts w:cs="Arial"/>
        </w:rPr>
        <w:t>, los cuales se componen principalmente de la siguiente forma: 173</w:t>
      </w:r>
      <w:r w:rsidRPr="00B712A7">
        <w:t xml:space="preserve">,977,046.47 para pagos de amortización de capital de las series “A” y “B” y subordinada “C” por la emisión de los Certificados Bursátiles Fiduciarios; 33,759.22 </w:t>
      </w:r>
      <w:r w:rsidRPr="00B712A7">
        <w:rPr>
          <w:rFonts w:cs="Arial"/>
        </w:rPr>
        <w:t>de los intereses generados por las transferencias de los depósitos del Registro Público de Comercio (rendimientos de la remesa de ingresos por RPC). Asimismo, se ha recaudado 284,807.06 de ingresos varios (venta de bases para concurso, llamadas telefónicas no oficiales, aprovechamientos por sanción o incumplimiento, depósitos no referenciados, venta de papel, recuperación en indemnización de bienes muebles, entre otros).</w:t>
      </w:r>
    </w:p>
    <w:p w14:paraId="3C4A91D9" w14:textId="77777777" w:rsidR="00B712A7" w:rsidRPr="00B712A7" w:rsidRDefault="00B712A7" w:rsidP="00B712A7">
      <w:pPr>
        <w:pStyle w:val="Sinespaciado"/>
        <w:jc w:val="both"/>
      </w:pPr>
    </w:p>
    <w:p w14:paraId="13CA1471" w14:textId="71630550" w:rsidR="00B90DB9" w:rsidRDefault="00B90DB9">
      <w:pPr>
        <w:spacing w:line="259" w:lineRule="auto"/>
        <w:rPr>
          <w:highlight w:val="yellow"/>
        </w:rPr>
      </w:pPr>
      <w:r>
        <w:rPr>
          <w:highlight w:val="yellow"/>
        </w:rPr>
        <w:br w:type="page"/>
      </w:r>
    </w:p>
    <w:p w14:paraId="1EE45A06" w14:textId="77777777" w:rsidR="00B712A7" w:rsidRPr="00B712A7" w:rsidRDefault="00B712A7" w:rsidP="00B90DB9">
      <w:pPr>
        <w:pStyle w:val="Prrafodelista"/>
        <w:numPr>
          <w:ilvl w:val="0"/>
          <w:numId w:val="12"/>
        </w:numPr>
        <w:spacing w:after="240" w:line="276" w:lineRule="auto"/>
        <w:ind w:right="-1"/>
        <w:jc w:val="both"/>
        <w:rPr>
          <w:rFonts w:ascii="HelveticaNeueLT Std" w:hAnsi="HelveticaNeueLT Std" w:cs="Arial"/>
          <w:sz w:val="20"/>
          <w:szCs w:val="20"/>
        </w:rPr>
      </w:pPr>
      <w:r w:rsidRPr="00B712A7">
        <w:rPr>
          <w:rFonts w:ascii="HelveticaNeueLT Std" w:hAnsi="HelveticaNeueLT Std"/>
          <w:b/>
          <w:sz w:val="20"/>
          <w:szCs w:val="20"/>
        </w:rPr>
        <w:t>Información sobre la Deuda y el Reporte Analítico de la Deuda</w:t>
      </w:r>
    </w:p>
    <w:p w14:paraId="395E54A6" w14:textId="77777777" w:rsidR="00B712A7" w:rsidRPr="00B712A7" w:rsidRDefault="00B712A7" w:rsidP="00B712A7">
      <w:pPr>
        <w:pStyle w:val="Prrafodelista"/>
        <w:spacing w:line="259" w:lineRule="auto"/>
        <w:ind w:left="644"/>
        <w:rPr>
          <w:rFonts w:ascii="HelveticaNeueLT Std" w:hAnsi="HelveticaNeueLT Std" w:cs="Arial"/>
          <w:sz w:val="20"/>
          <w:szCs w:val="20"/>
        </w:rPr>
      </w:pPr>
    </w:p>
    <w:p w14:paraId="72E22E2E" w14:textId="77777777" w:rsidR="00B712A7" w:rsidRPr="00B712A7" w:rsidRDefault="00B712A7" w:rsidP="00B712A7">
      <w:pPr>
        <w:spacing w:line="276" w:lineRule="auto"/>
        <w:ind w:right="-1"/>
        <w:jc w:val="both"/>
        <w:rPr>
          <w:rFonts w:cs="Arial"/>
        </w:rPr>
      </w:pPr>
      <w:r w:rsidRPr="00B712A7">
        <w:rPr>
          <w:rFonts w:cs="Arial"/>
        </w:rPr>
        <w:t>Al mes actual el análisis de la deuda se integra de la siguiente manera:</w:t>
      </w:r>
    </w:p>
    <w:p w14:paraId="6A129EA8" w14:textId="77777777" w:rsidR="00B712A7" w:rsidRPr="00B712A7" w:rsidRDefault="00B712A7" w:rsidP="00B712A7">
      <w:pPr>
        <w:spacing w:line="276" w:lineRule="auto"/>
        <w:ind w:right="-1"/>
        <w:rPr>
          <w:noProof/>
          <w:lang w:eastAsia="es-MX"/>
        </w:rPr>
      </w:pPr>
      <w:r w:rsidRPr="00B712A7">
        <w:rPr>
          <w:rFonts w:cs="Arial"/>
        </w:rPr>
        <w:t xml:space="preserve">Mensual: </w:t>
      </w:r>
    </w:p>
    <w:p w14:paraId="675D8E49" w14:textId="77777777" w:rsidR="00B712A7" w:rsidRPr="00B712A7" w:rsidRDefault="00B712A7" w:rsidP="00B712A7">
      <w:pPr>
        <w:spacing w:line="276" w:lineRule="auto"/>
        <w:ind w:right="-1"/>
        <w:jc w:val="center"/>
        <w:rPr>
          <w:rFonts w:cs="Arial"/>
          <w:b/>
          <w:highlight w:val="yellow"/>
        </w:rPr>
      </w:pPr>
      <w:r w:rsidRPr="00B712A7">
        <w:rPr>
          <w:noProof/>
          <w:lang w:eastAsia="es-MX"/>
        </w:rPr>
        <w:drawing>
          <wp:inline distT="0" distB="0" distL="0" distR="0" wp14:anchorId="7D4D1C01" wp14:editId="12384E5F">
            <wp:extent cx="6389370" cy="20262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2026285"/>
                    </a:xfrm>
                    <a:prstGeom prst="rect">
                      <a:avLst/>
                    </a:prstGeom>
                    <a:noFill/>
                    <a:ln>
                      <a:noFill/>
                    </a:ln>
                  </pic:spPr>
                </pic:pic>
              </a:graphicData>
            </a:graphic>
          </wp:inline>
        </w:drawing>
      </w:r>
    </w:p>
    <w:p w14:paraId="0B287F02" w14:textId="77777777" w:rsidR="00B712A7" w:rsidRPr="00B712A7" w:rsidRDefault="00B712A7" w:rsidP="00B712A7">
      <w:pPr>
        <w:spacing w:line="276" w:lineRule="auto"/>
        <w:ind w:right="-1"/>
        <w:jc w:val="center"/>
        <w:rPr>
          <w:rFonts w:cs="Arial"/>
          <w:highlight w:val="yellow"/>
        </w:rPr>
      </w:pPr>
    </w:p>
    <w:p w14:paraId="2B9D2633" w14:textId="77777777" w:rsidR="00B712A7" w:rsidRPr="00B712A7" w:rsidRDefault="00B712A7" w:rsidP="00B712A7">
      <w:pPr>
        <w:spacing w:line="276" w:lineRule="auto"/>
        <w:ind w:right="-1"/>
        <w:rPr>
          <w:rFonts w:cs="Arial"/>
        </w:rPr>
      </w:pPr>
      <w:r w:rsidRPr="00B712A7">
        <w:rPr>
          <w:rFonts w:cs="Arial"/>
        </w:rPr>
        <w:t xml:space="preserve">Acumulada: </w:t>
      </w:r>
    </w:p>
    <w:p w14:paraId="46CF4E64" w14:textId="77777777" w:rsidR="00B712A7" w:rsidRPr="00B712A7" w:rsidRDefault="00B712A7" w:rsidP="00B712A7">
      <w:pPr>
        <w:spacing w:line="276" w:lineRule="auto"/>
        <w:ind w:right="-1"/>
        <w:jc w:val="both"/>
        <w:rPr>
          <w:rFonts w:cs="Arial"/>
          <w:highlight w:val="yellow"/>
          <w:lang w:eastAsia="es-ES"/>
        </w:rPr>
      </w:pPr>
    </w:p>
    <w:p w14:paraId="19FF2055" w14:textId="77777777" w:rsidR="00B712A7" w:rsidRPr="00FA53E6" w:rsidRDefault="00B712A7" w:rsidP="00B712A7">
      <w:pPr>
        <w:spacing w:line="259" w:lineRule="auto"/>
        <w:rPr>
          <w:rFonts w:cs="Arial"/>
          <w:lang w:eastAsia="es-ES"/>
        </w:rPr>
      </w:pPr>
      <w:r w:rsidRPr="00FA53E6">
        <w:rPr>
          <w:noProof/>
          <w:lang w:eastAsia="es-MX"/>
        </w:rPr>
        <w:drawing>
          <wp:inline distT="0" distB="0" distL="0" distR="0" wp14:anchorId="15235DAB" wp14:editId="08CD23B8">
            <wp:extent cx="6389370" cy="192595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1925955"/>
                    </a:xfrm>
                    <a:prstGeom prst="rect">
                      <a:avLst/>
                    </a:prstGeom>
                    <a:noFill/>
                    <a:ln>
                      <a:noFill/>
                    </a:ln>
                  </pic:spPr>
                </pic:pic>
              </a:graphicData>
            </a:graphic>
          </wp:inline>
        </w:drawing>
      </w:r>
      <w:r w:rsidRPr="00FA53E6">
        <w:rPr>
          <w:rFonts w:cs="Arial"/>
          <w:lang w:eastAsia="es-ES"/>
        </w:rPr>
        <w:br w:type="page"/>
        <w:t>La operación del Fideicomiso de Cobranza se ha comportado de la siguiente forma:</w:t>
      </w:r>
    </w:p>
    <w:p w14:paraId="6B8813B9" w14:textId="7927BC0B" w:rsidR="00B712A7" w:rsidRPr="00FA53E6" w:rsidRDefault="00DD48FA" w:rsidP="00B712A7">
      <w:pPr>
        <w:spacing w:line="276" w:lineRule="auto"/>
        <w:ind w:right="-1"/>
        <w:jc w:val="both"/>
        <w:rPr>
          <w:rFonts w:cs="Arial"/>
          <w:lang w:eastAsia="es-ES"/>
        </w:rPr>
      </w:pPr>
      <w:r w:rsidRPr="00DD48FA">
        <w:drawing>
          <wp:inline distT="0" distB="0" distL="0" distR="0" wp14:anchorId="65DD1239" wp14:editId="66CA6C83">
            <wp:extent cx="6389370" cy="2264777"/>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2264777"/>
                    </a:xfrm>
                    <a:prstGeom prst="rect">
                      <a:avLst/>
                    </a:prstGeom>
                    <a:noFill/>
                    <a:ln>
                      <a:noFill/>
                    </a:ln>
                  </pic:spPr>
                </pic:pic>
              </a:graphicData>
            </a:graphic>
          </wp:inline>
        </w:drawing>
      </w:r>
    </w:p>
    <w:p w14:paraId="5E699EE9" w14:textId="2F8628E2" w:rsidR="00B712A7" w:rsidRPr="00FA53E6" w:rsidRDefault="00B712A7" w:rsidP="00B712A7">
      <w:pPr>
        <w:spacing w:before="240" w:line="276" w:lineRule="auto"/>
        <w:ind w:right="-1"/>
        <w:jc w:val="both"/>
        <w:rPr>
          <w:rFonts w:cs="Arial"/>
        </w:rPr>
      </w:pPr>
      <w:r w:rsidRPr="00FA53E6">
        <w:rPr>
          <w:rFonts w:cs="Arial"/>
        </w:rPr>
        <w:t>El saldo de la cuenta 2221 “Documentos Comerciales Por Pagar a Lar</w:t>
      </w:r>
      <w:r w:rsidR="002B002F">
        <w:rPr>
          <w:rFonts w:cs="Arial"/>
        </w:rPr>
        <w:t>go Plazo es de: 5,062,389,105.02</w:t>
      </w:r>
      <w:r w:rsidRPr="00FA53E6">
        <w:rPr>
          <w:rFonts w:cs="Arial"/>
        </w:rPr>
        <w:t xml:space="preserve"> que se componen de; los CBFS de la Serie “</w:t>
      </w:r>
      <w:r w:rsidRPr="00FA53E6">
        <w:rPr>
          <w:rFonts w:cs="Arial"/>
          <w:b/>
        </w:rPr>
        <w:t>A</w:t>
      </w:r>
      <w:r w:rsidRPr="00FA53E6">
        <w:rPr>
          <w:rFonts w:cs="Arial"/>
        </w:rPr>
        <w:t>”, 2,034,713,508.80 para los CBFS de la Serie “</w:t>
      </w:r>
      <w:r w:rsidRPr="00FA53E6">
        <w:rPr>
          <w:rFonts w:cs="Arial"/>
          <w:b/>
        </w:rPr>
        <w:t>B</w:t>
      </w:r>
      <w:r w:rsidRPr="00FA53E6">
        <w:rPr>
          <w:rFonts w:cs="Arial"/>
        </w:rPr>
        <w:t>”, 956,646,496 y para los CBFS Subordinados de la Serie “</w:t>
      </w:r>
      <w:r w:rsidRPr="00FA53E6">
        <w:rPr>
          <w:rFonts w:cs="Arial"/>
          <w:b/>
        </w:rPr>
        <w:t>C</w:t>
      </w:r>
      <w:r w:rsidRPr="00FA53E6">
        <w:rPr>
          <w:rFonts w:cs="Arial"/>
        </w:rPr>
        <w:t>”, 2,071,029,100.22 cabe mencionar que la serie subordinada “C” se encuentra en UDIS, por lo tanto, el Saldo Capital es de 489,027,081.34; y para la amortización de capital fue de 14,078,633.93 y para los intereses fue de 14,759,652.36 UDIS.</w:t>
      </w:r>
    </w:p>
    <w:p w14:paraId="1502307B" w14:textId="77777777" w:rsidR="00B712A7" w:rsidRPr="00B712A7" w:rsidRDefault="00B712A7" w:rsidP="00B712A7">
      <w:pPr>
        <w:spacing w:before="240" w:line="276" w:lineRule="auto"/>
        <w:ind w:right="-1"/>
        <w:jc w:val="both"/>
        <w:rPr>
          <w:rFonts w:cs="Arial"/>
        </w:rPr>
      </w:pPr>
      <w:r w:rsidRPr="00B712A7">
        <w:rPr>
          <w:rFonts w:cs="Arial"/>
        </w:rPr>
        <w:t>Los pagos de intereses más la amortización de capital por los cupones programados se observan en el siguiente cuadro:</w:t>
      </w:r>
    </w:p>
    <w:p w14:paraId="100A9E60" w14:textId="2479C224" w:rsidR="00B712A7" w:rsidRPr="00B712A7" w:rsidRDefault="00A74FA9" w:rsidP="00B712A7">
      <w:pPr>
        <w:spacing w:before="240" w:line="276" w:lineRule="auto"/>
        <w:ind w:right="-1"/>
        <w:jc w:val="center"/>
        <w:rPr>
          <w:rFonts w:cs="Arial"/>
          <w:highlight w:val="yellow"/>
        </w:rPr>
      </w:pPr>
      <w:r w:rsidRPr="00A74FA9">
        <w:drawing>
          <wp:inline distT="0" distB="0" distL="0" distR="0" wp14:anchorId="3EC24557" wp14:editId="1F47B226">
            <wp:extent cx="6389370" cy="2334271"/>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2334271"/>
                    </a:xfrm>
                    <a:prstGeom prst="rect">
                      <a:avLst/>
                    </a:prstGeom>
                    <a:noFill/>
                    <a:ln>
                      <a:noFill/>
                    </a:ln>
                  </pic:spPr>
                </pic:pic>
              </a:graphicData>
            </a:graphic>
          </wp:inline>
        </w:drawing>
      </w:r>
    </w:p>
    <w:p w14:paraId="4C76003E" w14:textId="01C7684D" w:rsidR="00B712A7" w:rsidRPr="00FA53E6" w:rsidRDefault="00B712A7" w:rsidP="00A74FA9">
      <w:pPr>
        <w:spacing w:line="259" w:lineRule="auto"/>
        <w:rPr>
          <w:rFonts w:cs="Arial"/>
        </w:rPr>
      </w:pPr>
      <w:r w:rsidRPr="00B712A7">
        <w:rPr>
          <w:rFonts w:cs="Arial"/>
          <w:highlight w:val="yellow"/>
        </w:rPr>
        <w:br w:type="page"/>
      </w:r>
      <w:r w:rsidRPr="00FA53E6">
        <w:rPr>
          <w:rFonts w:cs="Arial"/>
        </w:rPr>
        <w:t>Las transferencias al Gobierno del Estado de México de los remanentes del Fideicomiso de Cobranza, más los intereses generados, se destinan a la inversión productiva de acuerdo a lo establecido en el contrato irrevocable No. 80615 y se han llevado a cabo como sigue:</w:t>
      </w:r>
    </w:p>
    <w:p w14:paraId="65F42F74" w14:textId="45D0BB8C" w:rsidR="00B712A7" w:rsidRPr="00FA53E6" w:rsidRDefault="00DF4AE3" w:rsidP="00B712A7">
      <w:pPr>
        <w:spacing w:line="276" w:lineRule="auto"/>
        <w:ind w:right="-1"/>
        <w:jc w:val="center"/>
        <w:rPr>
          <w:rFonts w:cs="Arial"/>
        </w:rPr>
      </w:pPr>
      <w:r w:rsidRPr="00DF4AE3">
        <w:drawing>
          <wp:inline distT="0" distB="0" distL="0" distR="0" wp14:anchorId="6508D6F8" wp14:editId="29BCA9F4">
            <wp:extent cx="4743450" cy="3590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bookmarkStart w:id="0" w:name="_GoBack"/>
      <w:bookmarkEnd w:id="0"/>
    </w:p>
    <w:p w14:paraId="63CD5951" w14:textId="77777777" w:rsidR="00B712A7" w:rsidRPr="00FA53E6" w:rsidRDefault="00B712A7" w:rsidP="00B712A7">
      <w:pPr>
        <w:spacing w:line="276" w:lineRule="auto"/>
        <w:ind w:right="-1"/>
        <w:contextualSpacing/>
        <w:jc w:val="both"/>
      </w:pPr>
      <w:r w:rsidRPr="00FA53E6">
        <w:t>Con relación a los remanentes correspondientes a la distribución 116 y, con fundamento en el oficio número 2075A000000000-52/2020 de fecha 29 de abril del presente año, mediante el cual el Subsecretario de Tesorería del Gobierno del Estado de México, autoriza que los recursos transferidos por Nacional Financiera, S.N.C., por este concepto, los podrá conservar el IFREM,  para ser destinados  en caso de déficit en el pago de las obligaciones financieras asumidas en el Contrato de Fideicomiso Irrevocable N° 80615, al vencimiento del pago de los certificados Bursátiles fiduciarios Serie A y Serie B y Subordinada Serie C, calendarizada en los meses de agosto y septiembre del presente año. Dichos recursos se administran financieramente en la cuenta bancaria referida en las notas al Estado de Situación Financiera en el punto 3 de estas notas.</w:t>
      </w:r>
    </w:p>
    <w:p w14:paraId="57E87302" w14:textId="77777777" w:rsidR="00B712A7" w:rsidRPr="00B712A7" w:rsidRDefault="00B712A7" w:rsidP="00B712A7">
      <w:pPr>
        <w:spacing w:line="276" w:lineRule="auto"/>
        <w:ind w:right="-1"/>
        <w:contextualSpacing/>
        <w:jc w:val="both"/>
        <w:rPr>
          <w:highlight w:val="yellow"/>
        </w:rPr>
      </w:pPr>
    </w:p>
    <w:p w14:paraId="52E81A7C" w14:textId="77777777" w:rsidR="00B712A7" w:rsidRPr="00B712A7" w:rsidRDefault="00B712A7" w:rsidP="00B712A7">
      <w:pPr>
        <w:spacing w:line="276" w:lineRule="auto"/>
        <w:ind w:right="-1"/>
        <w:contextualSpacing/>
        <w:jc w:val="both"/>
        <w:rPr>
          <w:rFonts w:eastAsia="Times New Roman" w:cs="Arial"/>
          <w:b/>
          <w:highlight w:val="yellow"/>
          <w:lang w:eastAsia="es-MX"/>
        </w:rPr>
      </w:pPr>
    </w:p>
    <w:p w14:paraId="2D4CDF8A" w14:textId="77777777" w:rsidR="00B712A7" w:rsidRPr="00B712A7" w:rsidRDefault="00B712A7" w:rsidP="00B90DB9">
      <w:pPr>
        <w:numPr>
          <w:ilvl w:val="0"/>
          <w:numId w:val="12"/>
        </w:numPr>
        <w:spacing w:line="276" w:lineRule="auto"/>
        <w:ind w:left="567" w:right="-1" w:hanging="567"/>
        <w:contextualSpacing/>
        <w:jc w:val="both"/>
        <w:rPr>
          <w:rFonts w:eastAsia="Times New Roman" w:cs="Arial"/>
          <w:b/>
          <w:lang w:eastAsia="es-MX"/>
        </w:rPr>
      </w:pPr>
      <w:r w:rsidRPr="00B712A7">
        <w:rPr>
          <w:rFonts w:eastAsia="Times New Roman" w:cs="Arial"/>
          <w:b/>
          <w:lang w:eastAsia="es-MX"/>
        </w:rPr>
        <w:t>Calificaciones otorgadas</w:t>
      </w:r>
    </w:p>
    <w:p w14:paraId="79287876" w14:textId="77777777" w:rsidR="00B712A7" w:rsidRPr="00B712A7" w:rsidRDefault="00B712A7" w:rsidP="00B712A7">
      <w:pPr>
        <w:spacing w:before="240"/>
        <w:jc w:val="both"/>
      </w:pPr>
      <w:r w:rsidRPr="00B712A7">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en 2019, fue la siguiente:</w:t>
      </w:r>
    </w:p>
    <w:p w14:paraId="20A24413" w14:textId="77777777" w:rsidR="00B712A7" w:rsidRPr="00B712A7" w:rsidRDefault="00B712A7" w:rsidP="00B712A7">
      <w:pPr>
        <w:pStyle w:val="Prrafodelista"/>
        <w:numPr>
          <w:ilvl w:val="0"/>
          <w:numId w:val="42"/>
        </w:numPr>
        <w:spacing w:before="240" w:after="160" w:line="252" w:lineRule="auto"/>
        <w:jc w:val="both"/>
        <w:rPr>
          <w:rFonts w:ascii="HelveticaNeueLT Std" w:hAnsi="HelveticaNeueLT Std"/>
          <w:i/>
          <w:sz w:val="20"/>
          <w:szCs w:val="20"/>
        </w:rPr>
      </w:pPr>
      <w:r w:rsidRPr="00B712A7">
        <w:rPr>
          <w:rFonts w:ascii="HelveticaNeueLT Std" w:hAnsi="HelveticaNeueLT Std"/>
          <w:i/>
          <w:sz w:val="20"/>
          <w:szCs w:val="20"/>
        </w:rPr>
        <w:t>“</w:t>
      </w:r>
      <w:proofErr w:type="spellStart"/>
      <w:r w:rsidRPr="00B712A7">
        <w:rPr>
          <w:rFonts w:ascii="HelveticaNeueLT Std" w:hAnsi="HelveticaNeueLT Std"/>
          <w:i/>
          <w:sz w:val="20"/>
          <w:szCs w:val="20"/>
        </w:rPr>
        <w:t>Fitch</w:t>
      </w:r>
      <w:proofErr w:type="spellEnd"/>
      <w:r w:rsidRPr="00B712A7">
        <w:rPr>
          <w:rFonts w:ascii="HelveticaNeueLT Std" w:hAnsi="HelveticaNeueLT Std"/>
          <w:i/>
          <w:sz w:val="20"/>
          <w:szCs w:val="20"/>
        </w:rPr>
        <w:t xml:space="preserve"> Ratings-</w:t>
      </w:r>
      <w:proofErr w:type="spellStart"/>
      <w:r w:rsidRPr="00B712A7">
        <w:rPr>
          <w:rFonts w:ascii="HelveticaNeueLT Std" w:hAnsi="HelveticaNeueLT Std"/>
          <w:i/>
          <w:sz w:val="20"/>
          <w:szCs w:val="20"/>
        </w:rPr>
        <w:t>Mexico</w:t>
      </w:r>
      <w:proofErr w:type="spellEnd"/>
      <w:r w:rsidRPr="00B712A7">
        <w:rPr>
          <w:rFonts w:ascii="HelveticaNeueLT Std" w:hAnsi="HelveticaNeueLT Std"/>
          <w:i/>
          <w:sz w:val="20"/>
          <w:szCs w:val="20"/>
        </w:rPr>
        <w:t xml:space="preserve"> City-30 </w:t>
      </w:r>
      <w:proofErr w:type="spellStart"/>
      <w:r w:rsidRPr="00B712A7">
        <w:rPr>
          <w:rFonts w:ascii="HelveticaNeueLT Std" w:hAnsi="HelveticaNeueLT Std"/>
          <w:i/>
          <w:sz w:val="20"/>
          <w:szCs w:val="20"/>
        </w:rPr>
        <w:t>December</w:t>
      </w:r>
      <w:proofErr w:type="spellEnd"/>
      <w:r w:rsidRPr="00B712A7">
        <w:rPr>
          <w:rFonts w:ascii="HelveticaNeueLT Std" w:hAnsi="HelveticaNeueLT Std"/>
          <w:i/>
          <w:sz w:val="20"/>
          <w:szCs w:val="20"/>
        </w:rPr>
        <w:t xml:space="preserve"> 2019: </w:t>
      </w:r>
      <w:proofErr w:type="spellStart"/>
      <w:r w:rsidRPr="00B712A7">
        <w:rPr>
          <w:rFonts w:ascii="HelveticaNeueLT Std" w:hAnsi="HelveticaNeueLT Std"/>
          <w:i/>
          <w:sz w:val="20"/>
          <w:szCs w:val="20"/>
        </w:rPr>
        <w:t>Fitch</w:t>
      </w:r>
      <w:proofErr w:type="spellEnd"/>
      <w:r w:rsidRPr="00B712A7">
        <w:rPr>
          <w:rFonts w:ascii="HelveticaNeueLT Std" w:hAnsi="HelveticaNeueLT Std"/>
          <w:i/>
          <w:sz w:val="20"/>
          <w:szCs w:val="20"/>
        </w:rPr>
        <w:t xml:space="preserve"> Ratings subió a </w:t>
      </w:r>
      <w:proofErr w:type="gramStart"/>
      <w:r w:rsidRPr="00B712A7">
        <w:rPr>
          <w:rFonts w:ascii="HelveticaNeueLT Std" w:hAnsi="HelveticaNeueLT Std"/>
          <w:i/>
          <w:sz w:val="20"/>
          <w:szCs w:val="20"/>
        </w:rPr>
        <w:t>'AA(</w:t>
      </w:r>
      <w:proofErr w:type="spellStart"/>
      <w:proofErr w:type="gramEnd"/>
      <w:r w:rsidRPr="00B712A7">
        <w:rPr>
          <w:rFonts w:ascii="HelveticaNeueLT Std" w:hAnsi="HelveticaNeueLT Std"/>
          <w:i/>
          <w:sz w:val="20"/>
          <w:szCs w:val="20"/>
        </w:rPr>
        <w:t>mex</w:t>
      </w:r>
      <w:proofErr w:type="spellEnd"/>
      <w:r w:rsidRPr="00B712A7">
        <w:rPr>
          <w:rFonts w:ascii="HelveticaNeueLT Std" w:hAnsi="HelveticaNeueLT Std"/>
          <w:i/>
          <w:sz w:val="20"/>
          <w:szCs w:val="20"/>
        </w:rPr>
        <w:t>)' desde 'AA-(</w:t>
      </w:r>
      <w:proofErr w:type="spellStart"/>
      <w:r w:rsidRPr="00B712A7">
        <w:rPr>
          <w:rFonts w:ascii="HelveticaNeueLT Std" w:hAnsi="HelveticaNeueLT Std"/>
          <w:i/>
          <w:sz w:val="20"/>
          <w:szCs w:val="20"/>
        </w:rPr>
        <w:t>mex</w:t>
      </w:r>
      <w:proofErr w:type="spellEnd"/>
      <w:r w:rsidRPr="00B712A7">
        <w:rPr>
          <w:rFonts w:ascii="HelveticaNeueLT Std" w:hAnsi="HelveticaNeueLT Std"/>
          <w:i/>
          <w:sz w:val="20"/>
          <w:szCs w:val="20"/>
        </w:rPr>
        <w:t xml:space="preserve">)' la calificación a la calidad crediticia del Instituto de la Función Registral del Estado de México (IFREM). La Perspectiva es Estable. El ajuste en la calificación del instituto se fundamenta en la acción similar para la calificación de </w:t>
      </w:r>
      <w:proofErr w:type="spellStart"/>
      <w:r w:rsidRPr="00B712A7">
        <w:rPr>
          <w:rFonts w:ascii="HelveticaNeueLT Std" w:hAnsi="HelveticaNeueLT Std"/>
          <w:i/>
          <w:sz w:val="20"/>
          <w:szCs w:val="20"/>
        </w:rPr>
        <w:t>lEstado</w:t>
      </w:r>
      <w:proofErr w:type="spellEnd"/>
      <w:r w:rsidRPr="00B712A7">
        <w:rPr>
          <w:rFonts w:ascii="HelveticaNeueLT Std" w:hAnsi="HelveticaNeueLT Std"/>
          <w:i/>
          <w:sz w:val="20"/>
          <w:szCs w:val="20"/>
        </w:rPr>
        <w:t xml:space="preserve"> de México a </w:t>
      </w:r>
      <w:proofErr w:type="gramStart"/>
      <w:r w:rsidRPr="00B712A7">
        <w:rPr>
          <w:rFonts w:ascii="HelveticaNeueLT Std" w:hAnsi="HelveticaNeueLT Std"/>
          <w:i/>
          <w:sz w:val="20"/>
          <w:szCs w:val="20"/>
        </w:rPr>
        <w:t>'AA(</w:t>
      </w:r>
      <w:proofErr w:type="spellStart"/>
      <w:proofErr w:type="gramEnd"/>
      <w:r w:rsidRPr="00B712A7">
        <w:rPr>
          <w:rFonts w:ascii="HelveticaNeueLT Std" w:hAnsi="HelveticaNeueLT Std"/>
          <w:i/>
          <w:sz w:val="20"/>
          <w:szCs w:val="20"/>
        </w:rPr>
        <w:t>mex</w:t>
      </w:r>
      <w:proofErr w:type="spellEnd"/>
      <w:r w:rsidRPr="00B712A7">
        <w:rPr>
          <w:rFonts w:ascii="HelveticaNeueLT Std" w:hAnsi="HelveticaNeueLT Std"/>
          <w:i/>
          <w:sz w:val="20"/>
          <w:szCs w:val="20"/>
        </w:rPr>
        <w:t>)' desde 'AA-(</w:t>
      </w:r>
      <w:proofErr w:type="spellStart"/>
      <w:r w:rsidRPr="00B712A7">
        <w:rPr>
          <w:rFonts w:ascii="HelveticaNeueLT Std" w:hAnsi="HelveticaNeueLT Std"/>
          <w:i/>
          <w:sz w:val="20"/>
          <w:szCs w:val="20"/>
        </w:rPr>
        <w:t>mex</w:t>
      </w:r>
      <w:proofErr w:type="spellEnd"/>
      <w:r w:rsidRPr="00B712A7">
        <w:rPr>
          <w:rFonts w:ascii="HelveticaNeueLT Std" w:hAnsi="HelveticaNeueLT Std"/>
          <w:i/>
          <w:sz w:val="20"/>
          <w:szCs w:val="20"/>
        </w:rPr>
        <w:t>)'.</w:t>
      </w:r>
      <w:r w:rsidRPr="00B712A7">
        <w:rPr>
          <w:rStyle w:val="Refdenotaalpie"/>
          <w:rFonts w:ascii="HelveticaNeueLT Std" w:hAnsi="HelveticaNeueLT Std"/>
          <w:i/>
          <w:sz w:val="20"/>
          <w:szCs w:val="20"/>
        </w:rPr>
        <w:footnoteReference w:customMarkFollows="1" w:id="1"/>
        <w:t>[1]</w:t>
      </w:r>
    </w:p>
    <w:p w14:paraId="0C1A5476" w14:textId="77777777" w:rsidR="00B712A7" w:rsidRPr="00B712A7" w:rsidRDefault="00B712A7" w:rsidP="00B712A7">
      <w:pPr>
        <w:spacing w:before="240"/>
        <w:ind w:left="709"/>
        <w:jc w:val="both"/>
        <w:rPr>
          <w:i/>
        </w:rPr>
      </w:pPr>
      <w:proofErr w:type="spellStart"/>
      <w:r w:rsidRPr="00B712A7">
        <w:rPr>
          <w:i/>
        </w:rPr>
        <w:t>Fitch</w:t>
      </w:r>
      <w:proofErr w:type="spellEnd"/>
      <w:r w:rsidRPr="00B712A7">
        <w:rPr>
          <w:i/>
        </w:rPr>
        <w:t xml:space="preserve"> considera que el IFREM es una entidad relacionada al gobierno (ERG), puesto que el Estado de México tiene control político y económico sobre el instituto. Además, </w:t>
      </w:r>
      <w:proofErr w:type="spellStart"/>
      <w:r w:rsidRPr="00B712A7">
        <w:rPr>
          <w:i/>
        </w:rPr>
        <w:t>Fitch</w:t>
      </w:r>
      <w:proofErr w:type="spellEnd"/>
      <w:r w:rsidRPr="00B712A7">
        <w:rPr>
          <w:i/>
        </w:rPr>
        <w:t xml:space="preserve"> considera altamente probable que el Estado brinde apoyo extraordinario al IFREM si se encuentra bajo estrés financiero, considerando que cumple sus responsabilidades con nula presencia de sustitutos potenciales. Si bien su objetivo no es estratégico, es la única entidad facultada para dar certeza, seguridad jurídica y publicidad a los actos relacionados con la propiedad inmobiliaria, que por disposición de ley deben inscribirse para producir efectos contra terceros”. </w:t>
      </w:r>
    </w:p>
    <w:p w14:paraId="6926F840" w14:textId="77777777" w:rsidR="00B712A7" w:rsidRPr="00B712A7" w:rsidRDefault="00B712A7" w:rsidP="00B712A7">
      <w:pPr>
        <w:pStyle w:val="Prrafodelista"/>
        <w:numPr>
          <w:ilvl w:val="0"/>
          <w:numId w:val="42"/>
        </w:numPr>
        <w:spacing w:before="240" w:after="160" w:line="252" w:lineRule="auto"/>
        <w:jc w:val="both"/>
        <w:rPr>
          <w:rFonts w:ascii="HelveticaNeueLT Std" w:hAnsi="HelveticaNeueLT Std"/>
          <w:i/>
          <w:sz w:val="20"/>
          <w:szCs w:val="20"/>
        </w:rPr>
      </w:pPr>
      <w:r w:rsidRPr="00B712A7">
        <w:rPr>
          <w:rFonts w:ascii="HelveticaNeueLT Std" w:hAnsi="HelveticaNeueLT Std"/>
          <w:i/>
          <w:sz w:val="20"/>
          <w:szCs w:val="20"/>
        </w:rPr>
        <w:t xml:space="preserve"> “S&amp;P Global Ratings confirma calificación de ‘</w:t>
      </w:r>
      <w:proofErr w:type="spellStart"/>
      <w:r w:rsidRPr="00B712A7">
        <w:rPr>
          <w:rFonts w:ascii="HelveticaNeueLT Std" w:hAnsi="HelveticaNeueLT Std"/>
          <w:i/>
          <w:sz w:val="20"/>
          <w:szCs w:val="20"/>
        </w:rPr>
        <w:t>mxA</w:t>
      </w:r>
      <w:proofErr w:type="spellEnd"/>
      <w:r w:rsidRPr="00B712A7">
        <w:rPr>
          <w:rFonts w:ascii="HelveticaNeueLT Std" w:hAnsi="HelveticaNeueLT Std"/>
          <w:i/>
          <w:sz w:val="20"/>
          <w:szCs w:val="20"/>
        </w:rPr>
        <w:t>+’ del Instituto de la Función Registral del Estado de México; la perspectiva es estable</w:t>
      </w:r>
      <w:r w:rsidRPr="00B712A7">
        <w:rPr>
          <w:rStyle w:val="Refdenotaalpie"/>
          <w:rFonts w:ascii="HelveticaNeueLT Std" w:hAnsi="HelveticaNeueLT Std"/>
          <w:i/>
          <w:sz w:val="20"/>
          <w:szCs w:val="20"/>
        </w:rPr>
        <w:t xml:space="preserve"> </w:t>
      </w:r>
      <w:r w:rsidRPr="00B712A7">
        <w:rPr>
          <w:rStyle w:val="Refdenotaalpie"/>
          <w:rFonts w:ascii="HelveticaNeueLT Std" w:hAnsi="HelveticaNeueLT Std"/>
          <w:i/>
          <w:sz w:val="20"/>
          <w:szCs w:val="20"/>
        </w:rPr>
        <w:footnoteReference w:customMarkFollows="1" w:id="2"/>
        <w:t>[2]</w:t>
      </w:r>
      <w:r w:rsidRPr="00B712A7">
        <w:rPr>
          <w:rFonts w:ascii="HelveticaNeueLT Std" w:hAnsi="HelveticaNeueLT Std"/>
          <w:i/>
          <w:sz w:val="20"/>
          <w:szCs w:val="20"/>
        </w:rPr>
        <w:t>.</w:t>
      </w:r>
    </w:p>
    <w:p w14:paraId="170E90BC" w14:textId="77777777" w:rsidR="00B712A7" w:rsidRPr="00B712A7" w:rsidRDefault="00B712A7" w:rsidP="00B712A7">
      <w:pPr>
        <w:spacing w:before="240"/>
        <w:ind w:left="709"/>
        <w:jc w:val="both"/>
        <w:rPr>
          <w:i/>
        </w:rPr>
      </w:pPr>
      <w:r w:rsidRPr="00B712A7">
        <w:rPr>
          <w:i/>
        </w:rPr>
        <w:t>La perspectiva estable refleja nuestra expectativa de que, en los próximos 18 a 24 meses, el IFREM registre superávits cercanos a 5% de sus ingresos, lo que mantendría su nivel de endeudamiento a la baja. Además, esperamos que este continúe recaudando ingresos de manera importante, los cuales seguirán beneficiando al sector central. Consideramos que la relación entre el Instituto y el Estado seguirá sin cambios en los siguientes 18 a 24 meses.”</w:t>
      </w:r>
    </w:p>
    <w:p w14:paraId="24D33BD7" w14:textId="77777777" w:rsidR="00B712A7" w:rsidRPr="00B712A7" w:rsidRDefault="00B712A7" w:rsidP="00B90DB9">
      <w:pPr>
        <w:numPr>
          <w:ilvl w:val="0"/>
          <w:numId w:val="12"/>
        </w:numPr>
        <w:spacing w:line="276" w:lineRule="auto"/>
        <w:ind w:left="567" w:right="-1" w:hanging="567"/>
        <w:contextualSpacing/>
        <w:jc w:val="both"/>
        <w:rPr>
          <w:rFonts w:eastAsia="Times New Roman"/>
          <w:b/>
          <w:lang w:eastAsia="es-MX"/>
        </w:rPr>
      </w:pPr>
      <w:r w:rsidRPr="00B712A7">
        <w:rPr>
          <w:rFonts w:eastAsia="Times New Roman"/>
          <w:b/>
          <w:lang w:eastAsia="es-MX"/>
        </w:rPr>
        <w:t>Proceso de Mejora</w:t>
      </w:r>
    </w:p>
    <w:p w14:paraId="56AB5BC7" w14:textId="77777777" w:rsidR="00B712A7" w:rsidRPr="00B712A7" w:rsidRDefault="00B712A7" w:rsidP="00B712A7">
      <w:pPr>
        <w:spacing w:before="240" w:line="276" w:lineRule="auto"/>
        <w:ind w:right="-1"/>
        <w:jc w:val="both"/>
      </w:pPr>
      <w:r w:rsidRPr="00B712A7">
        <w:t xml:space="preserve">El Instituto se certificó bajo la norma </w:t>
      </w:r>
      <w:r w:rsidRPr="00B712A7">
        <w:rPr>
          <w:b/>
        </w:rPr>
        <w:t>ISO 9001:2015</w:t>
      </w:r>
      <w:r w:rsidRPr="00B712A7">
        <w:t>, en el mes de noviembre de 2017, se encuentra inmerso en el proceso de mejora continua y sigue modernizando sus procesos.</w:t>
      </w:r>
    </w:p>
    <w:p w14:paraId="06ECD5BC" w14:textId="77777777" w:rsidR="00B712A7" w:rsidRPr="00B712A7" w:rsidRDefault="00B712A7" w:rsidP="00B712A7">
      <w:pPr>
        <w:spacing w:line="276" w:lineRule="auto"/>
        <w:ind w:right="-1"/>
        <w:jc w:val="both"/>
      </w:pPr>
      <w:r w:rsidRPr="00B712A7">
        <w:t xml:space="preserve">El Estado de México ha pasado a mostrar un avance sobresaliente en la clasificación </w:t>
      </w:r>
      <w:proofErr w:type="spellStart"/>
      <w:r w:rsidRPr="00B712A7">
        <w:rPr>
          <w:b/>
        </w:rPr>
        <w:t>Doing</w:t>
      </w:r>
      <w:proofErr w:type="spellEnd"/>
      <w:r w:rsidRPr="00B712A7">
        <w:rPr>
          <w:b/>
        </w:rPr>
        <w:t xml:space="preserve"> Business en México</w:t>
      </w:r>
      <w:r w:rsidRPr="00B712A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46D04B1D" w14:textId="77777777" w:rsidR="00B712A7" w:rsidRPr="00B712A7" w:rsidRDefault="00B712A7" w:rsidP="00B712A7">
      <w:pPr>
        <w:spacing w:line="276" w:lineRule="auto"/>
        <w:ind w:right="-1"/>
        <w:jc w:val="both"/>
      </w:pPr>
      <w:r w:rsidRPr="00B712A7">
        <w:t>En enero de 2020 la Unidad de Informática del IFREM, obtuvo la certificación en ISO/IEC 27001:2013,  Sistema de Gestión de Seguridad de la Información  (SGSI).</w:t>
      </w:r>
      <w:r w:rsidRPr="00B712A7">
        <w:br w:type="page"/>
      </w:r>
    </w:p>
    <w:p w14:paraId="3FDE6BC1" w14:textId="77777777" w:rsidR="00B712A7" w:rsidRPr="00B712A7" w:rsidRDefault="00B712A7" w:rsidP="00B712A7">
      <w:pPr>
        <w:spacing w:line="276" w:lineRule="auto"/>
        <w:ind w:right="-1"/>
        <w:jc w:val="both"/>
      </w:pPr>
    </w:p>
    <w:p w14:paraId="52D8AB3F" w14:textId="77777777" w:rsidR="00B712A7" w:rsidRPr="00B712A7" w:rsidRDefault="00B712A7" w:rsidP="00B90DB9">
      <w:pPr>
        <w:numPr>
          <w:ilvl w:val="0"/>
          <w:numId w:val="12"/>
        </w:numPr>
        <w:spacing w:after="0" w:line="276" w:lineRule="auto"/>
        <w:ind w:left="567" w:right="-1" w:hanging="567"/>
        <w:contextualSpacing/>
        <w:jc w:val="both"/>
        <w:rPr>
          <w:rFonts w:eastAsia="Times New Roman"/>
          <w:b/>
          <w:lang w:eastAsia="es-MX"/>
        </w:rPr>
      </w:pPr>
      <w:r w:rsidRPr="00B712A7">
        <w:rPr>
          <w:rFonts w:eastAsia="Times New Roman"/>
          <w:b/>
          <w:lang w:eastAsia="es-MX"/>
        </w:rPr>
        <w:t>Información por Segmentos</w:t>
      </w:r>
    </w:p>
    <w:p w14:paraId="5D2E6B73" w14:textId="77777777" w:rsidR="00B712A7" w:rsidRPr="00B712A7" w:rsidRDefault="00B712A7" w:rsidP="00B712A7">
      <w:pPr>
        <w:spacing w:after="0" w:line="276" w:lineRule="auto"/>
        <w:ind w:left="567" w:right="-1"/>
        <w:contextualSpacing/>
        <w:jc w:val="both"/>
        <w:rPr>
          <w:rFonts w:eastAsia="Times New Roman"/>
          <w:b/>
          <w:lang w:eastAsia="es-MX"/>
        </w:rPr>
      </w:pPr>
    </w:p>
    <w:p w14:paraId="58DCF344" w14:textId="77777777" w:rsidR="00B712A7" w:rsidRPr="00B712A7" w:rsidRDefault="00B712A7" w:rsidP="00B712A7">
      <w:pPr>
        <w:spacing w:line="276" w:lineRule="auto"/>
        <w:ind w:right="-1"/>
        <w:jc w:val="both"/>
        <w:rPr>
          <w:bCs/>
        </w:rPr>
      </w:pPr>
      <w:r w:rsidRPr="00B712A7">
        <w:rPr>
          <w:bCs/>
        </w:rPr>
        <w:t>El Instituto no cuenta con información por segmentos.</w:t>
      </w:r>
    </w:p>
    <w:p w14:paraId="2F6D6566" w14:textId="77777777" w:rsidR="00B712A7" w:rsidRPr="00B712A7" w:rsidRDefault="00B712A7" w:rsidP="00B90DB9">
      <w:pPr>
        <w:numPr>
          <w:ilvl w:val="0"/>
          <w:numId w:val="12"/>
        </w:numPr>
        <w:spacing w:after="0" w:line="276" w:lineRule="auto"/>
        <w:ind w:left="567" w:right="-1" w:hanging="567"/>
        <w:contextualSpacing/>
        <w:jc w:val="both"/>
        <w:rPr>
          <w:bCs/>
        </w:rPr>
      </w:pPr>
      <w:r w:rsidRPr="00B712A7">
        <w:rPr>
          <w:rFonts w:eastAsia="Times New Roman"/>
          <w:b/>
          <w:lang w:eastAsia="es-MX"/>
        </w:rPr>
        <w:t>Eventos Posteriores al Cierre</w:t>
      </w:r>
    </w:p>
    <w:p w14:paraId="12D7D0E6" w14:textId="77777777" w:rsidR="00B712A7" w:rsidRPr="00B712A7" w:rsidRDefault="00B712A7" w:rsidP="00B712A7">
      <w:pPr>
        <w:spacing w:after="0" w:line="276" w:lineRule="auto"/>
        <w:ind w:right="-1"/>
        <w:jc w:val="both"/>
        <w:rPr>
          <w:bCs/>
        </w:rPr>
      </w:pPr>
    </w:p>
    <w:p w14:paraId="7C75CF08" w14:textId="77777777" w:rsidR="00B712A7" w:rsidRPr="00B712A7" w:rsidRDefault="00B712A7" w:rsidP="00B712A7">
      <w:pPr>
        <w:spacing w:line="276" w:lineRule="auto"/>
        <w:ind w:right="-1"/>
        <w:jc w:val="both"/>
      </w:pPr>
      <w:r w:rsidRPr="00B712A7">
        <w:t>El Instituto no presenta eventos posteriores al cierre que pudieran tener un efecto importante en su situación financiera y resultados de operación futuros.</w:t>
      </w:r>
    </w:p>
    <w:p w14:paraId="2FC1BF0A" w14:textId="77777777" w:rsidR="00B712A7" w:rsidRPr="00B712A7" w:rsidRDefault="00B712A7" w:rsidP="00B90DB9">
      <w:pPr>
        <w:numPr>
          <w:ilvl w:val="0"/>
          <w:numId w:val="12"/>
        </w:numPr>
        <w:spacing w:after="0" w:line="276" w:lineRule="auto"/>
        <w:ind w:left="567" w:right="-1" w:hanging="567"/>
        <w:contextualSpacing/>
        <w:jc w:val="both"/>
        <w:rPr>
          <w:rFonts w:eastAsia="Times New Roman" w:cs="Arial"/>
          <w:lang w:eastAsia="es-MX"/>
        </w:rPr>
      </w:pPr>
      <w:r w:rsidRPr="00B712A7">
        <w:rPr>
          <w:rFonts w:eastAsia="Times New Roman" w:cs="Arial"/>
          <w:b/>
          <w:lang w:eastAsia="es-MX"/>
        </w:rPr>
        <w:t>Partes Relacionadas</w:t>
      </w:r>
    </w:p>
    <w:p w14:paraId="36CAA8C4" w14:textId="77777777" w:rsidR="00B712A7" w:rsidRPr="00B712A7" w:rsidRDefault="00B712A7" w:rsidP="00B712A7">
      <w:pPr>
        <w:spacing w:after="0" w:line="276" w:lineRule="auto"/>
        <w:ind w:right="-1"/>
        <w:jc w:val="both"/>
        <w:rPr>
          <w:bCs/>
        </w:rPr>
      </w:pPr>
    </w:p>
    <w:p w14:paraId="17B941A5" w14:textId="77777777" w:rsidR="00B712A7" w:rsidRPr="00B712A7" w:rsidRDefault="00B712A7" w:rsidP="00B712A7">
      <w:pPr>
        <w:spacing w:line="276" w:lineRule="auto"/>
        <w:ind w:right="-1"/>
        <w:jc w:val="both"/>
        <w:rPr>
          <w:rFonts w:cs="Arial"/>
        </w:rPr>
      </w:pPr>
      <w:r w:rsidRPr="00B712A7">
        <w:rPr>
          <w:rFonts w:cs="Arial"/>
        </w:rPr>
        <w:t>No existen partes relacionadas que pudieran ejercer influencia significativa sobre la toma de decisiones financieras y operativas en este Instituto.</w:t>
      </w:r>
    </w:p>
    <w:p w14:paraId="391813A2" w14:textId="77777777" w:rsidR="00B712A7" w:rsidRPr="00B712A7" w:rsidRDefault="00B712A7" w:rsidP="00B90DB9">
      <w:pPr>
        <w:numPr>
          <w:ilvl w:val="0"/>
          <w:numId w:val="12"/>
        </w:numPr>
        <w:spacing w:after="0" w:line="276" w:lineRule="auto"/>
        <w:ind w:left="567" w:right="-1" w:hanging="567"/>
        <w:contextualSpacing/>
        <w:jc w:val="both"/>
        <w:rPr>
          <w:bCs/>
        </w:rPr>
      </w:pPr>
      <w:r w:rsidRPr="00B712A7">
        <w:rPr>
          <w:rFonts w:eastAsia="Times New Roman" w:cs="Arial"/>
          <w:b/>
          <w:lang w:eastAsia="es-MX"/>
        </w:rPr>
        <w:t>Responsabilidad Sobre la Presentación Razonable de los Estados Financieros</w:t>
      </w:r>
    </w:p>
    <w:p w14:paraId="6BB60CA2" w14:textId="77777777" w:rsidR="00B712A7" w:rsidRPr="00B712A7" w:rsidRDefault="00B712A7" w:rsidP="00B712A7">
      <w:pPr>
        <w:spacing w:line="276" w:lineRule="auto"/>
        <w:ind w:right="-1"/>
        <w:jc w:val="both"/>
        <w:rPr>
          <w:rFonts w:cs="Arial"/>
        </w:rPr>
      </w:pPr>
      <w:r w:rsidRPr="00B712A7">
        <w:rPr>
          <w:rFonts w:cs="Arial"/>
        </w:rPr>
        <w:t>“Bajo protesta de decir verdad declaramos que los Estados Financieros y sus Notas, son razonablemente correctos y son responsabilidad del emisor”.</w:t>
      </w:r>
    </w:p>
    <w:p w14:paraId="6BA490A1" w14:textId="77777777" w:rsidR="00B712A7" w:rsidRPr="00B712A7" w:rsidRDefault="00B712A7" w:rsidP="00B712A7">
      <w:pPr>
        <w:spacing w:line="276" w:lineRule="auto"/>
        <w:ind w:right="-1"/>
        <w:jc w:val="both"/>
        <w:rPr>
          <w:rFonts w:cs="Arial"/>
        </w:rPr>
      </w:pPr>
    </w:p>
    <w:p w14:paraId="234D5771" w14:textId="46CED500" w:rsidR="00B712A7" w:rsidRPr="00B712A7" w:rsidRDefault="00403858" w:rsidP="00B712A7">
      <w:pPr>
        <w:tabs>
          <w:tab w:val="left" w:pos="3994"/>
        </w:tabs>
        <w:spacing w:after="0" w:line="276" w:lineRule="auto"/>
        <w:ind w:right="-1"/>
        <w:contextualSpacing/>
        <w:jc w:val="center"/>
        <w:rPr>
          <w:rFonts w:eastAsia="Times New Roman" w:cs="Arial"/>
          <w:lang w:eastAsia="es-MX"/>
        </w:rPr>
      </w:pPr>
      <w:r>
        <w:rPr>
          <w:rFonts w:eastAsia="Times New Roman" w:cs="Arial"/>
          <w:b/>
          <w:lang w:eastAsia="es-MX"/>
        </w:rPr>
        <w:t>Firmas</w:t>
      </w:r>
    </w:p>
    <w:tbl>
      <w:tblPr>
        <w:tblW w:w="9937" w:type="dxa"/>
        <w:jc w:val="center"/>
        <w:tblLook w:val="04A0" w:firstRow="1" w:lastRow="0" w:firstColumn="1" w:lastColumn="0" w:noHBand="0" w:noVBand="1"/>
      </w:tblPr>
      <w:tblGrid>
        <w:gridCol w:w="5447"/>
        <w:gridCol w:w="4490"/>
      </w:tblGrid>
      <w:tr w:rsidR="00B712A7" w:rsidRPr="00B712A7" w14:paraId="2129B7D4" w14:textId="77777777" w:rsidTr="0048790F">
        <w:trPr>
          <w:trHeight w:val="902"/>
          <w:jc w:val="center"/>
        </w:trPr>
        <w:tc>
          <w:tcPr>
            <w:tcW w:w="5447" w:type="dxa"/>
            <w:shd w:val="clear" w:color="auto" w:fill="auto"/>
          </w:tcPr>
          <w:p w14:paraId="692053B4" w14:textId="77777777" w:rsidR="00B712A7" w:rsidRPr="00B712A7" w:rsidRDefault="00B712A7" w:rsidP="0048790F">
            <w:pPr>
              <w:spacing w:line="276" w:lineRule="auto"/>
              <w:ind w:right="-1"/>
              <w:jc w:val="center"/>
              <w:rPr>
                <w:rFonts w:cs="Arial"/>
              </w:rPr>
            </w:pPr>
          </w:p>
          <w:p w14:paraId="18380F70" w14:textId="77777777" w:rsidR="00B712A7" w:rsidRPr="00B712A7" w:rsidRDefault="00B712A7" w:rsidP="0048790F">
            <w:pPr>
              <w:spacing w:line="276" w:lineRule="auto"/>
              <w:ind w:right="-1"/>
              <w:jc w:val="center"/>
              <w:rPr>
                <w:rFonts w:cs="Arial"/>
              </w:rPr>
            </w:pPr>
          </w:p>
          <w:p w14:paraId="39B4F682" w14:textId="77777777" w:rsidR="00B712A7" w:rsidRPr="00B712A7" w:rsidRDefault="00B712A7" w:rsidP="0048790F">
            <w:pPr>
              <w:spacing w:line="276" w:lineRule="auto"/>
              <w:ind w:right="-1"/>
              <w:jc w:val="center"/>
              <w:rPr>
                <w:rFonts w:cs="Arial"/>
              </w:rPr>
            </w:pPr>
          </w:p>
          <w:p w14:paraId="6E61A341" w14:textId="77777777" w:rsidR="00B712A7" w:rsidRPr="00B712A7" w:rsidRDefault="00B712A7" w:rsidP="0048790F">
            <w:pPr>
              <w:spacing w:line="276" w:lineRule="auto"/>
              <w:ind w:right="-1"/>
              <w:jc w:val="center"/>
              <w:rPr>
                <w:rFonts w:cs="Arial"/>
              </w:rPr>
            </w:pPr>
            <w:r w:rsidRPr="00B712A7">
              <w:rPr>
                <w:rFonts w:cs="Arial"/>
              </w:rPr>
              <w:t>________________________________</w:t>
            </w:r>
          </w:p>
          <w:p w14:paraId="32C0E023" w14:textId="77777777" w:rsidR="00B712A7" w:rsidRPr="00B712A7" w:rsidRDefault="00B712A7" w:rsidP="0048790F">
            <w:pPr>
              <w:spacing w:after="0" w:line="276" w:lineRule="auto"/>
              <w:ind w:right="-1"/>
              <w:jc w:val="center"/>
              <w:rPr>
                <w:rFonts w:cs="Arial"/>
              </w:rPr>
            </w:pPr>
            <w:r w:rsidRPr="00B712A7">
              <w:rPr>
                <w:rFonts w:cs="Arial"/>
              </w:rPr>
              <w:t>M. en D. Tania Lorena Lugo Paz</w:t>
            </w:r>
          </w:p>
          <w:p w14:paraId="2C636B5E" w14:textId="77777777" w:rsidR="00B712A7" w:rsidRPr="00B712A7" w:rsidRDefault="00B712A7" w:rsidP="0048790F">
            <w:pPr>
              <w:spacing w:line="276" w:lineRule="auto"/>
              <w:ind w:right="-1"/>
              <w:jc w:val="center"/>
              <w:rPr>
                <w:rFonts w:cs="Arial"/>
              </w:rPr>
            </w:pPr>
            <w:r w:rsidRPr="00B712A7">
              <w:rPr>
                <w:rFonts w:cs="Arial"/>
                <w:b/>
              </w:rPr>
              <w:t>Directora General del IFREM</w:t>
            </w:r>
          </w:p>
        </w:tc>
        <w:tc>
          <w:tcPr>
            <w:tcW w:w="4490" w:type="dxa"/>
            <w:shd w:val="clear" w:color="auto" w:fill="auto"/>
          </w:tcPr>
          <w:p w14:paraId="7D1AC804" w14:textId="77777777" w:rsidR="00B712A7" w:rsidRPr="00B712A7" w:rsidRDefault="00B712A7" w:rsidP="0048790F">
            <w:pPr>
              <w:spacing w:line="276" w:lineRule="auto"/>
              <w:ind w:right="-1"/>
              <w:jc w:val="center"/>
              <w:rPr>
                <w:rFonts w:cs="Arial"/>
              </w:rPr>
            </w:pPr>
          </w:p>
          <w:p w14:paraId="07783D9D" w14:textId="77777777" w:rsidR="00B712A7" w:rsidRPr="00B712A7" w:rsidRDefault="00B712A7" w:rsidP="0048790F">
            <w:pPr>
              <w:spacing w:line="276" w:lineRule="auto"/>
              <w:ind w:right="-1"/>
              <w:jc w:val="center"/>
              <w:rPr>
                <w:rFonts w:cs="Arial"/>
              </w:rPr>
            </w:pPr>
          </w:p>
          <w:p w14:paraId="2AE062C3" w14:textId="77777777" w:rsidR="00B712A7" w:rsidRPr="00B712A7" w:rsidRDefault="00B712A7" w:rsidP="0048790F">
            <w:pPr>
              <w:spacing w:line="276" w:lineRule="auto"/>
              <w:ind w:right="-1"/>
              <w:jc w:val="center"/>
              <w:rPr>
                <w:rFonts w:cs="Arial"/>
              </w:rPr>
            </w:pPr>
          </w:p>
          <w:p w14:paraId="7D39AB8D" w14:textId="77777777" w:rsidR="00B712A7" w:rsidRPr="00B712A7" w:rsidRDefault="00B712A7" w:rsidP="0048790F">
            <w:pPr>
              <w:spacing w:line="276" w:lineRule="auto"/>
              <w:ind w:right="-1"/>
              <w:jc w:val="center"/>
              <w:rPr>
                <w:rFonts w:cs="Arial"/>
              </w:rPr>
            </w:pPr>
            <w:r w:rsidRPr="00B712A7">
              <w:rPr>
                <w:rFonts w:cs="Arial"/>
              </w:rPr>
              <w:t>________________________________</w:t>
            </w:r>
          </w:p>
          <w:p w14:paraId="287742D3" w14:textId="77777777" w:rsidR="00B712A7" w:rsidRPr="00B712A7" w:rsidRDefault="00B712A7" w:rsidP="0048790F">
            <w:pPr>
              <w:spacing w:after="0" w:line="276" w:lineRule="auto"/>
              <w:ind w:left="544" w:right="-1" w:hanging="261"/>
              <w:jc w:val="center"/>
              <w:rPr>
                <w:rFonts w:cs="Arial"/>
              </w:rPr>
            </w:pPr>
            <w:r w:rsidRPr="00B712A7">
              <w:rPr>
                <w:rFonts w:cs="Arial"/>
              </w:rPr>
              <w:t>L.A.E. Patricia Herrera Vallejo</w:t>
            </w:r>
          </w:p>
          <w:p w14:paraId="024B6336" w14:textId="77777777" w:rsidR="00B712A7" w:rsidRPr="00B712A7" w:rsidRDefault="00B712A7" w:rsidP="0048790F">
            <w:pPr>
              <w:spacing w:line="276" w:lineRule="auto"/>
              <w:ind w:right="-1"/>
              <w:jc w:val="center"/>
              <w:rPr>
                <w:rFonts w:cs="Arial"/>
              </w:rPr>
            </w:pPr>
            <w:r w:rsidRPr="00B712A7">
              <w:rPr>
                <w:rFonts w:cs="Arial"/>
                <w:b/>
              </w:rPr>
              <w:t>Directora de Administración y Finanzas</w:t>
            </w:r>
          </w:p>
        </w:tc>
      </w:tr>
      <w:tr w:rsidR="00B712A7" w:rsidRPr="00B712A7" w14:paraId="08294952" w14:textId="77777777" w:rsidTr="0048790F">
        <w:tblPrEx>
          <w:tblCellMar>
            <w:left w:w="70" w:type="dxa"/>
            <w:right w:w="70" w:type="dxa"/>
          </w:tblCellMar>
        </w:tblPrEx>
        <w:trPr>
          <w:trHeight w:val="171"/>
          <w:jc w:val="center"/>
        </w:trPr>
        <w:tc>
          <w:tcPr>
            <w:tcW w:w="9937" w:type="dxa"/>
            <w:gridSpan w:val="2"/>
            <w:shd w:val="clear" w:color="auto" w:fill="auto"/>
            <w:noWrap/>
            <w:vAlign w:val="bottom"/>
            <w:hideMark/>
          </w:tcPr>
          <w:p w14:paraId="587E161C" w14:textId="77777777" w:rsidR="00B712A7" w:rsidRPr="00B712A7" w:rsidRDefault="00B712A7" w:rsidP="0048790F">
            <w:pPr>
              <w:spacing w:line="276" w:lineRule="auto"/>
              <w:ind w:right="-1"/>
              <w:rPr>
                <w:rFonts w:cs="Arial"/>
              </w:rPr>
            </w:pPr>
          </w:p>
          <w:p w14:paraId="75045295" w14:textId="77777777" w:rsidR="00B712A7" w:rsidRPr="00B712A7" w:rsidRDefault="00B712A7" w:rsidP="0048790F">
            <w:pPr>
              <w:spacing w:line="276" w:lineRule="auto"/>
              <w:ind w:right="-1"/>
              <w:rPr>
                <w:rFonts w:cs="Arial"/>
              </w:rPr>
            </w:pPr>
          </w:p>
          <w:p w14:paraId="41E12753" w14:textId="77777777" w:rsidR="00B712A7" w:rsidRPr="00B712A7" w:rsidRDefault="00B712A7" w:rsidP="0048790F">
            <w:pPr>
              <w:spacing w:line="276" w:lineRule="auto"/>
              <w:ind w:right="-1"/>
              <w:rPr>
                <w:rFonts w:cs="Arial"/>
              </w:rPr>
            </w:pPr>
          </w:p>
          <w:p w14:paraId="75AE651B" w14:textId="77777777" w:rsidR="00B712A7" w:rsidRPr="00B712A7" w:rsidRDefault="00B712A7" w:rsidP="0048790F">
            <w:pPr>
              <w:spacing w:line="276" w:lineRule="auto"/>
              <w:ind w:right="-1"/>
              <w:jc w:val="center"/>
              <w:rPr>
                <w:rFonts w:cs="Arial"/>
              </w:rPr>
            </w:pPr>
            <w:r w:rsidRPr="00B712A7">
              <w:rPr>
                <w:rFonts w:cs="Arial"/>
              </w:rPr>
              <w:t>________________________________</w:t>
            </w:r>
          </w:p>
          <w:p w14:paraId="3E69A15D" w14:textId="77777777" w:rsidR="00B712A7" w:rsidRPr="00B712A7" w:rsidRDefault="00B712A7" w:rsidP="0048790F">
            <w:pPr>
              <w:spacing w:after="0" w:line="276" w:lineRule="auto"/>
              <w:ind w:right="-1"/>
              <w:jc w:val="center"/>
              <w:rPr>
                <w:rFonts w:cs="Arial"/>
              </w:rPr>
            </w:pPr>
            <w:r w:rsidRPr="00B712A7">
              <w:rPr>
                <w:rFonts w:cs="Arial"/>
              </w:rPr>
              <w:t>M.A.P. Antonio Hernández Tenorio</w:t>
            </w:r>
          </w:p>
          <w:p w14:paraId="75603DA1" w14:textId="77777777" w:rsidR="00B712A7" w:rsidRPr="00B712A7" w:rsidRDefault="00B712A7" w:rsidP="0048790F">
            <w:pPr>
              <w:spacing w:line="276" w:lineRule="auto"/>
              <w:ind w:right="-1"/>
              <w:jc w:val="center"/>
              <w:rPr>
                <w:rFonts w:cs="Arial"/>
              </w:rPr>
            </w:pPr>
            <w:r w:rsidRPr="00B712A7">
              <w:rPr>
                <w:rFonts w:cs="Arial"/>
                <w:b/>
              </w:rPr>
              <w:t>Subdirector de Finanzas</w:t>
            </w:r>
          </w:p>
        </w:tc>
      </w:tr>
    </w:tbl>
    <w:p w14:paraId="32EE7DC5" w14:textId="77777777" w:rsidR="00B712A7" w:rsidRPr="00B712A7" w:rsidRDefault="00B712A7" w:rsidP="00B712A7">
      <w:pPr>
        <w:spacing w:line="259" w:lineRule="auto"/>
        <w:rPr>
          <w:rFonts w:cs="Arial"/>
        </w:rPr>
      </w:pPr>
    </w:p>
    <w:p w14:paraId="5A3537A7" w14:textId="38C5EE6F" w:rsidR="009F775A" w:rsidRPr="00B712A7" w:rsidRDefault="009F775A" w:rsidP="00B712A7">
      <w:pPr>
        <w:spacing w:line="259" w:lineRule="auto"/>
        <w:rPr>
          <w:rFonts w:cs="Arial"/>
        </w:rPr>
      </w:pPr>
    </w:p>
    <w:sectPr w:rsidR="009F775A" w:rsidRPr="00B712A7" w:rsidSect="00553E8A">
      <w:headerReference w:type="default" r:id="rId30"/>
      <w:footerReference w:type="default" r:id="rId31"/>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9479" w14:textId="77777777" w:rsidR="002804D1" w:rsidRDefault="002804D1" w:rsidP="0033212B">
      <w:pPr>
        <w:spacing w:after="0" w:line="240" w:lineRule="auto"/>
      </w:pPr>
      <w:r>
        <w:separator/>
      </w:r>
    </w:p>
  </w:endnote>
  <w:endnote w:type="continuationSeparator" w:id="0">
    <w:p w14:paraId="2014A3BC" w14:textId="77777777" w:rsidR="002804D1" w:rsidRDefault="002804D1"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Gotham Bold">
    <w:altName w:val="Segoe UI Semi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14:paraId="4100A9DF" w14:textId="77777777" w:rsidR="00A804C5" w:rsidRDefault="00A804C5" w:rsidP="006351E0">
        <w:pPr>
          <w:tabs>
            <w:tab w:val="left" w:pos="5685"/>
            <w:tab w:val="left" w:pos="8745"/>
            <w:tab w:val="right" w:pos="10062"/>
          </w:tabs>
        </w:pPr>
      </w:p>
      <w:p w14:paraId="5181ADF9" w14:textId="77777777"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5F6A9243" wp14:editId="167A0DCD">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76FBFAC0" w14:textId="0A528780"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DF4AE3">
          <w:rPr>
            <w:b/>
            <w:bCs/>
            <w:noProof/>
          </w:rPr>
          <w:t>21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F4AE3" w:rsidRPr="00DF4AE3">
          <w:rPr>
            <w:b/>
            <w:bCs/>
            <w:noProof/>
            <w:lang w:val="es-ES"/>
          </w:rPr>
          <w:t>27</w:t>
        </w:r>
        <w:r>
          <w:rPr>
            <w:b/>
            <w:bCs/>
          </w:rPr>
          <w:fldChar w:fldCharType="end"/>
        </w:r>
      </w:p>
      <w:p w14:paraId="3BCF9B06" w14:textId="77777777" w:rsidR="00A804C5" w:rsidRDefault="00A804C5" w:rsidP="00FD4233">
        <w:pPr>
          <w:tabs>
            <w:tab w:val="left" w:pos="1635"/>
            <w:tab w:val="center" w:pos="5031"/>
            <w:tab w:val="left" w:pos="6360"/>
            <w:tab w:val="left" w:pos="8445"/>
            <w:tab w:val="right" w:pos="10062"/>
          </w:tabs>
        </w:pPr>
        <w:r>
          <w:tab/>
        </w:r>
        <w:r>
          <w:tab/>
        </w:r>
        <w:r>
          <w:tab/>
        </w:r>
      </w:p>
      <w:p w14:paraId="267B1803" w14:textId="77777777" w:rsidR="00A804C5" w:rsidRDefault="00A804C5" w:rsidP="001A70A8">
        <w:pPr>
          <w:pStyle w:val="Piedepgina"/>
          <w:jc w:val="center"/>
        </w:pPr>
      </w:p>
      <w:p w14:paraId="5B54F4F8" w14:textId="77777777" w:rsidR="00A804C5" w:rsidRDefault="00A804C5" w:rsidP="00FD4233">
        <w:pPr>
          <w:pStyle w:val="Piedepgina"/>
          <w:jc w:val="right"/>
        </w:pPr>
      </w:p>
      <w:p w14:paraId="6546ABAD" w14:textId="77777777" w:rsidR="00A804C5" w:rsidRDefault="00A804C5" w:rsidP="001A70A8">
        <w:pPr>
          <w:pStyle w:val="Piedepgina"/>
          <w:jc w:val="center"/>
        </w:pPr>
      </w:p>
      <w:p w14:paraId="63350707" w14:textId="77777777" w:rsidR="00A804C5" w:rsidRDefault="00A804C5" w:rsidP="00AB0FF1">
        <w:pPr>
          <w:pStyle w:val="Piedepgina"/>
          <w:tabs>
            <w:tab w:val="center" w:pos="5031"/>
            <w:tab w:val="left" w:pos="8520"/>
          </w:tabs>
        </w:pPr>
        <w:r>
          <w:tab/>
        </w:r>
        <w:r>
          <w:tab/>
        </w:r>
        <w:r>
          <w:tab/>
        </w:r>
      </w:p>
    </w:sdtContent>
  </w:sdt>
  <w:p w14:paraId="045B8910"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5FE8" w14:textId="77777777" w:rsidR="002804D1" w:rsidRDefault="002804D1" w:rsidP="0033212B">
      <w:pPr>
        <w:spacing w:after="0" w:line="240" w:lineRule="auto"/>
      </w:pPr>
      <w:r>
        <w:separator/>
      </w:r>
    </w:p>
  </w:footnote>
  <w:footnote w:type="continuationSeparator" w:id="0">
    <w:p w14:paraId="304FDEA9" w14:textId="77777777" w:rsidR="002804D1" w:rsidRDefault="002804D1" w:rsidP="0033212B">
      <w:pPr>
        <w:spacing w:after="0" w:line="240" w:lineRule="auto"/>
      </w:pPr>
      <w:r>
        <w:continuationSeparator/>
      </w:r>
    </w:p>
  </w:footnote>
  <w:footnote w:id="1">
    <w:p w14:paraId="0A3438DC" w14:textId="77777777" w:rsidR="00B712A7" w:rsidRDefault="00B712A7" w:rsidP="00B712A7">
      <w:pPr>
        <w:pStyle w:val="Textonotapie"/>
        <w:rPr>
          <w:rFonts w:ascii="HelveticaNeueLT Std" w:hAnsi="HelveticaNeueLT Std"/>
        </w:rPr>
      </w:pPr>
      <w:r>
        <w:rPr>
          <w:rStyle w:val="Refdenotaalpie"/>
          <w:rFonts w:ascii="HelveticaNeueLT Std" w:hAnsi="HelveticaNeueLT Std"/>
        </w:rPr>
        <w:t>[1]</w:t>
      </w:r>
      <w:r>
        <w:rPr>
          <w:rFonts w:ascii="HelveticaNeueLT Std" w:hAnsi="HelveticaNeueLT Std"/>
        </w:rPr>
        <w:t xml:space="preserve"> https://www.fitchratings.com/site/pr/10106627.</w:t>
      </w:r>
    </w:p>
  </w:footnote>
  <w:footnote w:id="2">
    <w:p w14:paraId="1075F6D0" w14:textId="77777777" w:rsidR="00B712A7" w:rsidRDefault="00B712A7" w:rsidP="00B712A7">
      <w:pPr>
        <w:pStyle w:val="Textonotapie"/>
        <w:rPr>
          <w:rFonts w:ascii="HelveticaNeueLT Std" w:hAnsi="HelveticaNeueLT Std"/>
        </w:rPr>
      </w:pPr>
      <w:r>
        <w:rPr>
          <w:rStyle w:val="Refdenotaalpie"/>
          <w:rFonts w:ascii="HelveticaNeueLT Std" w:hAnsi="HelveticaNeueLT Std"/>
        </w:rPr>
        <w:t>[2]</w:t>
      </w:r>
      <w:r>
        <w:rPr>
          <w:rFonts w:ascii="HelveticaNeueLT Std" w:hAnsi="HelveticaNeueLT Std"/>
        </w:rPr>
        <w:t xml:space="preserve"> https://www.standardandpoors.com/es_LA/delegate/getPDF?articleId=2270854&amp;type=NEWS&amp;subType=RATING_ACTION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EDB2" w14:textId="77777777"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4E4FA749" wp14:editId="60D17B0D">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F7386" w14:textId="77777777" w:rsidR="00A804C5" w:rsidRDefault="00A804C5" w:rsidP="000316D9">
    <w:pPr>
      <w:pStyle w:val="Encabezado"/>
      <w:tabs>
        <w:tab w:val="clear" w:pos="4419"/>
        <w:tab w:val="clear" w:pos="8838"/>
      </w:tabs>
      <w:ind w:left="-1560" w:right="-1652"/>
      <w:jc w:val="center"/>
      <w:rPr>
        <w:noProof/>
        <w:lang w:eastAsia="es-MX"/>
      </w:rPr>
    </w:pPr>
  </w:p>
  <w:p w14:paraId="763F9572" w14:textId="77777777" w:rsidR="00A804C5" w:rsidRDefault="00A804C5" w:rsidP="000316D9">
    <w:pPr>
      <w:pStyle w:val="Encabezado"/>
      <w:tabs>
        <w:tab w:val="clear" w:pos="4419"/>
        <w:tab w:val="clear" w:pos="8838"/>
      </w:tabs>
      <w:ind w:left="-1560" w:right="-1652"/>
      <w:jc w:val="center"/>
      <w:rPr>
        <w:noProof/>
        <w:lang w:eastAsia="es-MX"/>
      </w:rPr>
    </w:pPr>
  </w:p>
  <w:p w14:paraId="00553858"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605F3A3E"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404A5828" w14:textId="77777777" w:rsidR="00FE1A3F" w:rsidRPr="0019217C" w:rsidRDefault="00FE1A3F" w:rsidP="00FE1A3F">
    <w:pPr>
      <w:pStyle w:val="Encabezado"/>
      <w:tabs>
        <w:tab w:val="left" w:pos="708"/>
      </w:tabs>
      <w:ind w:left="-1560" w:right="-1652"/>
      <w:jc w:val="center"/>
      <w:rPr>
        <w:i/>
      </w:rPr>
    </w:pPr>
    <w:r w:rsidRPr="0019217C">
      <w:rPr>
        <w:rFonts w:ascii="Gotham Bold" w:hAnsi="Gotham Bold"/>
        <w:i/>
      </w:rPr>
      <w:t>“2020. Año de Laura Méndez de Cuenca; emblema de la mujer Mexiquense”.</w:t>
    </w:r>
  </w:p>
  <w:p w14:paraId="7F24D384" w14:textId="77777777"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EBC"/>
    <w:multiLevelType w:val="hybridMultilevel"/>
    <w:tmpl w:val="5B38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2136D0"/>
    <w:multiLevelType w:val="hybridMultilevel"/>
    <w:tmpl w:val="F47E43FE"/>
    <w:lvl w:ilvl="0" w:tplc="FB884962">
      <w:start w:val="7"/>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36F80"/>
    <w:multiLevelType w:val="hybridMultilevel"/>
    <w:tmpl w:val="C80868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CAE7C0B"/>
    <w:multiLevelType w:val="hybridMultilevel"/>
    <w:tmpl w:val="D3E81118"/>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7B6922"/>
    <w:multiLevelType w:val="hybridMultilevel"/>
    <w:tmpl w:val="0EEE0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612DB0"/>
    <w:multiLevelType w:val="hybridMultilevel"/>
    <w:tmpl w:val="813EB5E8"/>
    <w:lvl w:ilvl="0" w:tplc="3F7E4BC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C716C09"/>
    <w:multiLevelType w:val="hybridMultilevel"/>
    <w:tmpl w:val="DBD2BA4A"/>
    <w:lvl w:ilvl="0" w:tplc="95AEBE2E">
      <w:start w:val="5"/>
      <w:numFmt w:val="upperRoman"/>
      <w:lvlText w:val="%1."/>
      <w:lvlJc w:val="righ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5964A2D"/>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FA3EED"/>
    <w:multiLevelType w:val="hybridMultilevel"/>
    <w:tmpl w:val="B5D40F92"/>
    <w:lvl w:ilvl="0" w:tplc="9CFAC170">
      <w:start w:val="1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333E5"/>
    <w:multiLevelType w:val="hybridMultilevel"/>
    <w:tmpl w:val="300A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44EB2"/>
    <w:multiLevelType w:val="hybridMultilevel"/>
    <w:tmpl w:val="A4C0D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62DB9"/>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15157B"/>
    <w:multiLevelType w:val="hybridMultilevel"/>
    <w:tmpl w:val="80A0101A"/>
    <w:lvl w:ilvl="0" w:tplc="74181AF0">
      <w:start w:val="11"/>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63CC64BD"/>
    <w:multiLevelType w:val="hybridMultilevel"/>
    <w:tmpl w:val="CFF0D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77FB9"/>
    <w:multiLevelType w:val="hybridMultilevel"/>
    <w:tmpl w:val="3CEECF22"/>
    <w:lvl w:ilvl="0" w:tplc="70F62FD0">
      <w:start w:val="9"/>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03553A"/>
    <w:multiLevelType w:val="hybridMultilevel"/>
    <w:tmpl w:val="46FC9DDA"/>
    <w:lvl w:ilvl="0" w:tplc="3092B35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74ED9"/>
    <w:multiLevelType w:val="hybridMultilevel"/>
    <w:tmpl w:val="4E3A91D0"/>
    <w:lvl w:ilvl="0" w:tplc="4E2EADB0">
      <w:start w:val="9"/>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5413C"/>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D931B4"/>
    <w:multiLevelType w:val="hybridMultilevel"/>
    <w:tmpl w:val="240C442E"/>
    <w:lvl w:ilvl="0" w:tplc="E3FA7F22">
      <w:start w:val="10"/>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757B43"/>
    <w:multiLevelType w:val="hybridMultilevel"/>
    <w:tmpl w:val="1F50B7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E7A66D6"/>
    <w:multiLevelType w:val="hybridMultilevel"/>
    <w:tmpl w:val="AA6EC10E"/>
    <w:lvl w:ilvl="0" w:tplc="077A55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6"/>
  </w:num>
  <w:num w:numId="5">
    <w:abstractNumId w:val="35"/>
  </w:num>
  <w:num w:numId="6">
    <w:abstractNumId w:val="5"/>
  </w:num>
  <w:num w:numId="7">
    <w:abstractNumId w:val="25"/>
  </w:num>
  <w:num w:numId="8">
    <w:abstractNumId w:val="33"/>
  </w:num>
  <w:num w:numId="9">
    <w:abstractNumId w:val="34"/>
  </w:num>
  <w:num w:numId="10">
    <w:abstractNumId w:val="24"/>
  </w:num>
  <w:num w:numId="11">
    <w:abstractNumId w:val="12"/>
  </w:num>
  <w:num w:numId="12">
    <w:abstractNumId w:val="2"/>
  </w:num>
  <w:num w:numId="13">
    <w:abstractNumId w:val="1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num>
  <w:num w:numId="25">
    <w:abstractNumId w:val="17"/>
  </w:num>
  <w:num w:numId="26">
    <w:abstractNumId w:val="22"/>
  </w:num>
  <w:num w:numId="27">
    <w:abstractNumId w:val="13"/>
  </w:num>
  <w:num w:numId="28">
    <w:abstractNumId w:val="15"/>
  </w:num>
  <w:num w:numId="2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32"/>
  </w:num>
  <w:num w:numId="33">
    <w:abstractNumId w:val="0"/>
  </w:num>
  <w:num w:numId="34">
    <w:abstractNumId w:val="19"/>
  </w:num>
  <w:num w:numId="35">
    <w:abstractNumId w:val="23"/>
  </w:num>
  <w:num w:numId="36">
    <w:abstractNumId w:val="27"/>
  </w:num>
  <w:num w:numId="37">
    <w:abstractNumId w:val="20"/>
  </w:num>
  <w:num w:numId="38">
    <w:abstractNumId w:val="21"/>
  </w:num>
  <w:num w:numId="39">
    <w:abstractNumId w:val="30"/>
  </w:num>
  <w:num w:numId="40">
    <w:abstractNumId w:val="31"/>
  </w:num>
  <w:num w:numId="41">
    <w:abstractNumId w:val="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27DB"/>
    <w:rsid w:val="00003D73"/>
    <w:rsid w:val="00006ED2"/>
    <w:rsid w:val="00010FD9"/>
    <w:rsid w:val="00012845"/>
    <w:rsid w:val="0001352F"/>
    <w:rsid w:val="00013CA0"/>
    <w:rsid w:val="00015E63"/>
    <w:rsid w:val="00015FA6"/>
    <w:rsid w:val="00016F2A"/>
    <w:rsid w:val="0001768C"/>
    <w:rsid w:val="00020432"/>
    <w:rsid w:val="00021DE1"/>
    <w:rsid w:val="00022C7E"/>
    <w:rsid w:val="000265E6"/>
    <w:rsid w:val="00026EBB"/>
    <w:rsid w:val="00030B0F"/>
    <w:rsid w:val="00030B5E"/>
    <w:rsid w:val="000316D9"/>
    <w:rsid w:val="000317E9"/>
    <w:rsid w:val="000326A2"/>
    <w:rsid w:val="0003577A"/>
    <w:rsid w:val="0003731C"/>
    <w:rsid w:val="00037C59"/>
    <w:rsid w:val="000405AF"/>
    <w:rsid w:val="000413C6"/>
    <w:rsid w:val="00043D55"/>
    <w:rsid w:val="00045845"/>
    <w:rsid w:val="000476DA"/>
    <w:rsid w:val="00050B6C"/>
    <w:rsid w:val="000526C7"/>
    <w:rsid w:val="000564CF"/>
    <w:rsid w:val="00057473"/>
    <w:rsid w:val="00057789"/>
    <w:rsid w:val="0006176E"/>
    <w:rsid w:val="00061AB7"/>
    <w:rsid w:val="00062DFB"/>
    <w:rsid w:val="000638B3"/>
    <w:rsid w:val="00064186"/>
    <w:rsid w:val="000641A2"/>
    <w:rsid w:val="00065EED"/>
    <w:rsid w:val="00065FD4"/>
    <w:rsid w:val="0007108F"/>
    <w:rsid w:val="00072B06"/>
    <w:rsid w:val="00073B8C"/>
    <w:rsid w:val="0008290A"/>
    <w:rsid w:val="00082CB1"/>
    <w:rsid w:val="00083D56"/>
    <w:rsid w:val="00084D06"/>
    <w:rsid w:val="00084D64"/>
    <w:rsid w:val="00094250"/>
    <w:rsid w:val="00094DD0"/>
    <w:rsid w:val="0009517D"/>
    <w:rsid w:val="00096447"/>
    <w:rsid w:val="000968F8"/>
    <w:rsid w:val="000A046D"/>
    <w:rsid w:val="000A081E"/>
    <w:rsid w:val="000A228A"/>
    <w:rsid w:val="000A2ADF"/>
    <w:rsid w:val="000A2B0A"/>
    <w:rsid w:val="000A30E0"/>
    <w:rsid w:val="000A3489"/>
    <w:rsid w:val="000A3DA3"/>
    <w:rsid w:val="000A4773"/>
    <w:rsid w:val="000A4B51"/>
    <w:rsid w:val="000A4CD9"/>
    <w:rsid w:val="000A4FB8"/>
    <w:rsid w:val="000A52F1"/>
    <w:rsid w:val="000A7CAE"/>
    <w:rsid w:val="000B027A"/>
    <w:rsid w:val="000B03BB"/>
    <w:rsid w:val="000B07D7"/>
    <w:rsid w:val="000B0F33"/>
    <w:rsid w:val="000B124F"/>
    <w:rsid w:val="000C0132"/>
    <w:rsid w:val="000C08D7"/>
    <w:rsid w:val="000C5056"/>
    <w:rsid w:val="000C5544"/>
    <w:rsid w:val="000C7DD0"/>
    <w:rsid w:val="000D01F5"/>
    <w:rsid w:val="000D09FF"/>
    <w:rsid w:val="000D1290"/>
    <w:rsid w:val="000D1B63"/>
    <w:rsid w:val="000D40F1"/>
    <w:rsid w:val="000D5865"/>
    <w:rsid w:val="000D5A73"/>
    <w:rsid w:val="000E0552"/>
    <w:rsid w:val="000E31FD"/>
    <w:rsid w:val="000E38D9"/>
    <w:rsid w:val="000E5435"/>
    <w:rsid w:val="000E57F1"/>
    <w:rsid w:val="000E650B"/>
    <w:rsid w:val="000E7537"/>
    <w:rsid w:val="000F0D32"/>
    <w:rsid w:val="000F401A"/>
    <w:rsid w:val="000F4A95"/>
    <w:rsid w:val="000F4FF2"/>
    <w:rsid w:val="000F737A"/>
    <w:rsid w:val="00100535"/>
    <w:rsid w:val="00105047"/>
    <w:rsid w:val="00105746"/>
    <w:rsid w:val="001104E6"/>
    <w:rsid w:val="001104EE"/>
    <w:rsid w:val="00110CC9"/>
    <w:rsid w:val="00113064"/>
    <w:rsid w:val="001135F5"/>
    <w:rsid w:val="00114174"/>
    <w:rsid w:val="001167C1"/>
    <w:rsid w:val="00121D31"/>
    <w:rsid w:val="0012306F"/>
    <w:rsid w:val="00123396"/>
    <w:rsid w:val="00124778"/>
    <w:rsid w:val="00124F83"/>
    <w:rsid w:val="00125235"/>
    <w:rsid w:val="001255FF"/>
    <w:rsid w:val="00130EA5"/>
    <w:rsid w:val="00136FAC"/>
    <w:rsid w:val="00140429"/>
    <w:rsid w:val="001433AD"/>
    <w:rsid w:val="001436FB"/>
    <w:rsid w:val="00143879"/>
    <w:rsid w:val="0014449F"/>
    <w:rsid w:val="00152B8F"/>
    <w:rsid w:val="00152CE4"/>
    <w:rsid w:val="00153C26"/>
    <w:rsid w:val="00154103"/>
    <w:rsid w:val="00154D1C"/>
    <w:rsid w:val="00155156"/>
    <w:rsid w:val="001554DD"/>
    <w:rsid w:val="00155A9D"/>
    <w:rsid w:val="001570DC"/>
    <w:rsid w:val="001600FB"/>
    <w:rsid w:val="0016041F"/>
    <w:rsid w:val="00160821"/>
    <w:rsid w:val="00163812"/>
    <w:rsid w:val="0016506D"/>
    <w:rsid w:val="001678EA"/>
    <w:rsid w:val="00171698"/>
    <w:rsid w:val="00173CC3"/>
    <w:rsid w:val="00173DBF"/>
    <w:rsid w:val="00174100"/>
    <w:rsid w:val="00175DCD"/>
    <w:rsid w:val="001760E2"/>
    <w:rsid w:val="001800B6"/>
    <w:rsid w:val="00180232"/>
    <w:rsid w:val="00180A93"/>
    <w:rsid w:val="001811A8"/>
    <w:rsid w:val="0018123E"/>
    <w:rsid w:val="00181B3F"/>
    <w:rsid w:val="00183F2F"/>
    <w:rsid w:val="00184BE1"/>
    <w:rsid w:val="00191331"/>
    <w:rsid w:val="00191E56"/>
    <w:rsid w:val="00194F29"/>
    <w:rsid w:val="00195ADE"/>
    <w:rsid w:val="001969B5"/>
    <w:rsid w:val="001A0DBE"/>
    <w:rsid w:val="001A3EA4"/>
    <w:rsid w:val="001A42C4"/>
    <w:rsid w:val="001A6D07"/>
    <w:rsid w:val="001A70A8"/>
    <w:rsid w:val="001B054A"/>
    <w:rsid w:val="001B0613"/>
    <w:rsid w:val="001B1326"/>
    <w:rsid w:val="001B1E2C"/>
    <w:rsid w:val="001B3BFD"/>
    <w:rsid w:val="001B4811"/>
    <w:rsid w:val="001B6A78"/>
    <w:rsid w:val="001B79F0"/>
    <w:rsid w:val="001C1913"/>
    <w:rsid w:val="001C2D9F"/>
    <w:rsid w:val="001C32DD"/>
    <w:rsid w:val="001C33D8"/>
    <w:rsid w:val="001C36BA"/>
    <w:rsid w:val="001C6622"/>
    <w:rsid w:val="001C72C4"/>
    <w:rsid w:val="001D1BE7"/>
    <w:rsid w:val="001D237E"/>
    <w:rsid w:val="001D5057"/>
    <w:rsid w:val="001D5210"/>
    <w:rsid w:val="001D5A6E"/>
    <w:rsid w:val="001D74CB"/>
    <w:rsid w:val="001D793E"/>
    <w:rsid w:val="001E06EF"/>
    <w:rsid w:val="001E1B89"/>
    <w:rsid w:val="001E25C6"/>
    <w:rsid w:val="001E396C"/>
    <w:rsid w:val="001E4762"/>
    <w:rsid w:val="001E4D68"/>
    <w:rsid w:val="001E5489"/>
    <w:rsid w:val="001F05AD"/>
    <w:rsid w:val="001F0CE1"/>
    <w:rsid w:val="001F1301"/>
    <w:rsid w:val="001F1B28"/>
    <w:rsid w:val="001F1EE1"/>
    <w:rsid w:val="001F1FF9"/>
    <w:rsid w:val="001F5305"/>
    <w:rsid w:val="001F58A5"/>
    <w:rsid w:val="001F69B3"/>
    <w:rsid w:val="00200343"/>
    <w:rsid w:val="00201773"/>
    <w:rsid w:val="0020245B"/>
    <w:rsid w:val="0020644C"/>
    <w:rsid w:val="00213972"/>
    <w:rsid w:val="00216916"/>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580"/>
    <w:rsid w:val="00244598"/>
    <w:rsid w:val="00245317"/>
    <w:rsid w:val="0024535F"/>
    <w:rsid w:val="00246044"/>
    <w:rsid w:val="002465BB"/>
    <w:rsid w:val="0025080E"/>
    <w:rsid w:val="00251395"/>
    <w:rsid w:val="00251DC8"/>
    <w:rsid w:val="00256473"/>
    <w:rsid w:val="00256F96"/>
    <w:rsid w:val="00264D0E"/>
    <w:rsid w:val="00267222"/>
    <w:rsid w:val="0026744F"/>
    <w:rsid w:val="00272BA0"/>
    <w:rsid w:val="002734FE"/>
    <w:rsid w:val="00273EB5"/>
    <w:rsid w:val="00274345"/>
    <w:rsid w:val="00276066"/>
    <w:rsid w:val="002804D1"/>
    <w:rsid w:val="00280535"/>
    <w:rsid w:val="00280B40"/>
    <w:rsid w:val="0028147E"/>
    <w:rsid w:val="002859B7"/>
    <w:rsid w:val="00287E5C"/>
    <w:rsid w:val="002909EB"/>
    <w:rsid w:val="002911AD"/>
    <w:rsid w:val="00292418"/>
    <w:rsid w:val="00293DA7"/>
    <w:rsid w:val="00296101"/>
    <w:rsid w:val="002969C0"/>
    <w:rsid w:val="002A193B"/>
    <w:rsid w:val="002A2AAD"/>
    <w:rsid w:val="002A5B22"/>
    <w:rsid w:val="002A7A96"/>
    <w:rsid w:val="002B002F"/>
    <w:rsid w:val="002B010B"/>
    <w:rsid w:val="002B0BED"/>
    <w:rsid w:val="002B23B8"/>
    <w:rsid w:val="002B344E"/>
    <w:rsid w:val="002B5493"/>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E0E52"/>
    <w:rsid w:val="002E2BBF"/>
    <w:rsid w:val="002E378E"/>
    <w:rsid w:val="002E3C79"/>
    <w:rsid w:val="002E3F40"/>
    <w:rsid w:val="002E3F91"/>
    <w:rsid w:val="002E4880"/>
    <w:rsid w:val="002E55E9"/>
    <w:rsid w:val="002E63CE"/>
    <w:rsid w:val="002E7BFD"/>
    <w:rsid w:val="002E7C1A"/>
    <w:rsid w:val="002F1339"/>
    <w:rsid w:val="002F561B"/>
    <w:rsid w:val="002F7710"/>
    <w:rsid w:val="002F7CAF"/>
    <w:rsid w:val="00300C9C"/>
    <w:rsid w:val="00301158"/>
    <w:rsid w:val="003042BB"/>
    <w:rsid w:val="003047F9"/>
    <w:rsid w:val="00306181"/>
    <w:rsid w:val="003122EC"/>
    <w:rsid w:val="003135E5"/>
    <w:rsid w:val="00316036"/>
    <w:rsid w:val="0031644B"/>
    <w:rsid w:val="00316D48"/>
    <w:rsid w:val="00316D5D"/>
    <w:rsid w:val="00316DEB"/>
    <w:rsid w:val="00320151"/>
    <w:rsid w:val="00320C0E"/>
    <w:rsid w:val="003217AE"/>
    <w:rsid w:val="00322CA9"/>
    <w:rsid w:val="0032595A"/>
    <w:rsid w:val="00331541"/>
    <w:rsid w:val="0033212B"/>
    <w:rsid w:val="00333772"/>
    <w:rsid w:val="00336040"/>
    <w:rsid w:val="0033665F"/>
    <w:rsid w:val="003432D8"/>
    <w:rsid w:val="00343555"/>
    <w:rsid w:val="00343EFA"/>
    <w:rsid w:val="003476D9"/>
    <w:rsid w:val="00347A93"/>
    <w:rsid w:val="0035214D"/>
    <w:rsid w:val="003537A0"/>
    <w:rsid w:val="0035391C"/>
    <w:rsid w:val="003542D6"/>
    <w:rsid w:val="00354592"/>
    <w:rsid w:val="003547B9"/>
    <w:rsid w:val="00356AAE"/>
    <w:rsid w:val="00356C4C"/>
    <w:rsid w:val="00356CF2"/>
    <w:rsid w:val="00361EF9"/>
    <w:rsid w:val="00362C2A"/>
    <w:rsid w:val="00363D07"/>
    <w:rsid w:val="003648E4"/>
    <w:rsid w:val="003651B1"/>
    <w:rsid w:val="0036630F"/>
    <w:rsid w:val="003666CC"/>
    <w:rsid w:val="00367E78"/>
    <w:rsid w:val="00370BA2"/>
    <w:rsid w:val="00370DAC"/>
    <w:rsid w:val="00372A64"/>
    <w:rsid w:val="003734DF"/>
    <w:rsid w:val="00373AD7"/>
    <w:rsid w:val="00373C05"/>
    <w:rsid w:val="00374D28"/>
    <w:rsid w:val="00376CAF"/>
    <w:rsid w:val="0038035B"/>
    <w:rsid w:val="003807BD"/>
    <w:rsid w:val="00380CB3"/>
    <w:rsid w:val="0038121B"/>
    <w:rsid w:val="003826EC"/>
    <w:rsid w:val="0038291E"/>
    <w:rsid w:val="00383861"/>
    <w:rsid w:val="0038425C"/>
    <w:rsid w:val="00390BB9"/>
    <w:rsid w:val="00392564"/>
    <w:rsid w:val="003936EC"/>
    <w:rsid w:val="0039385E"/>
    <w:rsid w:val="00394024"/>
    <w:rsid w:val="003A05A0"/>
    <w:rsid w:val="003A2CD8"/>
    <w:rsid w:val="003A39D3"/>
    <w:rsid w:val="003A3A0B"/>
    <w:rsid w:val="003A4CCC"/>
    <w:rsid w:val="003A50C1"/>
    <w:rsid w:val="003A7B09"/>
    <w:rsid w:val="003B2588"/>
    <w:rsid w:val="003B3E10"/>
    <w:rsid w:val="003B6142"/>
    <w:rsid w:val="003C037F"/>
    <w:rsid w:val="003C03E7"/>
    <w:rsid w:val="003C0FA2"/>
    <w:rsid w:val="003C1F1B"/>
    <w:rsid w:val="003C5964"/>
    <w:rsid w:val="003C5EF2"/>
    <w:rsid w:val="003C6C0E"/>
    <w:rsid w:val="003C7D90"/>
    <w:rsid w:val="003D03BC"/>
    <w:rsid w:val="003D677E"/>
    <w:rsid w:val="003D73E4"/>
    <w:rsid w:val="003D7CBE"/>
    <w:rsid w:val="003E5B9A"/>
    <w:rsid w:val="003E779C"/>
    <w:rsid w:val="003F0258"/>
    <w:rsid w:val="003F07F3"/>
    <w:rsid w:val="003F18B1"/>
    <w:rsid w:val="003F517E"/>
    <w:rsid w:val="003F6EAF"/>
    <w:rsid w:val="003F76F5"/>
    <w:rsid w:val="003F77FC"/>
    <w:rsid w:val="00402DCF"/>
    <w:rsid w:val="00403858"/>
    <w:rsid w:val="004039C8"/>
    <w:rsid w:val="00403D57"/>
    <w:rsid w:val="004059A4"/>
    <w:rsid w:val="00407A26"/>
    <w:rsid w:val="00407C3C"/>
    <w:rsid w:val="004161C8"/>
    <w:rsid w:val="00416639"/>
    <w:rsid w:val="00416696"/>
    <w:rsid w:val="00416D8B"/>
    <w:rsid w:val="004172FF"/>
    <w:rsid w:val="0041778B"/>
    <w:rsid w:val="00422466"/>
    <w:rsid w:val="00422EE1"/>
    <w:rsid w:val="00424CE4"/>
    <w:rsid w:val="00425087"/>
    <w:rsid w:val="00425ED0"/>
    <w:rsid w:val="004264A2"/>
    <w:rsid w:val="00430DBD"/>
    <w:rsid w:val="0043257C"/>
    <w:rsid w:val="00432E72"/>
    <w:rsid w:val="00435EDC"/>
    <w:rsid w:val="004378BA"/>
    <w:rsid w:val="00440F0A"/>
    <w:rsid w:val="00441158"/>
    <w:rsid w:val="00443064"/>
    <w:rsid w:val="004443F1"/>
    <w:rsid w:val="004448D3"/>
    <w:rsid w:val="004469C7"/>
    <w:rsid w:val="004472ED"/>
    <w:rsid w:val="004500FD"/>
    <w:rsid w:val="004520EC"/>
    <w:rsid w:val="004527F5"/>
    <w:rsid w:val="00452CB3"/>
    <w:rsid w:val="00452FAB"/>
    <w:rsid w:val="004559AD"/>
    <w:rsid w:val="0045633F"/>
    <w:rsid w:val="004579B6"/>
    <w:rsid w:val="00457D93"/>
    <w:rsid w:val="00457F14"/>
    <w:rsid w:val="00461CA3"/>
    <w:rsid w:val="00465387"/>
    <w:rsid w:val="0047049F"/>
    <w:rsid w:val="00470F5A"/>
    <w:rsid w:val="0047201F"/>
    <w:rsid w:val="004723C3"/>
    <w:rsid w:val="00473507"/>
    <w:rsid w:val="00474B22"/>
    <w:rsid w:val="00475177"/>
    <w:rsid w:val="004756FF"/>
    <w:rsid w:val="00477F60"/>
    <w:rsid w:val="004804B4"/>
    <w:rsid w:val="004842BC"/>
    <w:rsid w:val="0048444A"/>
    <w:rsid w:val="0048474F"/>
    <w:rsid w:val="004852AC"/>
    <w:rsid w:val="004852C4"/>
    <w:rsid w:val="004860DC"/>
    <w:rsid w:val="004877CF"/>
    <w:rsid w:val="00493A69"/>
    <w:rsid w:val="00494444"/>
    <w:rsid w:val="0049527E"/>
    <w:rsid w:val="004A0297"/>
    <w:rsid w:val="004A0A66"/>
    <w:rsid w:val="004A1DEA"/>
    <w:rsid w:val="004A2C5A"/>
    <w:rsid w:val="004A3EEB"/>
    <w:rsid w:val="004A4070"/>
    <w:rsid w:val="004A5E62"/>
    <w:rsid w:val="004A7DE6"/>
    <w:rsid w:val="004A7E69"/>
    <w:rsid w:val="004B02A5"/>
    <w:rsid w:val="004B437E"/>
    <w:rsid w:val="004B580C"/>
    <w:rsid w:val="004B60E1"/>
    <w:rsid w:val="004B6E4E"/>
    <w:rsid w:val="004B7331"/>
    <w:rsid w:val="004B75FD"/>
    <w:rsid w:val="004C0175"/>
    <w:rsid w:val="004C21AF"/>
    <w:rsid w:val="004C2625"/>
    <w:rsid w:val="004C2985"/>
    <w:rsid w:val="004C34C6"/>
    <w:rsid w:val="004C4D2F"/>
    <w:rsid w:val="004C615E"/>
    <w:rsid w:val="004C657B"/>
    <w:rsid w:val="004C6C82"/>
    <w:rsid w:val="004C76D3"/>
    <w:rsid w:val="004D25FE"/>
    <w:rsid w:val="004D31AC"/>
    <w:rsid w:val="004D3578"/>
    <w:rsid w:val="004D4C6E"/>
    <w:rsid w:val="004D51CE"/>
    <w:rsid w:val="004D5518"/>
    <w:rsid w:val="004E18BD"/>
    <w:rsid w:val="004E32A4"/>
    <w:rsid w:val="004E50D3"/>
    <w:rsid w:val="004E5AD9"/>
    <w:rsid w:val="004E5C54"/>
    <w:rsid w:val="004E600D"/>
    <w:rsid w:val="004E62E7"/>
    <w:rsid w:val="004F0F88"/>
    <w:rsid w:val="004F206A"/>
    <w:rsid w:val="004F62FB"/>
    <w:rsid w:val="004F7873"/>
    <w:rsid w:val="005007BC"/>
    <w:rsid w:val="00500D5E"/>
    <w:rsid w:val="005021B6"/>
    <w:rsid w:val="00502422"/>
    <w:rsid w:val="0050315F"/>
    <w:rsid w:val="00503F8F"/>
    <w:rsid w:val="0050418D"/>
    <w:rsid w:val="0050496B"/>
    <w:rsid w:val="00505DD1"/>
    <w:rsid w:val="005061FC"/>
    <w:rsid w:val="00506F2B"/>
    <w:rsid w:val="00511D50"/>
    <w:rsid w:val="00516075"/>
    <w:rsid w:val="00516FE9"/>
    <w:rsid w:val="005232EF"/>
    <w:rsid w:val="005236DD"/>
    <w:rsid w:val="0052527A"/>
    <w:rsid w:val="00525B78"/>
    <w:rsid w:val="0052620D"/>
    <w:rsid w:val="00530C8F"/>
    <w:rsid w:val="005315CD"/>
    <w:rsid w:val="005315E2"/>
    <w:rsid w:val="00531E46"/>
    <w:rsid w:val="00531E6D"/>
    <w:rsid w:val="0053225F"/>
    <w:rsid w:val="00535EEE"/>
    <w:rsid w:val="00540099"/>
    <w:rsid w:val="005401DA"/>
    <w:rsid w:val="00540D74"/>
    <w:rsid w:val="005422C9"/>
    <w:rsid w:val="005424DC"/>
    <w:rsid w:val="0054345B"/>
    <w:rsid w:val="00543F0C"/>
    <w:rsid w:val="0054413A"/>
    <w:rsid w:val="0054468D"/>
    <w:rsid w:val="0054544A"/>
    <w:rsid w:val="0054583C"/>
    <w:rsid w:val="00545FCF"/>
    <w:rsid w:val="00546879"/>
    <w:rsid w:val="00553AFE"/>
    <w:rsid w:val="00553E8A"/>
    <w:rsid w:val="005564DB"/>
    <w:rsid w:val="00561128"/>
    <w:rsid w:val="00561944"/>
    <w:rsid w:val="00563832"/>
    <w:rsid w:val="005664C2"/>
    <w:rsid w:val="00566ACC"/>
    <w:rsid w:val="005675CB"/>
    <w:rsid w:val="00567F22"/>
    <w:rsid w:val="00571B2E"/>
    <w:rsid w:val="005742F2"/>
    <w:rsid w:val="005749BF"/>
    <w:rsid w:val="00575F71"/>
    <w:rsid w:val="00576382"/>
    <w:rsid w:val="005775FD"/>
    <w:rsid w:val="00577D1D"/>
    <w:rsid w:val="00580993"/>
    <w:rsid w:val="005838D0"/>
    <w:rsid w:val="00583F1C"/>
    <w:rsid w:val="00585C33"/>
    <w:rsid w:val="00586CC3"/>
    <w:rsid w:val="00587023"/>
    <w:rsid w:val="005918DD"/>
    <w:rsid w:val="00592EEE"/>
    <w:rsid w:val="0059721A"/>
    <w:rsid w:val="00597F23"/>
    <w:rsid w:val="005A04FC"/>
    <w:rsid w:val="005A152D"/>
    <w:rsid w:val="005A19BD"/>
    <w:rsid w:val="005A2590"/>
    <w:rsid w:val="005A2D24"/>
    <w:rsid w:val="005A30FD"/>
    <w:rsid w:val="005A3ADB"/>
    <w:rsid w:val="005A71C4"/>
    <w:rsid w:val="005B0384"/>
    <w:rsid w:val="005B07E5"/>
    <w:rsid w:val="005B0C56"/>
    <w:rsid w:val="005B0D19"/>
    <w:rsid w:val="005B1A6C"/>
    <w:rsid w:val="005B1BC5"/>
    <w:rsid w:val="005B249B"/>
    <w:rsid w:val="005B2D41"/>
    <w:rsid w:val="005B3276"/>
    <w:rsid w:val="005B362E"/>
    <w:rsid w:val="005B5595"/>
    <w:rsid w:val="005B7E9C"/>
    <w:rsid w:val="005C0109"/>
    <w:rsid w:val="005C38DA"/>
    <w:rsid w:val="005C5D67"/>
    <w:rsid w:val="005C7E42"/>
    <w:rsid w:val="005D19DA"/>
    <w:rsid w:val="005D1EF0"/>
    <w:rsid w:val="005D3019"/>
    <w:rsid w:val="005D6F75"/>
    <w:rsid w:val="005E1C2B"/>
    <w:rsid w:val="005E1F09"/>
    <w:rsid w:val="005E256A"/>
    <w:rsid w:val="005E6375"/>
    <w:rsid w:val="005E71C8"/>
    <w:rsid w:val="005F2A70"/>
    <w:rsid w:val="005F49EE"/>
    <w:rsid w:val="005F4D2A"/>
    <w:rsid w:val="005F5123"/>
    <w:rsid w:val="005F6990"/>
    <w:rsid w:val="005F78B1"/>
    <w:rsid w:val="006009FE"/>
    <w:rsid w:val="00601E78"/>
    <w:rsid w:val="00601EF7"/>
    <w:rsid w:val="006025F2"/>
    <w:rsid w:val="006036C9"/>
    <w:rsid w:val="00605468"/>
    <w:rsid w:val="00606708"/>
    <w:rsid w:val="006144D0"/>
    <w:rsid w:val="00615FD2"/>
    <w:rsid w:val="00621960"/>
    <w:rsid w:val="00625B63"/>
    <w:rsid w:val="00626153"/>
    <w:rsid w:val="006263F4"/>
    <w:rsid w:val="00626624"/>
    <w:rsid w:val="00626837"/>
    <w:rsid w:val="00627139"/>
    <w:rsid w:val="00627646"/>
    <w:rsid w:val="006316F5"/>
    <w:rsid w:val="00633775"/>
    <w:rsid w:val="00634018"/>
    <w:rsid w:val="006349FF"/>
    <w:rsid w:val="006351E0"/>
    <w:rsid w:val="00641BEC"/>
    <w:rsid w:val="00643245"/>
    <w:rsid w:val="006438DB"/>
    <w:rsid w:val="00644B34"/>
    <w:rsid w:val="006455A3"/>
    <w:rsid w:val="006469D5"/>
    <w:rsid w:val="00650A58"/>
    <w:rsid w:val="00650E02"/>
    <w:rsid w:val="0065176D"/>
    <w:rsid w:val="006520D8"/>
    <w:rsid w:val="006550DA"/>
    <w:rsid w:val="00656782"/>
    <w:rsid w:val="006606B4"/>
    <w:rsid w:val="00663398"/>
    <w:rsid w:val="00664E0B"/>
    <w:rsid w:val="0066623A"/>
    <w:rsid w:val="00666E99"/>
    <w:rsid w:val="006672D5"/>
    <w:rsid w:val="00670AFA"/>
    <w:rsid w:val="00672170"/>
    <w:rsid w:val="006728A2"/>
    <w:rsid w:val="00674801"/>
    <w:rsid w:val="00674E6E"/>
    <w:rsid w:val="00677C31"/>
    <w:rsid w:val="00680A49"/>
    <w:rsid w:val="00680B0D"/>
    <w:rsid w:val="006879C5"/>
    <w:rsid w:val="00687CE9"/>
    <w:rsid w:val="00687E64"/>
    <w:rsid w:val="0069055E"/>
    <w:rsid w:val="0069079F"/>
    <w:rsid w:val="00690B43"/>
    <w:rsid w:val="006927F6"/>
    <w:rsid w:val="00692FA9"/>
    <w:rsid w:val="0069441D"/>
    <w:rsid w:val="00697072"/>
    <w:rsid w:val="006A0458"/>
    <w:rsid w:val="006A26F4"/>
    <w:rsid w:val="006B39D4"/>
    <w:rsid w:val="006B7822"/>
    <w:rsid w:val="006B7E1E"/>
    <w:rsid w:val="006C2B12"/>
    <w:rsid w:val="006C3420"/>
    <w:rsid w:val="006C38BA"/>
    <w:rsid w:val="006C4937"/>
    <w:rsid w:val="006C528C"/>
    <w:rsid w:val="006C5E13"/>
    <w:rsid w:val="006C60C9"/>
    <w:rsid w:val="006D0054"/>
    <w:rsid w:val="006D0936"/>
    <w:rsid w:val="006D4910"/>
    <w:rsid w:val="006D4E0F"/>
    <w:rsid w:val="006D59EE"/>
    <w:rsid w:val="006D64B9"/>
    <w:rsid w:val="006D7A83"/>
    <w:rsid w:val="006E3956"/>
    <w:rsid w:val="006E7E9B"/>
    <w:rsid w:val="006F0622"/>
    <w:rsid w:val="006F13E1"/>
    <w:rsid w:val="006F3551"/>
    <w:rsid w:val="006F3847"/>
    <w:rsid w:val="006F452D"/>
    <w:rsid w:val="006F4BB9"/>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A0A"/>
    <w:rsid w:val="00727B8C"/>
    <w:rsid w:val="007301D1"/>
    <w:rsid w:val="00731A5E"/>
    <w:rsid w:val="00732F90"/>
    <w:rsid w:val="007345BE"/>
    <w:rsid w:val="00735DD5"/>
    <w:rsid w:val="007408E5"/>
    <w:rsid w:val="00741A01"/>
    <w:rsid w:val="007443F9"/>
    <w:rsid w:val="007459BA"/>
    <w:rsid w:val="00747448"/>
    <w:rsid w:val="007504F6"/>
    <w:rsid w:val="0075184C"/>
    <w:rsid w:val="00752500"/>
    <w:rsid w:val="00752B61"/>
    <w:rsid w:val="00752C13"/>
    <w:rsid w:val="00753983"/>
    <w:rsid w:val="00753E4E"/>
    <w:rsid w:val="0075427E"/>
    <w:rsid w:val="007546B4"/>
    <w:rsid w:val="0075502E"/>
    <w:rsid w:val="0075655B"/>
    <w:rsid w:val="00756B31"/>
    <w:rsid w:val="00757FE6"/>
    <w:rsid w:val="00760B58"/>
    <w:rsid w:val="00760E82"/>
    <w:rsid w:val="00761032"/>
    <w:rsid w:val="00761311"/>
    <w:rsid w:val="007623BC"/>
    <w:rsid w:val="007628FC"/>
    <w:rsid w:val="00763B0C"/>
    <w:rsid w:val="00764597"/>
    <w:rsid w:val="007646CA"/>
    <w:rsid w:val="00765B40"/>
    <w:rsid w:val="00766978"/>
    <w:rsid w:val="00774172"/>
    <w:rsid w:val="00775047"/>
    <w:rsid w:val="00781304"/>
    <w:rsid w:val="00783D18"/>
    <w:rsid w:val="00783DEF"/>
    <w:rsid w:val="0078429D"/>
    <w:rsid w:val="00784929"/>
    <w:rsid w:val="00784C3E"/>
    <w:rsid w:val="00786F7D"/>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586B"/>
    <w:rsid w:val="007A5DB9"/>
    <w:rsid w:val="007A67F3"/>
    <w:rsid w:val="007A7E25"/>
    <w:rsid w:val="007B0AE7"/>
    <w:rsid w:val="007B3BFE"/>
    <w:rsid w:val="007B5B7F"/>
    <w:rsid w:val="007C042A"/>
    <w:rsid w:val="007C091C"/>
    <w:rsid w:val="007C593C"/>
    <w:rsid w:val="007C5FDC"/>
    <w:rsid w:val="007C6090"/>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5F1A"/>
    <w:rsid w:val="007F5F3F"/>
    <w:rsid w:val="007F7333"/>
    <w:rsid w:val="007F76B0"/>
    <w:rsid w:val="007F7B65"/>
    <w:rsid w:val="007F7F08"/>
    <w:rsid w:val="008000D4"/>
    <w:rsid w:val="00800255"/>
    <w:rsid w:val="0080173F"/>
    <w:rsid w:val="008021B2"/>
    <w:rsid w:val="00802B5E"/>
    <w:rsid w:val="00803C02"/>
    <w:rsid w:val="00804268"/>
    <w:rsid w:val="0080451F"/>
    <w:rsid w:val="0080755B"/>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8D1"/>
    <w:rsid w:val="00834FA0"/>
    <w:rsid w:val="00834FF2"/>
    <w:rsid w:val="0084311D"/>
    <w:rsid w:val="008434F1"/>
    <w:rsid w:val="00843E6B"/>
    <w:rsid w:val="008508F8"/>
    <w:rsid w:val="008523D4"/>
    <w:rsid w:val="008539AE"/>
    <w:rsid w:val="00853B8C"/>
    <w:rsid w:val="0086125E"/>
    <w:rsid w:val="00862B11"/>
    <w:rsid w:val="00864416"/>
    <w:rsid w:val="008653DE"/>
    <w:rsid w:val="0086611F"/>
    <w:rsid w:val="008662B0"/>
    <w:rsid w:val="00867002"/>
    <w:rsid w:val="00867F9A"/>
    <w:rsid w:val="0087085A"/>
    <w:rsid w:val="008732A1"/>
    <w:rsid w:val="00874363"/>
    <w:rsid w:val="00874598"/>
    <w:rsid w:val="00875C64"/>
    <w:rsid w:val="00875E19"/>
    <w:rsid w:val="00876140"/>
    <w:rsid w:val="0088225A"/>
    <w:rsid w:val="00883193"/>
    <w:rsid w:val="008921C4"/>
    <w:rsid w:val="00892230"/>
    <w:rsid w:val="00895572"/>
    <w:rsid w:val="00896138"/>
    <w:rsid w:val="0089650D"/>
    <w:rsid w:val="00896EB2"/>
    <w:rsid w:val="00897355"/>
    <w:rsid w:val="00897969"/>
    <w:rsid w:val="00897BE1"/>
    <w:rsid w:val="008A012E"/>
    <w:rsid w:val="008A022B"/>
    <w:rsid w:val="008A1BE4"/>
    <w:rsid w:val="008A3440"/>
    <w:rsid w:val="008A52B6"/>
    <w:rsid w:val="008A6305"/>
    <w:rsid w:val="008A7301"/>
    <w:rsid w:val="008B30E7"/>
    <w:rsid w:val="008B6E8F"/>
    <w:rsid w:val="008B7156"/>
    <w:rsid w:val="008C034D"/>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F7B"/>
    <w:rsid w:val="008E59AA"/>
    <w:rsid w:val="008E7569"/>
    <w:rsid w:val="008F0D9F"/>
    <w:rsid w:val="008F14E4"/>
    <w:rsid w:val="008F1E48"/>
    <w:rsid w:val="008F3247"/>
    <w:rsid w:val="008F398D"/>
    <w:rsid w:val="008F4043"/>
    <w:rsid w:val="008F4238"/>
    <w:rsid w:val="008F4CB0"/>
    <w:rsid w:val="008F5E8B"/>
    <w:rsid w:val="00900115"/>
    <w:rsid w:val="00902CE8"/>
    <w:rsid w:val="00904FB4"/>
    <w:rsid w:val="009057C4"/>
    <w:rsid w:val="009074DF"/>
    <w:rsid w:val="00907D12"/>
    <w:rsid w:val="00910D00"/>
    <w:rsid w:val="00912857"/>
    <w:rsid w:val="0091309B"/>
    <w:rsid w:val="009142E1"/>
    <w:rsid w:val="00915A6F"/>
    <w:rsid w:val="00917AAF"/>
    <w:rsid w:val="00921052"/>
    <w:rsid w:val="0092183E"/>
    <w:rsid w:val="009258E5"/>
    <w:rsid w:val="0092625A"/>
    <w:rsid w:val="00926548"/>
    <w:rsid w:val="00930E4B"/>
    <w:rsid w:val="00931B6C"/>
    <w:rsid w:val="00933A7E"/>
    <w:rsid w:val="009359E2"/>
    <w:rsid w:val="0094010C"/>
    <w:rsid w:val="009402E4"/>
    <w:rsid w:val="00940400"/>
    <w:rsid w:val="0094250B"/>
    <w:rsid w:val="0094283C"/>
    <w:rsid w:val="00946589"/>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3642"/>
    <w:rsid w:val="009A3A01"/>
    <w:rsid w:val="009A4B11"/>
    <w:rsid w:val="009A4B54"/>
    <w:rsid w:val="009A4F82"/>
    <w:rsid w:val="009A7302"/>
    <w:rsid w:val="009B23DC"/>
    <w:rsid w:val="009B3800"/>
    <w:rsid w:val="009B4ECA"/>
    <w:rsid w:val="009B6214"/>
    <w:rsid w:val="009B64BB"/>
    <w:rsid w:val="009B6EC5"/>
    <w:rsid w:val="009C11CF"/>
    <w:rsid w:val="009C1DA2"/>
    <w:rsid w:val="009C398F"/>
    <w:rsid w:val="009C3A16"/>
    <w:rsid w:val="009C44FD"/>
    <w:rsid w:val="009C64D2"/>
    <w:rsid w:val="009C672B"/>
    <w:rsid w:val="009D2FCA"/>
    <w:rsid w:val="009D3036"/>
    <w:rsid w:val="009D4658"/>
    <w:rsid w:val="009D7C62"/>
    <w:rsid w:val="009E0BA9"/>
    <w:rsid w:val="009E0BAB"/>
    <w:rsid w:val="009E1FE3"/>
    <w:rsid w:val="009E4120"/>
    <w:rsid w:val="009E444C"/>
    <w:rsid w:val="009E557D"/>
    <w:rsid w:val="009E5A17"/>
    <w:rsid w:val="009E5F12"/>
    <w:rsid w:val="009F239C"/>
    <w:rsid w:val="009F683B"/>
    <w:rsid w:val="009F6B76"/>
    <w:rsid w:val="009F775A"/>
    <w:rsid w:val="00A02EAF"/>
    <w:rsid w:val="00A06D5A"/>
    <w:rsid w:val="00A119BF"/>
    <w:rsid w:val="00A12BC1"/>
    <w:rsid w:val="00A1410C"/>
    <w:rsid w:val="00A16786"/>
    <w:rsid w:val="00A23E00"/>
    <w:rsid w:val="00A24B08"/>
    <w:rsid w:val="00A24B10"/>
    <w:rsid w:val="00A2671E"/>
    <w:rsid w:val="00A26CA6"/>
    <w:rsid w:val="00A26D6F"/>
    <w:rsid w:val="00A31A8B"/>
    <w:rsid w:val="00A328A0"/>
    <w:rsid w:val="00A32EDA"/>
    <w:rsid w:val="00A3578F"/>
    <w:rsid w:val="00A36D4E"/>
    <w:rsid w:val="00A40C5C"/>
    <w:rsid w:val="00A416C2"/>
    <w:rsid w:val="00A41AEE"/>
    <w:rsid w:val="00A42651"/>
    <w:rsid w:val="00A44016"/>
    <w:rsid w:val="00A459AE"/>
    <w:rsid w:val="00A4661C"/>
    <w:rsid w:val="00A47CED"/>
    <w:rsid w:val="00A51DEC"/>
    <w:rsid w:val="00A525C3"/>
    <w:rsid w:val="00A534F0"/>
    <w:rsid w:val="00A569E7"/>
    <w:rsid w:val="00A6055F"/>
    <w:rsid w:val="00A62738"/>
    <w:rsid w:val="00A62BC0"/>
    <w:rsid w:val="00A63604"/>
    <w:rsid w:val="00A65071"/>
    <w:rsid w:val="00A6593D"/>
    <w:rsid w:val="00A66718"/>
    <w:rsid w:val="00A672D7"/>
    <w:rsid w:val="00A707BA"/>
    <w:rsid w:val="00A70EB4"/>
    <w:rsid w:val="00A71584"/>
    <w:rsid w:val="00A73A68"/>
    <w:rsid w:val="00A74195"/>
    <w:rsid w:val="00A74B2E"/>
    <w:rsid w:val="00A74FA9"/>
    <w:rsid w:val="00A75A88"/>
    <w:rsid w:val="00A75D5B"/>
    <w:rsid w:val="00A76BB0"/>
    <w:rsid w:val="00A7721D"/>
    <w:rsid w:val="00A77264"/>
    <w:rsid w:val="00A77C4E"/>
    <w:rsid w:val="00A77E1E"/>
    <w:rsid w:val="00A804C5"/>
    <w:rsid w:val="00A80AFC"/>
    <w:rsid w:val="00A81148"/>
    <w:rsid w:val="00A825B7"/>
    <w:rsid w:val="00A82606"/>
    <w:rsid w:val="00A83D46"/>
    <w:rsid w:val="00A83E2A"/>
    <w:rsid w:val="00A84344"/>
    <w:rsid w:val="00A879BD"/>
    <w:rsid w:val="00A90B63"/>
    <w:rsid w:val="00A924A8"/>
    <w:rsid w:val="00A93F54"/>
    <w:rsid w:val="00A962BA"/>
    <w:rsid w:val="00A9735F"/>
    <w:rsid w:val="00AA05BC"/>
    <w:rsid w:val="00AA27C6"/>
    <w:rsid w:val="00AA4279"/>
    <w:rsid w:val="00AA43B8"/>
    <w:rsid w:val="00AA52EB"/>
    <w:rsid w:val="00AA736A"/>
    <w:rsid w:val="00AA7849"/>
    <w:rsid w:val="00AB0FF1"/>
    <w:rsid w:val="00AB1E5E"/>
    <w:rsid w:val="00AB4738"/>
    <w:rsid w:val="00AB4D91"/>
    <w:rsid w:val="00AB5BD0"/>
    <w:rsid w:val="00AB7DEA"/>
    <w:rsid w:val="00AC3664"/>
    <w:rsid w:val="00AC429E"/>
    <w:rsid w:val="00AC55F6"/>
    <w:rsid w:val="00AC6BFF"/>
    <w:rsid w:val="00AD2C10"/>
    <w:rsid w:val="00AD2CD9"/>
    <w:rsid w:val="00AD49DA"/>
    <w:rsid w:val="00AD53F5"/>
    <w:rsid w:val="00AD6BC1"/>
    <w:rsid w:val="00AD708B"/>
    <w:rsid w:val="00AE0997"/>
    <w:rsid w:val="00AE251A"/>
    <w:rsid w:val="00AE25F2"/>
    <w:rsid w:val="00AE5877"/>
    <w:rsid w:val="00AE62F2"/>
    <w:rsid w:val="00AF00BD"/>
    <w:rsid w:val="00AF1B57"/>
    <w:rsid w:val="00AF1DA3"/>
    <w:rsid w:val="00AF281C"/>
    <w:rsid w:val="00AF34C2"/>
    <w:rsid w:val="00AF51FE"/>
    <w:rsid w:val="00B0168C"/>
    <w:rsid w:val="00B03967"/>
    <w:rsid w:val="00B043A9"/>
    <w:rsid w:val="00B044E8"/>
    <w:rsid w:val="00B05C27"/>
    <w:rsid w:val="00B05C98"/>
    <w:rsid w:val="00B10C96"/>
    <w:rsid w:val="00B1158B"/>
    <w:rsid w:val="00B1318C"/>
    <w:rsid w:val="00B134C8"/>
    <w:rsid w:val="00B13F7E"/>
    <w:rsid w:val="00B1540F"/>
    <w:rsid w:val="00B15556"/>
    <w:rsid w:val="00B210BD"/>
    <w:rsid w:val="00B21998"/>
    <w:rsid w:val="00B24AFE"/>
    <w:rsid w:val="00B25057"/>
    <w:rsid w:val="00B274E8"/>
    <w:rsid w:val="00B32860"/>
    <w:rsid w:val="00B33C8E"/>
    <w:rsid w:val="00B36CC4"/>
    <w:rsid w:val="00B373F9"/>
    <w:rsid w:val="00B4105D"/>
    <w:rsid w:val="00B41652"/>
    <w:rsid w:val="00B42C27"/>
    <w:rsid w:val="00B42CAE"/>
    <w:rsid w:val="00B44A58"/>
    <w:rsid w:val="00B44E44"/>
    <w:rsid w:val="00B45292"/>
    <w:rsid w:val="00B455C0"/>
    <w:rsid w:val="00B52D61"/>
    <w:rsid w:val="00B52D98"/>
    <w:rsid w:val="00B53B61"/>
    <w:rsid w:val="00B55FC5"/>
    <w:rsid w:val="00B62631"/>
    <w:rsid w:val="00B62870"/>
    <w:rsid w:val="00B64830"/>
    <w:rsid w:val="00B70F1A"/>
    <w:rsid w:val="00B712A7"/>
    <w:rsid w:val="00B7172F"/>
    <w:rsid w:val="00B726A0"/>
    <w:rsid w:val="00B73277"/>
    <w:rsid w:val="00B73BEA"/>
    <w:rsid w:val="00B76395"/>
    <w:rsid w:val="00B82165"/>
    <w:rsid w:val="00B824B4"/>
    <w:rsid w:val="00B826B8"/>
    <w:rsid w:val="00B83713"/>
    <w:rsid w:val="00B84DA9"/>
    <w:rsid w:val="00B87561"/>
    <w:rsid w:val="00B87CDD"/>
    <w:rsid w:val="00B90C03"/>
    <w:rsid w:val="00B90DB9"/>
    <w:rsid w:val="00B92B9D"/>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297A"/>
    <w:rsid w:val="00BB4121"/>
    <w:rsid w:val="00BB4D84"/>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2252"/>
    <w:rsid w:val="00BF4B0E"/>
    <w:rsid w:val="00BF6C99"/>
    <w:rsid w:val="00C01A3D"/>
    <w:rsid w:val="00C032E2"/>
    <w:rsid w:val="00C058E1"/>
    <w:rsid w:val="00C06264"/>
    <w:rsid w:val="00C07266"/>
    <w:rsid w:val="00C073E3"/>
    <w:rsid w:val="00C11228"/>
    <w:rsid w:val="00C11451"/>
    <w:rsid w:val="00C11C68"/>
    <w:rsid w:val="00C11C9D"/>
    <w:rsid w:val="00C1237F"/>
    <w:rsid w:val="00C129D4"/>
    <w:rsid w:val="00C137DC"/>
    <w:rsid w:val="00C14406"/>
    <w:rsid w:val="00C145E6"/>
    <w:rsid w:val="00C15F10"/>
    <w:rsid w:val="00C2028F"/>
    <w:rsid w:val="00C30B07"/>
    <w:rsid w:val="00C33325"/>
    <w:rsid w:val="00C348F6"/>
    <w:rsid w:val="00C4735B"/>
    <w:rsid w:val="00C4765B"/>
    <w:rsid w:val="00C5035E"/>
    <w:rsid w:val="00C50881"/>
    <w:rsid w:val="00C55043"/>
    <w:rsid w:val="00C56618"/>
    <w:rsid w:val="00C623FE"/>
    <w:rsid w:val="00C62D0F"/>
    <w:rsid w:val="00C63CD3"/>
    <w:rsid w:val="00C6572E"/>
    <w:rsid w:val="00C67D65"/>
    <w:rsid w:val="00C72AA4"/>
    <w:rsid w:val="00C73A77"/>
    <w:rsid w:val="00C74680"/>
    <w:rsid w:val="00C77462"/>
    <w:rsid w:val="00C77DB6"/>
    <w:rsid w:val="00C81796"/>
    <w:rsid w:val="00C8241D"/>
    <w:rsid w:val="00C847E1"/>
    <w:rsid w:val="00C85319"/>
    <w:rsid w:val="00C8748B"/>
    <w:rsid w:val="00C87A6A"/>
    <w:rsid w:val="00C90295"/>
    <w:rsid w:val="00C911D0"/>
    <w:rsid w:val="00C9135B"/>
    <w:rsid w:val="00C94F64"/>
    <w:rsid w:val="00C9554B"/>
    <w:rsid w:val="00C97C99"/>
    <w:rsid w:val="00CA1A4D"/>
    <w:rsid w:val="00CA1CB0"/>
    <w:rsid w:val="00CA2D8C"/>
    <w:rsid w:val="00CA3971"/>
    <w:rsid w:val="00CA43A1"/>
    <w:rsid w:val="00CA4EC6"/>
    <w:rsid w:val="00CA5A4F"/>
    <w:rsid w:val="00CA5DA4"/>
    <w:rsid w:val="00CA6384"/>
    <w:rsid w:val="00CA6DC8"/>
    <w:rsid w:val="00CA7153"/>
    <w:rsid w:val="00CA73DD"/>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D01E6"/>
    <w:rsid w:val="00CD2403"/>
    <w:rsid w:val="00CD2FC1"/>
    <w:rsid w:val="00CD3581"/>
    <w:rsid w:val="00CD4FD5"/>
    <w:rsid w:val="00CD515F"/>
    <w:rsid w:val="00CD6822"/>
    <w:rsid w:val="00CE10AA"/>
    <w:rsid w:val="00CE12DB"/>
    <w:rsid w:val="00CE26E2"/>
    <w:rsid w:val="00CE3990"/>
    <w:rsid w:val="00CE4959"/>
    <w:rsid w:val="00CE6BBD"/>
    <w:rsid w:val="00CF06C5"/>
    <w:rsid w:val="00CF2803"/>
    <w:rsid w:val="00CF4562"/>
    <w:rsid w:val="00CF47ED"/>
    <w:rsid w:val="00CF4F39"/>
    <w:rsid w:val="00D02B80"/>
    <w:rsid w:val="00D06334"/>
    <w:rsid w:val="00D06EFA"/>
    <w:rsid w:val="00D076ED"/>
    <w:rsid w:val="00D109DF"/>
    <w:rsid w:val="00D10F1B"/>
    <w:rsid w:val="00D110A0"/>
    <w:rsid w:val="00D111F2"/>
    <w:rsid w:val="00D126AB"/>
    <w:rsid w:val="00D12E4B"/>
    <w:rsid w:val="00D14423"/>
    <w:rsid w:val="00D21642"/>
    <w:rsid w:val="00D21F01"/>
    <w:rsid w:val="00D23637"/>
    <w:rsid w:val="00D24128"/>
    <w:rsid w:val="00D275F1"/>
    <w:rsid w:val="00D32016"/>
    <w:rsid w:val="00D33267"/>
    <w:rsid w:val="00D35C3D"/>
    <w:rsid w:val="00D37A25"/>
    <w:rsid w:val="00D42AD3"/>
    <w:rsid w:val="00D43516"/>
    <w:rsid w:val="00D502B1"/>
    <w:rsid w:val="00D5122D"/>
    <w:rsid w:val="00D52BBD"/>
    <w:rsid w:val="00D52C9D"/>
    <w:rsid w:val="00D5300D"/>
    <w:rsid w:val="00D5420F"/>
    <w:rsid w:val="00D5471A"/>
    <w:rsid w:val="00D55A33"/>
    <w:rsid w:val="00D5776F"/>
    <w:rsid w:val="00D60D6E"/>
    <w:rsid w:val="00D6341F"/>
    <w:rsid w:val="00D63F1C"/>
    <w:rsid w:val="00D64A60"/>
    <w:rsid w:val="00D67BE0"/>
    <w:rsid w:val="00D71196"/>
    <w:rsid w:val="00D716CD"/>
    <w:rsid w:val="00D80D18"/>
    <w:rsid w:val="00D82DDE"/>
    <w:rsid w:val="00D87042"/>
    <w:rsid w:val="00D87FFB"/>
    <w:rsid w:val="00D91522"/>
    <w:rsid w:val="00D94475"/>
    <w:rsid w:val="00D9479F"/>
    <w:rsid w:val="00D963C7"/>
    <w:rsid w:val="00D96406"/>
    <w:rsid w:val="00DA0350"/>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493E"/>
    <w:rsid w:val="00DB6C54"/>
    <w:rsid w:val="00DC3551"/>
    <w:rsid w:val="00DC3DBA"/>
    <w:rsid w:val="00DC6423"/>
    <w:rsid w:val="00DC646E"/>
    <w:rsid w:val="00DC7066"/>
    <w:rsid w:val="00DC785A"/>
    <w:rsid w:val="00DD02A7"/>
    <w:rsid w:val="00DD0AF8"/>
    <w:rsid w:val="00DD1E55"/>
    <w:rsid w:val="00DD227E"/>
    <w:rsid w:val="00DD22DA"/>
    <w:rsid w:val="00DD304D"/>
    <w:rsid w:val="00DD48FA"/>
    <w:rsid w:val="00DD5F75"/>
    <w:rsid w:val="00DE24BF"/>
    <w:rsid w:val="00DE2AD7"/>
    <w:rsid w:val="00DE4911"/>
    <w:rsid w:val="00DE5319"/>
    <w:rsid w:val="00DE5812"/>
    <w:rsid w:val="00DE6048"/>
    <w:rsid w:val="00DE7DD9"/>
    <w:rsid w:val="00DF001C"/>
    <w:rsid w:val="00DF4636"/>
    <w:rsid w:val="00DF4AE3"/>
    <w:rsid w:val="00DF66A9"/>
    <w:rsid w:val="00DF7D09"/>
    <w:rsid w:val="00E0019F"/>
    <w:rsid w:val="00E00E79"/>
    <w:rsid w:val="00E01D43"/>
    <w:rsid w:val="00E0294A"/>
    <w:rsid w:val="00E0366E"/>
    <w:rsid w:val="00E05277"/>
    <w:rsid w:val="00E11A22"/>
    <w:rsid w:val="00E11E1F"/>
    <w:rsid w:val="00E12BB5"/>
    <w:rsid w:val="00E12C1B"/>
    <w:rsid w:val="00E12F5D"/>
    <w:rsid w:val="00E1612D"/>
    <w:rsid w:val="00E16E9D"/>
    <w:rsid w:val="00E16EC0"/>
    <w:rsid w:val="00E23144"/>
    <w:rsid w:val="00E24300"/>
    <w:rsid w:val="00E31028"/>
    <w:rsid w:val="00E32501"/>
    <w:rsid w:val="00E32A0C"/>
    <w:rsid w:val="00E341A2"/>
    <w:rsid w:val="00E40374"/>
    <w:rsid w:val="00E41006"/>
    <w:rsid w:val="00E41E6E"/>
    <w:rsid w:val="00E422F5"/>
    <w:rsid w:val="00E43B56"/>
    <w:rsid w:val="00E443D3"/>
    <w:rsid w:val="00E44795"/>
    <w:rsid w:val="00E448B1"/>
    <w:rsid w:val="00E465D8"/>
    <w:rsid w:val="00E467FA"/>
    <w:rsid w:val="00E4694C"/>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81ECD"/>
    <w:rsid w:val="00E82F75"/>
    <w:rsid w:val="00E843D4"/>
    <w:rsid w:val="00E867FA"/>
    <w:rsid w:val="00E873BE"/>
    <w:rsid w:val="00E9104B"/>
    <w:rsid w:val="00E95451"/>
    <w:rsid w:val="00EA177F"/>
    <w:rsid w:val="00EA3FB7"/>
    <w:rsid w:val="00EA4065"/>
    <w:rsid w:val="00EA4400"/>
    <w:rsid w:val="00EA4BC9"/>
    <w:rsid w:val="00EA5E72"/>
    <w:rsid w:val="00EA757A"/>
    <w:rsid w:val="00EA7AE4"/>
    <w:rsid w:val="00EB10FF"/>
    <w:rsid w:val="00EB1261"/>
    <w:rsid w:val="00EB195F"/>
    <w:rsid w:val="00EB3551"/>
    <w:rsid w:val="00EB5246"/>
    <w:rsid w:val="00EB64C0"/>
    <w:rsid w:val="00EB6E02"/>
    <w:rsid w:val="00EC149A"/>
    <w:rsid w:val="00EC20A8"/>
    <w:rsid w:val="00EC23C6"/>
    <w:rsid w:val="00EC3E23"/>
    <w:rsid w:val="00EC5B61"/>
    <w:rsid w:val="00EC6092"/>
    <w:rsid w:val="00EC6A9E"/>
    <w:rsid w:val="00EC720F"/>
    <w:rsid w:val="00ED0C61"/>
    <w:rsid w:val="00ED2044"/>
    <w:rsid w:val="00ED38C8"/>
    <w:rsid w:val="00ED431A"/>
    <w:rsid w:val="00ED5153"/>
    <w:rsid w:val="00ED6682"/>
    <w:rsid w:val="00ED76CF"/>
    <w:rsid w:val="00EE10F9"/>
    <w:rsid w:val="00EE1EC6"/>
    <w:rsid w:val="00EE1FC3"/>
    <w:rsid w:val="00EE301A"/>
    <w:rsid w:val="00EE309E"/>
    <w:rsid w:val="00EE3BD0"/>
    <w:rsid w:val="00EE5418"/>
    <w:rsid w:val="00EE7677"/>
    <w:rsid w:val="00EE7866"/>
    <w:rsid w:val="00EF2A85"/>
    <w:rsid w:val="00EF30C7"/>
    <w:rsid w:val="00EF4204"/>
    <w:rsid w:val="00EF5977"/>
    <w:rsid w:val="00EF7678"/>
    <w:rsid w:val="00EF77CA"/>
    <w:rsid w:val="00F00AA3"/>
    <w:rsid w:val="00F00D56"/>
    <w:rsid w:val="00F020B9"/>
    <w:rsid w:val="00F020C8"/>
    <w:rsid w:val="00F023BD"/>
    <w:rsid w:val="00F02EFA"/>
    <w:rsid w:val="00F03221"/>
    <w:rsid w:val="00F033B0"/>
    <w:rsid w:val="00F05D92"/>
    <w:rsid w:val="00F06C44"/>
    <w:rsid w:val="00F10AE7"/>
    <w:rsid w:val="00F10CB7"/>
    <w:rsid w:val="00F10E83"/>
    <w:rsid w:val="00F11549"/>
    <w:rsid w:val="00F12180"/>
    <w:rsid w:val="00F12414"/>
    <w:rsid w:val="00F143C1"/>
    <w:rsid w:val="00F14985"/>
    <w:rsid w:val="00F17365"/>
    <w:rsid w:val="00F175E7"/>
    <w:rsid w:val="00F17E6F"/>
    <w:rsid w:val="00F20297"/>
    <w:rsid w:val="00F2057A"/>
    <w:rsid w:val="00F20AAD"/>
    <w:rsid w:val="00F212BE"/>
    <w:rsid w:val="00F2133B"/>
    <w:rsid w:val="00F24635"/>
    <w:rsid w:val="00F3085F"/>
    <w:rsid w:val="00F313BD"/>
    <w:rsid w:val="00F31910"/>
    <w:rsid w:val="00F32415"/>
    <w:rsid w:val="00F32CF0"/>
    <w:rsid w:val="00F3405C"/>
    <w:rsid w:val="00F35597"/>
    <w:rsid w:val="00F36762"/>
    <w:rsid w:val="00F37593"/>
    <w:rsid w:val="00F413B1"/>
    <w:rsid w:val="00F42B4B"/>
    <w:rsid w:val="00F44CB5"/>
    <w:rsid w:val="00F45698"/>
    <w:rsid w:val="00F45F3D"/>
    <w:rsid w:val="00F4606C"/>
    <w:rsid w:val="00F52237"/>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3632"/>
    <w:rsid w:val="00F740C7"/>
    <w:rsid w:val="00F813CB"/>
    <w:rsid w:val="00F82804"/>
    <w:rsid w:val="00F82C58"/>
    <w:rsid w:val="00F847C4"/>
    <w:rsid w:val="00F8488C"/>
    <w:rsid w:val="00F84E77"/>
    <w:rsid w:val="00F8640E"/>
    <w:rsid w:val="00F91368"/>
    <w:rsid w:val="00F930CE"/>
    <w:rsid w:val="00F94D44"/>
    <w:rsid w:val="00F96525"/>
    <w:rsid w:val="00F97D88"/>
    <w:rsid w:val="00FA28B7"/>
    <w:rsid w:val="00FA2D87"/>
    <w:rsid w:val="00FA3A4F"/>
    <w:rsid w:val="00FA3FDE"/>
    <w:rsid w:val="00FA443F"/>
    <w:rsid w:val="00FA463D"/>
    <w:rsid w:val="00FA53E6"/>
    <w:rsid w:val="00FA5961"/>
    <w:rsid w:val="00FB0D80"/>
    <w:rsid w:val="00FB24D8"/>
    <w:rsid w:val="00FB4DFA"/>
    <w:rsid w:val="00FB52BE"/>
    <w:rsid w:val="00FB56FE"/>
    <w:rsid w:val="00FB5E0A"/>
    <w:rsid w:val="00FB767C"/>
    <w:rsid w:val="00FC150A"/>
    <w:rsid w:val="00FC22A0"/>
    <w:rsid w:val="00FC25D9"/>
    <w:rsid w:val="00FC5E13"/>
    <w:rsid w:val="00FC5F56"/>
    <w:rsid w:val="00FC6FBF"/>
    <w:rsid w:val="00FC72E1"/>
    <w:rsid w:val="00FC7446"/>
    <w:rsid w:val="00FC76CB"/>
    <w:rsid w:val="00FD029D"/>
    <w:rsid w:val="00FD35EC"/>
    <w:rsid w:val="00FD4233"/>
    <w:rsid w:val="00FD450F"/>
    <w:rsid w:val="00FD6219"/>
    <w:rsid w:val="00FD7146"/>
    <w:rsid w:val="00FD7316"/>
    <w:rsid w:val="00FD7994"/>
    <w:rsid w:val="00FE0C67"/>
    <w:rsid w:val="00FE1763"/>
    <w:rsid w:val="00FE1A3F"/>
    <w:rsid w:val="00FE2481"/>
    <w:rsid w:val="00FE4403"/>
    <w:rsid w:val="00FE61B1"/>
    <w:rsid w:val="00FE6F86"/>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9749F9"/>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9F775A"/>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9F775A"/>
    <w:rPr>
      <w:rFonts w:ascii="Calibri" w:hAnsi="Calibri" w:cs="Calibri"/>
    </w:rPr>
  </w:style>
  <w:style w:type="character" w:styleId="Refdenotaalpie">
    <w:name w:val="footnote reference"/>
    <w:basedOn w:val="Fuentedeprrafopredeter"/>
    <w:uiPriority w:val="99"/>
    <w:semiHidden/>
    <w:unhideWhenUsed/>
    <w:rsid w:val="009F7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ifrem.edomex.gob.mx/organigrama" TargetMode="External"/><Relationship Id="rId27" Type="http://schemas.openxmlformats.org/officeDocument/2006/relationships/image" Target="media/image19.emf"/><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5466-08B5-424E-8231-D992C796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27</Pages>
  <Words>8241</Words>
  <Characters>45330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Sub Finanzas</cp:lastModifiedBy>
  <cp:revision>11</cp:revision>
  <cp:lastPrinted>2020-07-22T17:43:00Z</cp:lastPrinted>
  <dcterms:created xsi:type="dcterms:W3CDTF">2020-07-21T21:35:00Z</dcterms:created>
  <dcterms:modified xsi:type="dcterms:W3CDTF">2020-07-24T22:02:00Z</dcterms:modified>
</cp:coreProperties>
</file>