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E0A" w:rsidRPr="007E2E82" w:rsidRDefault="00843E0A" w:rsidP="00843E0A">
      <w:pPr>
        <w:numPr>
          <w:ilvl w:val="0"/>
          <w:numId w:val="14"/>
        </w:numPr>
        <w:spacing w:after="101" w:line="276" w:lineRule="auto"/>
        <w:ind w:right="-1"/>
        <w:jc w:val="center"/>
        <w:rPr>
          <w:rFonts w:eastAsia="Times New Roman" w:cs="Arial"/>
          <w:b/>
          <w:lang w:val="es-ES" w:eastAsia="es-ES"/>
        </w:rPr>
      </w:pPr>
      <w:r w:rsidRPr="007E2E82">
        <w:rPr>
          <w:rFonts w:eastAsia="Times New Roman" w:cs="Arial"/>
          <w:b/>
          <w:lang w:val="es-ES" w:eastAsia="es-ES"/>
        </w:rPr>
        <w:t>NOTAS A LOS ESTADOS FINANCIEROS</w:t>
      </w:r>
    </w:p>
    <w:p w:rsidR="00843E0A" w:rsidRPr="007E2E82" w:rsidRDefault="00843E0A" w:rsidP="00843E0A">
      <w:pPr>
        <w:spacing w:line="276" w:lineRule="auto"/>
        <w:ind w:right="-1"/>
        <w:jc w:val="center"/>
        <w:outlineLvl w:val="0"/>
        <w:rPr>
          <w:b/>
        </w:rPr>
      </w:pPr>
      <w:r w:rsidRPr="007E2E82">
        <w:rPr>
          <w:rFonts w:cs="Arial"/>
          <w:b/>
        </w:rPr>
        <w:t>(Cifras en pesos)</w:t>
      </w:r>
    </w:p>
    <w:p w:rsidR="00843E0A" w:rsidRPr="007E2E82" w:rsidRDefault="00843E0A" w:rsidP="00843E0A">
      <w:pPr>
        <w:spacing w:line="276" w:lineRule="auto"/>
        <w:ind w:right="-1"/>
        <w:jc w:val="center"/>
        <w:outlineLvl w:val="0"/>
      </w:pPr>
      <w:r w:rsidRPr="007E2E82">
        <w:rPr>
          <w:b/>
        </w:rPr>
        <w:t xml:space="preserve">Entidad: </w:t>
      </w:r>
      <w:r w:rsidRPr="007E2E82">
        <w:rPr>
          <w:u w:val="single"/>
        </w:rPr>
        <w:t>Instituto de la Función Registral del Estado de México</w:t>
      </w:r>
      <w:r w:rsidRPr="007E2E82">
        <w:t xml:space="preserve"> (IFREM).</w:t>
      </w:r>
    </w:p>
    <w:p w:rsidR="00843E0A" w:rsidRPr="007E2E82" w:rsidRDefault="00843E0A" w:rsidP="00843E0A">
      <w:pPr>
        <w:spacing w:line="276" w:lineRule="auto"/>
        <w:ind w:right="-1"/>
        <w:jc w:val="center"/>
        <w:outlineLvl w:val="0"/>
        <w:rPr>
          <w:u w:val="single"/>
        </w:rPr>
      </w:pPr>
      <w:r w:rsidRPr="007E2E82">
        <w:rPr>
          <w:b/>
        </w:rPr>
        <w:t xml:space="preserve">Mes: </w:t>
      </w:r>
      <w:r>
        <w:rPr>
          <w:u w:val="single"/>
        </w:rPr>
        <w:t>Junio</w:t>
      </w:r>
      <w:r w:rsidRPr="007E2E82">
        <w:t xml:space="preserve"> </w:t>
      </w:r>
      <w:r w:rsidRPr="007E2E82">
        <w:rPr>
          <w:b/>
        </w:rPr>
        <w:t>de</w:t>
      </w:r>
      <w:r w:rsidRPr="007E2E82">
        <w:t xml:space="preserve"> </w:t>
      </w:r>
      <w:r w:rsidRPr="007E2E82">
        <w:rPr>
          <w:u w:val="single"/>
        </w:rPr>
        <w:t>2019.</w:t>
      </w:r>
    </w:p>
    <w:p w:rsidR="00843E0A" w:rsidRPr="007E2E82" w:rsidRDefault="00843E0A" w:rsidP="00843E0A">
      <w:pPr>
        <w:numPr>
          <w:ilvl w:val="0"/>
          <w:numId w:val="15"/>
        </w:numPr>
        <w:tabs>
          <w:tab w:val="left" w:pos="3836"/>
        </w:tabs>
        <w:spacing w:after="0" w:line="276" w:lineRule="auto"/>
        <w:ind w:left="714" w:right="-1" w:hanging="357"/>
        <w:contextualSpacing/>
        <w:outlineLvl w:val="0"/>
        <w:rPr>
          <w:rFonts w:eastAsia="Times New Roman" w:cs="Arial"/>
          <w:b/>
          <w:lang w:eastAsia="es-MX"/>
        </w:rPr>
      </w:pPr>
      <w:r w:rsidRPr="007E2E82">
        <w:rPr>
          <w:rFonts w:eastAsia="Times New Roman" w:cs="Arial"/>
          <w:b/>
          <w:lang w:eastAsia="es-MX"/>
        </w:rPr>
        <w:t>NOTAS DE DESGLOSE:</w:t>
      </w:r>
    </w:p>
    <w:p w:rsidR="00843E0A" w:rsidRPr="007E2E82" w:rsidRDefault="00843E0A" w:rsidP="00843E0A">
      <w:pPr>
        <w:tabs>
          <w:tab w:val="left" w:pos="3836"/>
        </w:tabs>
        <w:spacing w:after="0" w:line="276" w:lineRule="auto"/>
        <w:ind w:left="714" w:right="-1"/>
        <w:contextualSpacing/>
        <w:outlineLvl w:val="0"/>
        <w:rPr>
          <w:rFonts w:eastAsia="Times New Roman" w:cs="Arial"/>
          <w:b/>
          <w:sz w:val="8"/>
          <w:lang w:eastAsia="es-MX"/>
        </w:rPr>
      </w:pPr>
    </w:p>
    <w:p w:rsidR="00843E0A" w:rsidRPr="007E2E82" w:rsidRDefault="00843E0A" w:rsidP="00843E0A">
      <w:pPr>
        <w:numPr>
          <w:ilvl w:val="0"/>
          <w:numId w:val="16"/>
        </w:numPr>
        <w:spacing w:before="240" w:after="240" w:line="276" w:lineRule="auto"/>
        <w:ind w:right="-1"/>
        <w:contextualSpacing/>
        <w:outlineLvl w:val="0"/>
        <w:rPr>
          <w:rFonts w:eastAsia="Times New Roman" w:cs="Arial"/>
          <w:b/>
          <w:lang w:eastAsia="es-MX"/>
        </w:rPr>
      </w:pPr>
      <w:r w:rsidRPr="007E2E82">
        <w:rPr>
          <w:rFonts w:eastAsia="Times New Roman" w:cs="Arial"/>
          <w:b/>
          <w:lang w:eastAsia="es-MX"/>
        </w:rPr>
        <w:t>NOTAS AL ESTADO DE SITUACIÓN FINANCIERA</w:t>
      </w:r>
    </w:p>
    <w:p w:rsidR="00843E0A" w:rsidRPr="007E2E82" w:rsidRDefault="00843E0A" w:rsidP="00843E0A">
      <w:pPr>
        <w:spacing w:before="240" w:after="240" w:line="276" w:lineRule="auto"/>
        <w:ind w:right="-1"/>
        <w:outlineLvl w:val="0"/>
        <w:rPr>
          <w:rFonts w:cs="Arial"/>
          <w:b/>
        </w:rPr>
      </w:pPr>
      <w:r w:rsidRPr="007E2E82">
        <w:rPr>
          <w:rFonts w:cs="Arial"/>
          <w:b/>
        </w:rPr>
        <w:t>Activo Circulante</w:t>
      </w:r>
    </w:p>
    <w:p w:rsidR="00843E0A" w:rsidRPr="007E2E82" w:rsidRDefault="00843E0A" w:rsidP="00843E0A">
      <w:pPr>
        <w:tabs>
          <w:tab w:val="left" w:pos="3836"/>
        </w:tabs>
        <w:spacing w:line="276" w:lineRule="auto"/>
        <w:ind w:right="-1"/>
        <w:jc w:val="both"/>
        <w:rPr>
          <w:rFonts w:cs="Arial"/>
        </w:rPr>
      </w:pPr>
      <w:r w:rsidRPr="007E2E82">
        <w:rPr>
          <w:rFonts w:cs="Arial"/>
          <w:b/>
        </w:rPr>
        <w:t xml:space="preserve">Efectivo y Equivalentes. - </w:t>
      </w:r>
      <w:r w:rsidRPr="007E2E82">
        <w:rPr>
          <w:rFonts w:cs="Arial"/>
        </w:rPr>
        <w:t xml:space="preserve">El </w:t>
      </w:r>
      <w:r w:rsidRPr="00D35C3D">
        <w:rPr>
          <w:rFonts w:cs="Arial"/>
        </w:rPr>
        <w:t xml:space="preserve">saldo de </w:t>
      </w:r>
      <w:r w:rsidRPr="00474B22">
        <w:rPr>
          <w:rFonts w:cs="Arial"/>
        </w:rPr>
        <w:t>214,959,310.89</w:t>
      </w:r>
      <w:r w:rsidRPr="00D35C3D">
        <w:rPr>
          <w:rFonts w:cs="Arial"/>
        </w:rPr>
        <w:t xml:space="preserve">, se </w:t>
      </w:r>
      <w:r w:rsidRPr="007E2E82">
        <w:rPr>
          <w:rFonts w:cs="Arial"/>
        </w:rPr>
        <w:t>integra con las siguientes cuentas:</w:t>
      </w:r>
    </w:p>
    <w:p w:rsidR="00843E0A" w:rsidRPr="007E2E82" w:rsidRDefault="00843E0A" w:rsidP="00843E0A">
      <w:pPr>
        <w:numPr>
          <w:ilvl w:val="0"/>
          <w:numId w:val="1"/>
        </w:numPr>
        <w:spacing w:line="276" w:lineRule="auto"/>
        <w:ind w:right="-1"/>
        <w:jc w:val="both"/>
        <w:rPr>
          <w:rFonts w:cs="Arial"/>
        </w:rPr>
      </w:pPr>
      <w:r w:rsidRPr="007E2E82">
        <w:rPr>
          <w:rFonts w:cs="Arial"/>
          <w:b/>
        </w:rPr>
        <w:t xml:space="preserve">Efectivo. - </w:t>
      </w:r>
      <w:r w:rsidRPr="007E2E82">
        <w:rPr>
          <w:rFonts w:cs="Arial"/>
        </w:rPr>
        <w:t xml:space="preserve">El saldo de </w:t>
      </w:r>
      <w:r w:rsidRPr="00AB4D91">
        <w:rPr>
          <w:rFonts w:cs="Arial"/>
          <w:color w:val="000000" w:themeColor="text1"/>
        </w:rPr>
        <w:t xml:space="preserve">33,000.00, </w:t>
      </w:r>
      <w:r w:rsidRPr="007E2E82">
        <w:rPr>
          <w:rFonts w:cs="Arial"/>
        </w:rPr>
        <w:t>es el importe de efectivo disponible para solventar gastos menores y cubrir necesidades urgentes de gasto corriente que se requieran en las oficinas administrativas de la Dirección General.</w:t>
      </w:r>
      <w:r w:rsidRPr="007E2E82">
        <w:t xml:space="preserve"> </w:t>
      </w:r>
    </w:p>
    <w:p w:rsidR="00843E0A" w:rsidRPr="00B62870" w:rsidRDefault="00843E0A" w:rsidP="00843E0A">
      <w:pPr>
        <w:numPr>
          <w:ilvl w:val="0"/>
          <w:numId w:val="1"/>
        </w:numPr>
        <w:spacing w:after="0" w:line="276" w:lineRule="auto"/>
        <w:ind w:right="-1"/>
        <w:jc w:val="both"/>
        <w:rPr>
          <w:rFonts w:cs="Arial"/>
          <w:b/>
        </w:rPr>
      </w:pPr>
      <w:r w:rsidRPr="007E2E82">
        <w:rPr>
          <w:rFonts w:cs="Arial"/>
          <w:b/>
        </w:rPr>
        <w:t xml:space="preserve">Bancos/Tesorería. - </w:t>
      </w:r>
      <w:r w:rsidRPr="007E2E82">
        <w:rPr>
          <w:rFonts w:cs="Arial"/>
        </w:rPr>
        <w:t xml:space="preserve">El saldo </w:t>
      </w:r>
      <w:r w:rsidRPr="00AB4D91">
        <w:rPr>
          <w:rFonts w:cs="Arial"/>
          <w:color w:val="000000" w:themeColor="text1"/>
        </w:rPr>
        <w:t xml:space="preserve">de </w:t>
      </w:r>
      <w:r w:rsidRPr="00474B22">
        <w:rPr>
          <w:rFonts w:cs="Arial"/>
          <w:color w:val="000000" w:themeColor="text1"/>
        </w:rPr>
        <w:t>9,619,034.28</w:t>
      </w:r>
      <w:r w:rsidRPr="007E2E82">
        <w:rPr>
          <w:rFonts w:cs="Arial"/>
        </w:rPr>
        <w:t>, refleja la disponibilidad financiera para cubrir los gastos por las necesidades de la operación y de inversión, con la finalidad de cumplir con los compromisos de pago en tiempo y forma. La relación de cuentas productivas especificas es la siguiente:</w:t>
      </w:r>
    </w:p>
    <w:p w:rsidR="00843E0A" w:rsidRPr="007E2E82" w:rsidRDefault="00843E0A" w:rsidP="00843E0A">
      <w:pPr>
        <w:spacing w:after="0" w:line="276" w:lineRule="auto"/>
        <w:ind w:left="360" w:right="-1"/>
        <w:jc w:val="both"/>
        <w:rPr>
          <w:rFonts w:cs="Arial"/>
          <w:b/>
        </w:rPr>
      </w:pPr>
    </w:p>
    <w:p w:rsidR="00843E0A" w:rsidRPr="007E2E82" w:rsidRDefault="00843E0A" w:rsidP="00843E0A">
      <w:pPr>
        <w:spacing w:after="0" w:line="276" w:lineRule="auto"/>
        <w:ind w:left="360" w:right="-1"/>
        <w:jc w:val="center"/>
        <w:rPr>
          <w:rFonts w:cs="Arial"/>
          <w:b/>
        </w:rPr>
      </w:pPr>
      <w:r w:rsidRPr="009C1DA2">
        <w:rPr>
          <w:noProof/>
          <w:lang w:eastAsia="es-MX"/>
        </w:rPr>
        <w:drawing>
          <wp:inline distT="0" distB="0" distL="0" distR="0" wp14:anchorId="78D54C71" wp14:editId="29E28B08">
            <wp:extent cx="5172075" cy="36290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3629025"/>
                    </a:xfrm>
                    <a:prstGeom prst="rect">
                      <a:avLst/>
                    </a:prstGeom>
                    <a:noFill/>
                    <a:ln>
                      <a:noFill/>
                    </a:ln>
                  </pic:spPr>
                </pic:pic>
              </a:graphicData>
            </a:graphic>
          </wp:inline>
        </w:drawing>
      </w:r>
    </w:p>
    <w:p w:rsidR="00843E0A" w:rsidRDefault="00843E0A" w:rsidP="00843E0A">
      <w:pPr>
        <w:numPr>
          <w:ilvl w:val="0"/>
          <w:numId w:val="1"/>
        </w:numPr>
        <w:spacing w:after="0" w:line="276" w:lineRule="auto"/>
        <w:contextualSpacing/>
        <w:jc w:val="both"/>
        <w:rPr>
          <w:rFonts w:eastAsia="Times New Roman" w:cs="Arial"/>
          <w:szCs w:val="24"/>
          <w:lang w:eastAsia="es-MX"/>
        </w:rPr>
      </w:pPr>
      <w:r w:rsidRPr="007E2E82">
        <w:rPr>
          <w:rFonts w:eastAsia="Times New Roman" w:cs="Arial"/>
          <w:b/>
          <w:szCs w:val="24"/>
          <w:lang w:eastAsia="es-MX"/>
        </w:rPr>
        <w:lastRenderedPageBreak/>
        <w:t>Inversiones Temporales (Hasta 3 meses). -</w:t>
      </w:r>
      <w:r w:rsidRPr="007E2E82">
        <w:rPr>
          <w:rFonts w:eastAsia="Times New Roman" w:cs="Arial"/>
          <w:szCs w:val="24"/>
          <w:lang w:eastAsia="es-MX"/>
        </w:rPr>
        <w:t xml:space="preserve"> El saldo </w:t>
      </w:r>
      <w:r w:rsidRPr="00AB4D91">
        <w:rPr>
          <w:rFonts w:eastAsia="Times New Roman" w:cs="Arial"/>
          <w:color w:val="000000" w:themeColor="text1"/>
          <w:szCs w:val="24"/>
          <w:lang w:eastAsia="es-MX"/>
        </w:rPr>
        <w:t xml:space="preserve">de </w:t>
      </w:r>
      <w:r w:rsidRPr="002A5B22">
        <w:rPr>
          <w:rFonts w:eastAsia="Times New Roman" w:cs="Arial"/>
          <w:color w:val="000000" w:themeColor="text1"/>
          <w:szCs w:val="24"/>
          <w:lang w:eastAsia="es-MX"/>
        </w:rPr>
        <w:t>205,307,276.61</w:t>
      </w:r>
      <w:r>
        <w:rPr>
          <w:rFonts w:eastAsia="Times New Roman" w:cs="Arial"/>
          <w:color w:val="000000" w:themeColor="text1"/>
          <w:szCs w:val="24"/>
          <w:lang w:eastAsia="es-MX"/>
        </w:rPr>
        <w:t xml:space="preserve"> </w:t>
      </w:r>
      <w:r w:rsidRPr="007E2E82">
        <w:rPr>
          <w:rFonts w:eastAsia="Times New Roman" w:cs="Arial"/>
          <w:szCs w:val="24"/>
          <w:lang w:eastAsia="es-MX"/>
        </w:rPr>
        <w:t>refleja los depósitos bancarios a la vista para tener disponibilidades financieras en instrumentos de renta fija y poder cubrir con oportunidad los gastos de operación y de inversión del Instituto. Los intereses se registran en Otros Ingresos Financieros. En este mes se reflejan los remanentes del Fideicomiso de Cobranza.</w:t>
      </w:r>
    </w:p>
    <w:p w:rsidR="00843E0A" w:rsidRDefault="00843E0A" w:rsidP="00843E0A">
      <w:pPr>
        <w:tabs>
          <w:tab w:val="left" w:pos="639"/>
          <w:tab w:val="left" w:pos="3836"/>
        </w:tabs>
        <w:spacing w:before="240" w:line="276" w:lineRule="auto"/>
        <w:ind w:right="-1"/>
        <w:jc w:val="center"/>
        <w:rPr>
          <w:rFonts w:cs="Arial"/>
          <w:b/>
        </w:rPr>
      </w:pPr>
      <w:r w:rsidRPr="009C1DA2">
        <w:rPr>
          <w:noProof/>
          <w:lang w:eastAsia="es-MX"/>
        </w:rPr>
        <w:drawing>
          <wp:inline distT="0" distB="0" distL="0" distR="0" wp14:anchorId="72FC6EAC" wp14:editId="592EA23C">
            <wp:extent cx="5172075" cy="3905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390525"/>
                    </a:xfrm>
                    <a:prstGeom prst="rect">
                      <a:avLst/>
                    </a:prstGeom>
                    <a:noFill/>
                    <a:ln>
                      <a:noFill/>
                    </a:ln>
                  </pic:spPr>
                </pic:pic>
              </a:graphicData>
            </a:graphic>
          </wp:inline>
        </w:drawing>
      </w:r>
    </w:p>
    <w:p w:rsidR="00843E0A" w:rsidRPr="007E2E82" w:rsidRDefault="00843E0A" w:rsidP="00843E0A">
      <w:pPr>
        <w:tabs>
          <w:tab w:val="left" w:pos="639"/>
          <w:tab w:val="left" w:pos="3836"/>
        </w:tabs>
        <w:spacing w:before="240" w:line="276" w:lineRule="auto"/>
        <w:ind w:right="-1"/>
        <w:jc w:val="both"/>
        <w:rPr>
          <w:rFonts w:cs="Arial"/>
        </w:rPr>
      </w:pPr>
      <w:r w:rsidRPr="007E2E82">
        <w:rPr>
          <w:rFonts w:cs="Arial"/>
          <w:b/>
        </w:rPr>
        <w:t xml:space="preserve">Derecho a Recibir Efectivo o Equivalentes. - </w:t>
      </w:r>
      <w:r w:rsidRPr="007E2E82">
        <w:rPr>
          <w:rFonts w:cs="Arial"/>
        </w:rPr>
        <w:t xml:space="preserve">El saldo </w:t>
      </w:r>
      <w:r w:rsidRPr="00AB4D91">
        <w:rPr>
          <w:rFonts w:cs="Arial"/>
          <w:color w:val="000000" w:themeColor="text1"/>
        </w:rPr>
        <w:t xml:space="preserve">de </w:t>
      </w:r>
      <w:r w:rsidRPr="008523D4">
        <w:rPr>
          <w:rFonts w:cs="Arial"/>
          <w:color w:val="000000" w:themeColor="text1"/>
        </w:rPr>
        <w:t>20,700,210.13</w:t>
      </w:r>
      <w:r w:rsidRPr="00AB4D91">
        <w:rPr>
          <w:rFonts w:cs="Arial"/>
          <w:color w:val="000000" w:themeColor="text1"/>
        </w:rPr>
        <w:t xml:space="preserve">, </w:t>
      </w:r>
      <w:r w:rsidRPr="007E2E82">
        <w:rPr>
          <w:rFonts w:cs="Arial"/>
        </w:rPr>
        <w:t>se integra de las siguientes cuentas:</w:t>
      </w:r>
    </w:p>
    <w:tbl>
      <w:tblPr>
        <w:tblW w:w="9918" w:type="dxa"/>
        <w:tblCellMar>
          <w:left w:w="70" w:type="dxa"/>
          <w:right w:w="70" w:type="dxa"/>
        </w:tblCellMar>
        <w:tblLook w:val="04A0" w:firstRow="1" w:lastRow="0" w:firstColumn="1" w:lastColumn="0" w:noHBand="0" w:noVBand="1"/>
      </w:tblPr>
      <w:tblGrid>
        <w:gridCol w:w="3103"/>
        <w:gridCol w:w="1719"/>
        <w:gridCol w:w="1719"/>
        <w:gridCol w:w="1719"/>
        <w:gridCol w:w="1658"/>
      </w:tblGrid>
      <w:tr w:rsidR="00843E0A" w:rsidRPr="00874363" w:rsidTr="00843E0A">
        <w:trPr>
          <w:trHeight w:val="301"/>
        </w:trPr>
        <w:tc>
          <w:tcPr>
            <w:tcW w:w="991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43E0A" w:rsidRPr="00874363" w:rsidRDefault="00843E0A" w:rsidP="007C417F">
            <w:pPr>
              <w:spacing w:after="0" w:line="240" w:lineRule="auto"/>
              <w:jc w:val="center"/>
              <w:rPr>
                <w:rFonts w:eastAsia="Times New Roman" w:cs="Times New Roman"/>
                <w:b/>
                <w:color w:val="000000"/>
                <w:sz w:val="18"/>
                <w:szCs w:val="18"/>
                <w:lang w:eastAsia="es-MX"/>
              </w:rPr>
            </w:pPr>
            <w:r w:rsidRPr="00874363">
              <w:rPr>
                <w:rFonts w:eastAsia="Times New Roman" w:cs="Times New Roman"/>
                <w:b/>
                <w:color w:val="000000"/>
                <w:sz w:val="18"/>
                <w:szCs w:val="18"/>
                <w:lang w:eastAsia="es-MX"/>
              </w:rPr>
              <w:t xml:space="preserve">CÉDULA DE ANTIGUEDAD DE SALDOS </w:t>
            </w:r>
          </w:p>
        </w:tc>
      </w:tr>
      <w:tr w:rsidR="00843E0A" w:rsidRPr="00874363" w:rsidTr="00843E0A">
        <w:trPr>
          <w:trHeight w:val="286"/>
        </w:trPr>
        <w:tc>
          <w:tcPr>
            <w:tcW w:w="3103" w:type="dxa"/>
            <w:tcBorders>
              <w:top w:val="nil"/>
              <w:left w:val="single" w:sz="4" w:space="0" w:color="auto"/>
              <w:bottom w:val="nil"/>
              <w:right w:val="nil"/>
            </w:tcBorders>
            <w:shd w:val="clear" w:color="000000" w:fill="FFFFFF"/>
            <w:vAlign w:val="center"/>
            <w:hideMark/>
          </w:tcPr>
          <w:p w:rsidR="00843E0A" w:rsidRPr="00874363" w:rsidRDefault="00843E0A" w:rsidP="007C417F">
            <w:pPr>
              <w:spacing w:after="0" w:line="240" w:lineRule="auto"/>
              <w:jc w:val="center"/>
              <w:rPr>
                <w:rFonts w:eastAsia="Times New Roman" w:cs="Times New Roman"/>
                <w:b/>
                <w:color w:val="000000"/>
                <w:sz w:val="18"/>
                <w:szCs w:val="18"/>
                <w:lang w:eastAsia="es-MX"/>
              </w:rPr>
            </w:pPr>
            <w:r w:rsidRPr="00874363">
              <w:rPr>
                <w:rFonts w:eastAsia="Times New Roman" w:cs="Times New Roman"/>
                <w:b/>
                <w:color w:val="000000"/>
                <w:sz w:val="18"/>
                <w:szCs w:val="18"/>
                <w:lang w:eastAsia="es-MX"/>
              </w:rPr>
              <w:t>NOMBRE DEL DEUDOR</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center"/>
              <w:rPr>
                <w:rFonts w:eastAsia="Times New Roman" w:cs="Times New Roman"/>
                <w:b/>
                <w:color w:val="000000"/>
                <w:sz w:val="18"/>
                <w:szCs w:val="18"/>
                <w:lang w:eastAsia="es-MX"/>
              </w:rPr>
            </w:pPr>
            <w:r w:rsidRPr="00874363">
              <w:rPr>
                <w:rFonts w:eastAsia="Times New Roman" w:cs="Times New Roman"/>
                <w:b/>
                <w:color w:val="000000"/>
                <w:sz w:val="18"/>
                <w:szCs w:val="18"/>
                <w:lang w:eastAsia="es-MX"/>
              </w:rPr>
              <w:t>MENOS DE 30 DÍAS</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center"/>
              <w:rPr>
                <w:rFonts w:eastAsia="Times New Roman" w:cs="Times New Roman"/>
                <w:b/>
                <w:color w:val="000000"/>
                <w:sz w:val="18"/>
                <w:szCs w:val="18"/>
                <w:lang w:eastAsia="es-MX"/>
              </w:rPr>
            </w:pPr>
            <w:r w:rsidRPr="00874363">
              <w:rPr>
                <w:rFonts w:eastAsia="Times New Roman" w:cs="Times New Roman"/>
                <w:b/>
                <w:color w:val="000000"/>
                <w:sz w:val="18"/>
                <w:szCs w:val="18"/>
                <w:lang w:eastAsia="es-MX"/>
              </w:rPr>
              <w:t>MENOS DE 60 DIAS</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center"/>
              <w:rPr>
                <w:rFonts w:eastAsia="Times New Roman" w:cs="Times New Roman"/>
                <w:b/>
                <w:color w:val="000000"/>
                <w:sz w:val="18"/>
                <w:szCs w:val="18"/>
                <w:lang w:eastAsia="es-MX"/>
              </w:rPr>
            </w:pPr>
            <w:r w:rsidRPr="00874363">
              <w:rPr>
                <w:rFonts w:eastAsia="Times New Roman" w:cs="Times New Roman"/>
                <w:b/>
                <w:color w:val="000000"/>
                <w:sz w:val="18"/>
                <w:szCs w:val="18"/>
                <w:lang w:eastAsia="es-MX"/>
              </w:rPr>
              <w:t>MENOS DE 90 DÍAS</w:t>
            </w:r>
          </w:p>
        </w:tc>
        <w:tc>
          <w:tcPr>
            <w:tcW w:w="1658" w:type="dxa"/>
            <w:tcBorders>
              <w:top w:val="nil"/>
              <w:left w:val="nil"/>
              <w:bottom w:val="nil"/>
              <w:right w:val="single" w:sz="4" w:space="0" w:color="auto"/>
            </w:tcBorders>
            <w:shd w:val="clear" w:color="000000" w:fill="FFFFFF"/>
            <w:vAlign w:val="center"/>
            <w:hideMark/>
          </w:tcPr>
          <w:p w:rsidR="00843E0A" w:rsidRPr="00874363" w:rsidRDefault="00843E0A" w:rsidP="007C417F">
            <w:pPr>
              <w:spacing w:after="0" w:line="240" w:lineRule="auto"/>
              <w:jc w:val="center"/>
              <w:rPr>
                <w:rFonts w:eastAsia="Times New Roman" w:cs="Times New Roman"/>
                <w:b/>
                <w:color w:val="000000"/>
                <w:sz w:val="18"/>
                <w:szCs w:val="18"/>
                <w:lang w:eastAsia="es-MX"/>
              </w:rPr>
            </w:pPr>
            <w:r w:rsidRPr="00874363">
              <w:rPr>
                <w:rFonts w:eastAsia="Times New Roman" w:cs="Times New Roman"/>
                <w:b/>
                <w:color w:val="000000"/>
                <w:sz w:val="18"/>
                <w:szCs w:val="18"/>
                <w:lang w:eastAsia="es-MX"/>
              </w:rPr>
              <w:t>SALDO TOTAL</w:t>
            </w:r>
          </w:p>
        </w:tc>
      </w:tr>
      <w:tr w:rsidR="00843E0A" w:rsidRPr="00874363" w:rsidTr="00843E0A">
        <w:trPr>
          <w:trHeight w:val="458"/>
        </w:trPr>
        <w:tc>
          <w:tcPr>
            <w:tcW w:w="3103" w:type="dxa"/>
            <w:tcBorders>
              <w:top w:val="nil"/>
              <w:left w:val="single" w:sz="4" w:space="0" w:color="auto"/>
              <w:bottom w:val="nil"/>
              <w:right w:val="nil"/>
            </w:tcBorders>
            <w:shd w:val="clear" w:color="000000" w:fill="FFFFFF"/>
            <w:vAlign w:val="center"/>
            <w:hideMark/>
          </w:tcPr>
          <w:p w:rsidR="00843E0A" w:rsidRPr="00874363" w:rsidRDefault="00843E0A" w:rsidP="007C417F">
            <w:pPr>
              <w:spacing w:after="0" w:line="240" w:lineRule="auto"/>
              <w:rPr>
                <w:rFonts w:eastAsia="Times New Roman" w:cs="Times New Roman"/>
                <w:color w:val="000000"/>
                <w:sz w:val="18"/>
                <w:szCs w:val="18"/>
                <w:lang w:eastAsia="es-MX"/>
              </w:rPr>
            </w:pPr>
            <w:r w:rsidRPr="00874363">
              <w:rPr>
                <w:rFonts w:eastAsia="Times New Roman" w:cs="Times New Roman"/>
                <w:color w:val="000000"/>
                <w:sz w:val="18"/>
                <w:szCs w:val="18"/>
                <w:lang w:eastAsia="es-MX"/>
              </w:rPr>
              <w:t xml:space="preserve">Instituto Mexiquense de la Vivienda Social </w:t>
            </w:r>
          </w:p>
        </w:tc>
        <w:tc>
          <w:tcPr>
            <w:tcW w:w="1719" w:type="dxa"/>
            <w:tcBorders>
              <w:top w:val="nil"/>
              <w:left w:val="nil"/>
              <w:bottom w:val="nil"/>
              <w:right w:val="nil"/>
            </w:tcBorders>
            <w:shd w:val="clear" w:color="auto" w:fill="auto"/>
            <w:noWrap/>
            <w:vAlign w:val="bottom"/>
            <w:hideMark/>
          </w:tcPr>
          <w:p w:rsidR="00843E0A" w:rsidRPr="00874363" w:rsidRDefault="00843E0A" w:rsidP="007C417F">
            <w:pPr>
              <w:spacing w:after="0" w:line="240" w:lineRule="auto"/>
              <w:rPr>
                <w:rFonts w:ascii="Calibri" w:eastAsia="Times New Roman" w:hAnsi="Calibri" w:cs="Times New Roman"/>
                <w:color w:val="000000"/>
                <w:sz w:val="22"/>
                <w:szCs w:val="22"/>
                <w:lang w:eastAsia="es-MX"/>
              </w:rPr>
            </w:pPr>
            <w:r w:rsidRPr="00874363">
              <w:rPr>
                <w:rFonts w:ascii="Calibri" w:eastAsia="Times New Roman" w:hAnsi="Calibri" w:cs="Times New Roman"/>
                <w:color w:val="000000"/>
                <w:sz w:val="22"/>
                <w:szCs w:val="22"/>
                <w:lang w:eastAsia="es-MX"/>
              </w:rPr>
              <w:t> </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3,157,088.00</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 </w:t>
            </w:r>
          </w:p>
        </w:tc>
        <w:tc>
          <w:tcPr>
            <w:tcW w:w="1658" w:type="dxa"/>
            <w:tcBorders>
              <w:top w:val="nil"/>
              <w:left w:val="nil"/>
              <w:bottom w:val="nil"/>
              <w:right w:val="single" w:sz="4" w:space="0" w:color="auto"/>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3,157,088.00</w:t>
            </w:r>
          </w:p>
        </w:tc>
      </w:tr>
      <w:tr w:rsidR="00843E0A" w:rsidRPr="00874363" w:rsidTr="00843E0A">
        <w:trPr>
          <w:trHeight w:val="286"/>
        </w:trPr>
        <w:tc>
          <w:tcPr>
            <w:tcW w:w="3103" w:type="dxa"/>
            <w:tcBorders>
              <w:top w:val="nil"/>
              <w:left w:val="single" w:sz="4" w:space="0" w:color="auto"/>
              <w:bottom w:val="nil"/>
              <w:right w:val="nil"/>
            </w:tcBorders>
            <w:shd w:val="clear" w:color="000000" w:fill="FFFFFF"/>
            <w:vAlign w:val="center"/>
            <w:hideMark/>
          </w:tcPr>
          <w:p w:rsidR="00843E0A" w:rsidRPr="00874363" w:rsidRDefault="00843E0A" w:rsidP="007C417F">
            <w:pPr>
              <w:spacing w:after="0" w:line="240" w:lineRule="auto"/>
              <w:rPr>
                <w:rFonts w:eastAsia="Times New Roman" w:cs="Times New Roman"/>
                <w:color w:val="000000"/>
                <w:sz w:val="18"/>
                <w:szCs w:val="18"/>
                <w:lang w:eastAsia="es-MX"/>
              </w:rPr>
            </w:pPr>
            <w:r w:rsidRPr="00874363">
              <w:rPr>
                <w:rFonts w:eastAsia="Times New Roman" w:cs="Times New Roman"/>
                <w:color w:val="000000"/>
                <w:sz w:val="18"/>
                <w:szCs w:val="18"/>
                <w:lang w:eastAsia="es-MX"/>
              </w:rPr>
              <w:t>Gobierno del Estado de México (PAD)</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17,285,451.77</w:t>
            </w:r>
          </w:p>
        </w:tc>
        <w:tc>
          <w:tcPr>
            <w:tcW w:w="1719" w:type="dxa"/>
            <w:tcBorders>
              <w:top w:val="nil"/>
              <w:left w:val="nil"/>
              <w:bottom w:val="nil"/>
              <w:right w:val="nil"/>
            </w:tcBorders>
            <w:shd w:val="clear" w:color="auto" w:fill="auto"/>
            <w:noWrap/>
            <w:vAlign w:val="bottom"/>
            <w:hideMark/>
          </w:tcPr>
          <w:p w:rsidR="00843E0A" w:rsidRPr="00874363" w:rsidRDefault="00843E0A" w:rsidP="007C417F">
            <w:pPr>
              <w:spacing w:after="0" w:line="240" w:lineRule="auto"/>
              <w:rPr>
                <w:rFonts w:ascii="Calibri" w:eastAsia="Times New Roman" w:hAnsi="Calibri" w:cs="Times New Roman"/>
                <w:color w:val="000000"/>
                <w:sz w:val="22"/>
                <w:szCs w:val="22"/>
                <w:lang w:eastAsia="es-MX"/>
              </w:rPr>
            </w:pPr>
            <w:r w:rsidRPr="00874363">
              <w:rPr>
                <w:rFonts w:ascii="Calibri" w:eastAsia="Times New Roman" w:hAnsi="Calibri" w:cs="Times New Roman"/>
                <w:color w:val="000000"/>
                <w:sz w:val="22"/>
                <w:szCs w:val="22"/>
                <w:lang w:eastAsia="es-MX"/>
              </w:rPr>
              <w:t> </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 </w:t>
            </w:r>
          </w:p>
        </w:tc>
        <w:tc>
          <w:tcPr>
            <w:tcW w:w="1658" w:type="dxa"/>
            <w:tcBorders>
              <w:top w:val="nil"/>
              <w:left w:val="nil"/>
              <w:bottom w:val="nil"/>
              <w:right w:val="single" w:sz="4" w:space="0" w:color="auto"/>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17,285,451.77</w:t>
            </w:r>
          </w:p>
        </w:tc>
      </w:tr>
      <w:tr w:rsidR="00843E0A" w:rsidRPr="00874363" w:rsidTr="00843E0A">
        <w:trPr>
          <w:trHeight w:val="286"/>
        </w:trPr>
        <w:tc>
          <w:tcPr>
            <w:tcW w:w="3103" w:type="dxa"/>
            <w:tcBorders>
              <w:top w:val="nil"/>
              <w:left w:val="single" w:sz="4" w:space="0" w:color="auto"/>
              <w:bottom w:val="nil"/>
              <w:right w:val="nil"/>
            </w:tcBorders>
            <w:shd w:val="clear" w:color="000000" w:fill="FFFFFF"/>
            <w:vAlign w:val="center"/>
            <w:hideMark/>
          </w:tcPr>
          <w:p w:rsidR="00843E0A" w:rsidRPr="00874363" w:rsidRDefault="00843E0A" w:rsidP="007C417F">
            <w:pPr>
              <w:spacing w:after="0" w:line="240" w:lineRule="auto"/>
              <w:rPr>
                <w:rFonts w:eastAsia="Times New Roman" w:cs="Times New Roman"/>
                <w:color w:val="000000"/>
                <w:sz w:val="18"/>
                <w:szCs w:val="18"/>
                <w:lang w:eastAsia="es-MX"/>
              </w:rPr>
            </w:pPr>
            <w:r w:rsidRPr="00874363">
              <w:rPr>
                <w:rFonts w:eastAsia="Times New Roman" w:cs="Times New Roman"/>
                <w:color w:val="000000"/>
                <w:sz w:val="18"/>
                <w:szCs w:val="18"/>
                <w:lang w:eastAsia="es-MX"/>
              </w:rPr>
              <w:t>Sandra Hortencia Macedo García</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61,500.00</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 </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 </w:t>
            </w:r>
          </w:p>
        </w:tc>
        <w:tc>
          <w:tcPr>
            <w:tcW w:w="1658" w:type="dxa"/>
            <w:tcBorders>
              <w:top w:val="nil"/>
              <w:left w:val="nil"/>
              <w:bottom w:val="nil"/>
              <w:right w:val="single" w:sz="4" w:space="0" w:color="auto"/>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61,500.00</w:t>
            </w:r>
          </w:p>
        </w:tc>
      </w:tr>
      <w:tr w:rsidR="00843E0A" w:rsidRPr="00874363" w:rsidTr="00843E0A">
        <w:trPr>
          <w:trHeight w:val="286"/>
        </w:trPr>
        <w:tc>
          <w:tcPr>
            <w:tcW w:w="3103" w:type="dxa"/>
            <w:tcBorders>
              <w:top w:val="nil"/>
              <w:left w:val="single" w:sz="4" w:space="0" w:color="auto"/>
              <w:bottom w:val="nil"/>
              <w:right w:val="nil"/>
            </w:tcBorders>
            <w:shd w:val="clear" w:color="000000" w:fill="FFFFFF"/>
            <w:vAlign w:val="center"/>
            <w:hideMark/>
          </w:tcPr>
          <w:p w:rsidR="00843E0A" w:rsidRPr="00874363" w:rsidRDefault="00843E0A" w:rsidP="007C417F">
            <w:pPr>
              <w:spacing w:after="0" w:line="240" w:lineRule="auto"/>
              <w:rPr>
                <w:rFonts w:eastAsia="Times New Roman" w:cs="Times New Roman"/>
                <w:color w:val="000000"/>
                <w:sz w:val="18"/>
                <w:szCs w:val="18"/>
                <w:lang w:eastAsia="es-MX"/>
              </w:rPr>
            </w:pPr>
            <w:r w:rsidRPr="00874363">
              <w:rPr>
                <w:rFonts w:eastAsia="Times New Roman" w:cs="Times New Roman"/>
                <w:color w:val="000000"/>
                <w:sz w:val="18"/>
                <w:szCs w:val="18"/>
                <w:lang w:eastAsia="es-MX"/>
              </w:rPr>
              <w:t>Jorge Gómez Hernández</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166,762.00</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 </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 </w:t>
            </w:r>
          </w:p>
        </w:tc>
        <w:tc>
          <w:tcPr>
            <w:tcW w:w="1658" w:type="dxa"/>
            <w:tcBorders>
              <w:top w:val="nil"/>
              <w:left w:val="nil"/>
              <w:bottom w:val="nil"/>
              <w:right w:val="single" w:sz="4" w:space="0" w:color="auto"/>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166,762.00</w:t>
            </w:r>
          </w:p>
        </w:tc>
      </w:tr>
      <w:tr w:rsidR="00843E0A" w:rsidRPr="00874363" w:rsidTr="00843E0A">
        <w:trPr>
          <w:trHeight w:val="286"/>
        </w:trPr>
        <w:tc>
          <w:tcPr>
            <w:tcW w:w="3103" w:type="dxa"/>
            <w:tcBorders>
              <w:top w:val="nil"/>
              <w:left w:val="single" w:sz="4" w:space="0" w:color="auto"/>
              <w:bottom w:val="nil"/>
              <w:right w:val="nil"/>
            </w:tcBorders>
            <w:shd w:val="clear" w:color="000000" w:fill="FFFFFF"/>
            <w:vAlign w:val="center"/>
            <w:hideMark/>
          </w:tcPr>
          <w:p w:rsidR="00843E0A" w:rsidRPr="00874363" w:rsidRDefault="00843E0A" w:rsidP="007C417F">
            <w:pPr>
              <w:spacing w:after="0" w:line="240" w:lineRule="auto"/>
              <w:rPr>
                <w:rFonts w:eastAsia="Times New Roman" w:cs="Times New Roman"/>
                <w:color w:val="000000"/>
                <w:sz w:val="18"/>
                <w:szCs w:val="18"/>
                <w:lang w:eastAsia="es-MX"/>
              </w:rPr>
            </w:pPr>
            <w:r w:rsidRPr="00874363">
              <w:rPr>
                <w:rFonts w:eastAsia="Times New Roman" w:cs="Times New Roman"/>
                <w:color w:val="000000"/>
                <w:sz w:val="18"/>
                <w:szCs w:val="18"/>
                <w:lang w:eastAsia="es-MX"/>
              </w:rPr>
              <w:t>ISSEMYM</w:t>
            </w:r>
          </w:p>
        </w:tc>
        <w:tc>
          <w:tcPr>
            <w:tcW w:w="1719" w:type="dxa"/>
            <w:tcBorders>
              <w:top w:val="nil"/>
              <w:left w:val="nil"/>
              <w:bottom w:val="nil"/>
              <w:right w:val="nil"/>
            </w:tcBorders>
            <w:shd w:val="clear" w:color="auto" w:fill="auto"/>
            <w:noWrap/>
            <w:vAlign w:val="bottom"/>
            <w:hideMark/>
          </w:tcPr>
          <w:p w:rsidR="00843E0A" w:rsidRPr="00874363" w:rsidRDefault="00843E0A" w:rsidP="007C417F">
            <w:pPr>
              <w:spacing w:after="0" w:line="240" w:lineRule="auto"/>
              <w:rPr>
                <w:rFonts w:ascii="Calibri" w:eastAsia="Times New Roman" w:hAnsi="Calibri" w:cs="Times New Roman"/>
                <w:color w:val="000000"/>
                <w:sz w:val="22"/>
                <w:szCs w:val="22"/>
                <w:lang w:eastAsia="es-MX"/>
              </w:rPr>
            </w:pPr>
            <w:r w:rsidRPr="00874363">
              <w:rPr>
                <w:rFonts w:ascii="Calibri" w:eastAsia="Times New Roman" w:hAnsi="Calibri" w:cs="Times New Roman"/>
                <w:color w:val="000000"/>
                <w:sz w:val="22"/>
                <w:szCs w:val="22"/>
                <w:lang w:eastAsia="es-MX"/>
              </w:rPr>
              <w:t> </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29,408.36</w:t>
            </w:r>
          </w:p>
        </w:tc>
        <w:tc>
          <w:tcPr>
            <w:tcW w:w="1719" w:type="dxa"/>
            <w:tcBorders>
              <w:top w:val="nil"/>
              <w:left w:val="nil"/>
              <w:bottom w:val="nil"/>
              <w:right w:val="nil"/>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 </w:t>
            </w:r>
          </w:p>
        </w:tc>
        <w:tc>
          <w:tcPr>
            <w:tcW w:w="1658" w:type="dxa"/>
            <w:tcBorders>
              <w:top w:val="nil"/>
              <w:left w:val="nil"/>
              <w:bottom w:val="nil"/>
              <w:right w:val="single" w:sz="4" w:space="0" w:color="auto"/>
            </w:tcBorders>
            <w:shd w:val="clear" w:color="000000" w:fill="FFFFFF"/>
            <w:vAlign w:val="center"/>
            <w:hideMark/>
          </w:tcPr>
          <w:p w:rsidR="00843E0A" w:rsidRPr="00874363" w:rsidRDefault="00843E0A" w:rsidP="007C417F">
            <w:pPr>
              <w:spacing w:after="0" w:line="240" w:lineRule="auto"/>
              <w:jc w:val="right"/>
              <w:rPr>
                <w:rFonts w:eastAsia="Times New Roman" w:cs="Times New Roman"/>
                <w:color w:val="000000"/>
                <w:sz w:val="18"/>
                <w:szCs w:val="18"/>
                <w:lang w:eastAsia="es-MX"/>
              </w:rPr>
            </w:pPr>
            <w:r w:rsidRPr="00874363">
              <w:rPr>
                <w:rFonts w:eastAsia="Times New Roman" w:cs="Times New Roman"/>
                <w:color w:val="000000"/>
                <w:sz w:val="18"/>
                <w:szCs w:val="18"/>
                <w:lang w:eastAsia="es-MX"/>
              </w:rPr>
              <w:t>29,408.36</w:t>
            </w:r>
          </w:p>
        </w:tc>
      </w:tr>
      <w:tr w:rsidR="00843E0A" w:rsidRPr="00874363" w:rsidTr="00843E0A">
        <w:trPr>
          <w:trHeight w:val="58"/>
        </w:trPr>
        <w:tc>
          <w:tcPr>
            <w:tcW w:w="3103" w:type="dxa"/>
            <w:tcBorders>
              <w:top w:val="nil"/>
              <w:left w:val="single" w:sz="4" w:space="0" w:color="auto"/>
              <w:bottom w:val="single" w:sz="4" w:space="0" w:color="auto"/>
              <w:right w:val="nil"/>
            </w:tcBorders>
            <w:shd w:val="clear" w:color="auto" w:fill="auto"/>
            <w:noWrap/>
            <w:vAlign w:val="bottom"/>
            <w:hideMark/>
          </w:tcPr>
          <w:p w:rsidR="00843E0A" w:rsidRPr="00874363" w:rsidRDefault="00843E0A" w:rsidP="007C417F">
            <w:pPr>
              <w:spacing w:after="0" w:line="240" w:lineRule="auto"/>
              <w:rPr>
                <w:rFonts w:eastAsia="Times New Roman" w:cs="Times New Roman"/>
                <w:color w:val="000000"/>
                <w:sz w:val="22"/>
                <w:szCs w:val="22"/>
                <w:lang w:eastAsia="es-MX"/>
              </w:rPr>
            </w:pPr>
            <w:r w:rsidRPr="00874363">
              <w:rPr>
                <w:rFonts w:eastAsia="Times New Roman" w:cs="Times New Roman"/>
                <w:color w:val="000000"/>
                <w:sz w:val="22"/>
                <w:szCs w:val="22"/>
                <w:lang w:eastAsia="es-MX"/>
              </w:rPr>
              <w:t> </w:t>
            </w:r>
          </w:p>
        </w:tc>
        <w:tc>
          <w:tcPr>
            <w:tcW w:w="1719" w:type="dxa"/>
            <w:tcBorders>
              <w:top w:val="nil"/>
              <w:left w:val="nil"/>
              <w:bottom w:val="single" w:sz="4" w:space="0" w:color="auto"/>
              <w:right w:val="nil"/>
            </w:tcBorders>
            <w:shd w:val="clear" w:color="auto" w:fill="auto"/>
            <w:noWrap/>
            <w:vAlign w:val="bottom"/>
            <w:hideMark/>
          </w:tcPr>
          <w:p w:rsidR="00843E0A" w:rsidRPr="00874363" w:rsidRDefault="00843E0A" w:rsidP="007C417F">
            <w:pPr>
              <w:spacing w:after="0" w:line="240" w:lineRule="auto"/>
              <w:rPr>
                <w:rFonts w:eastAsia="Times New Roman" w:cs="Times New Roman"/>
                <w:color w:val="000000"/>
                <w:sz w:val="22"/>
                <w:szCs w:val="22"/>
                <w:lang w:eastAsia="es-MX"/>
              </w:rPr>
            </w:pPr>
            <w:r w:rsidRPr="00874363">
              <w:rPr>
                <w:rFonts w:eastAsia="Times New Roman" w:cs="Times New Roman"/>
                <w:color w:val="000000"/>
                <w:sz w:val="22"/>
                <w:szCs w:val="22"/>
                <w:lang w:eastAsia="es-MX"/>
              </w:rPr>
              <w:t> </w:t>
            </w:r>
          </w:p>
        </w:tc>
        <w:tc>
          <w:tcPr>
            <w:tcW w:w="1719" w:type="dxa"/>
            <w:tcBorders>
              <w:top w:val="nil"/>
              <w:left w:val="nil"/>
              <w:bottom w:val="single" w:sz="4" w:space="0" w:color="auto"/>
              <w:right w:val="nil"/>
            </w:tcBorders>
            <w:shd w:val="clear" w:color="auto" w:fill="auto"/>
            <w:noWrap/>
            <w:vAlign w:val="bottom"/>
            <w:hideMark/>
          </w:tcPr>
          <w:p w:rsidR="00843E0A" w:rsidRPr="00874363" w:rsidRDefault="00843E0A" w:rsidP="007C417F">
            <w:pPr>
              <w:spacing w:after="0" w:line="240" w:lineRule="auto"/>
              <w:rPr>
                <w:rFonts w:eastAsia="Times New Roman" w:cs="Times New Roman"/>
                <w:color w:val="000000"/>
                <w:sz w:val="22"/>
                <w:szCs w:val="22"/>
                <w:lang w:eastAsia="es-MX"/>
              </w:rPr>
            </w:pPr>
            <w:r w:rsidRPr="00874363">
              <w:rPr>
                <w:rFonts w:eastAsia="Times New Roman" w:cs="Times New Roman"/>
                <w:color w:val="000000"/>
                <w:sz w:val="22"/>
                <w:szCs w:val="22"/>
                <w:lang w:eastAsia="es-MX"/>
              </w:rPr>
              <w:t> </w:t>
            </w:r>
          </w:p>
        </w:tc>
        <w:tc>
          <w:tcPr>
            <w:tcW w:w="1719" w:type="dxa"/>
            <w:tcBorders>
              <w:top w:val="nil"/>
              <w:left w:val="nil"/>
              <w:bottom w:val="single" w:sz="4" w:space="0" w:color="auto"/>
              <w:right w:val="nil"/>
            </w:tcBorders>
            <w:shd w:val="clear" w:color="auto" w:fill="auto"/>
            <w:noWrap/>
            <w:vAlign w:val="bottom"/>
            <w:hideMark/>
          </w:tcPr>
          <w:p w:rsidR="00843E0A" w:rsidRPr="00874363" w:rsidRDefault="00843E0A" w:rsidP="007C417F">
            <w:pPr>
              <w:spacing w:after="0" w:line="240" w:lineRule="auto"/>
              <w:rPr>
                <w:rFonts w:eastAsia="Times New Roman" w:cs="Times New Roman"/>
                <w:color w:val="000000"/>
                <w:sz w:val="22"/>
                <w:szCs w:val="22"/>
                <w:lang w:eastAsia="es-MX"/>
              </w:rPr>
            </w:pPr>
            <w:r w:rsidRPr="00874363">
              <w:rPr>
                <w:rFonts w:eastAsia="Times New Roman" w:cs="Times New Roman"/>
                <w:color w:val="000000"/>
                <w:sz w:val="22"/>
                <w:szCs w:val="22"/>
                <w:lang w:eastAsia="es-MX"/>
              </w:rPr>
              <w:t> </w:t>
            </w:r>
          </w:p>
        </w:tc>
        <w:tc>
          <w:tcPr>
            <w:tcW w:w="1658" w:type="dxa"/>
            <w:tcBorders>
              <w:top w:val="nil"/>
              <w:left w:val="nil"/>
              <w:bottom w:val="single" w:sz="4" w:space="0" w:color="auto"/>
              <w:right w:val="single" w:sz="4" w:space="0" w:color="auto"/>
            </w:tcBorders>
            <w:shd w:val="clear" w:color="000000" w:fill="FFFFFF"/>
            <w:vAlign w:val="center"/>
            <w:hideMark/>
          </w:tcPr>
          <w:p w:rsidR="00843E0A" w:rsidRPr="00874363" w:rsidRDefault="00843E0A" w:rsidP="007C417F">
            <w:pPr>
              <w:spacing w:after="0" w:line="240" w:lineRule="auto"/>
              <w:jc w:val="right"/>
              <w:rPr>
                <w:rFonts w:eastAsia="Times New Roman" w:cs="Times New Roman"/>
                <w:b/>
                <w:bCs/>
                <w:color w:val="000000"/>
                <w:sz w:val="18"/>
                <w:szCs w:val="18"/>
                <w:lang w:eastAsia="es-MX"/>
              </w:rPr>
            </w:pPr>
            <w:r w:rsidRPr="00874363">
              <w:rPr>
                <w:rFonts w:eastAsia="Times New Roman" w:cs="Times New Roman"/>
                <w:b/>
                <w:bCs/>
                <w:color w:val="000000"/>
                <w:sz w:val="18"/>
                <w:szCs w:val="18"/>
                <w:lang w:eastAsia="es-MX"/>
              </w:rPr>
              <w:t xml:space="preserve"> $20,700,210.13 </w:t>
            </w:r>
          </w:p>
        </w:tc>
      </w:tr>
    </w:tbl>
    <w:p w:rsidR="00843E0A" w:rsidRPr="00874363" w:rsidRDefault="00843E0A" w:rsidP="00843E0A">
      <w:pPr>
        <w:tabs>
          <w:tab w:val="left" w:pos="639"/>
          <w:tab w:val="left" w:pos="3836"/>
        </w:tabs>
        <w:spacing w:before="240" w:after="0" w:line="276" w:lineRule="auto"/>
        <w:ind w:left="360" w:right="-1"/>
        <w:contextualSpacing/>
        <w:jc w:val="both"/>
        <w:rPr>
          <w:rFonts w:cs="Arial"/>
          <w:color w:val="000000" w:themeColor="text1"/>
        </w:rPr>
      </w:pPr>
    </w:p>
    <w:p w:rsidR="00843E0A" w:rsidRPr="00AB4D91" w:rsidRDefault="00843E0A" w:rsidP="00843E0A">
      <w:pPr>
        <w:numPr>
          <w:ilvl w:val="0"/>
          <w:numId w:val="1"/>
        </w:numPr>
        <w:tabs>
          <w:tab w:val="left" w:pos="639"/>
          <w:tab w:val="left" w:pos="3836"/>
        </w:tabs>
        <w:spacing w:before="240" w:after="0" w:line="276" w:lineRule="auto"/>
        <w:ind w:right="-1"/>
        <w:contextualSpacing/>
        <w:jc w:val="both"/>
        <w:rPr>
          <w:rFonts w:cs="Arial"/>
          <w:color w:val="000000" w:themeColor="text1"/>
        </w:rPr>
      </w:pPr>
      <w:r w:rsidRPr="003D677E">
        <w:rPr>
          <w:rFonts w:cs="Arial"/>
          <w:b/>
        </w:rPr>
        <w:t>Cuentas por Cobrar a Corto Plazo. –</w:t>
      </w:r>
      <w:r w:rsidRPr="003D677E">
        <w:rPr>
          <w:rFonts w:cs="Arial"/>
        </w:rPr>
        <w:t xml:space="preserve"> El saldo de esta cuenta fue de </w:t>
      </w:r>
      <w:r w:rsidRPr="008523D4">
        <w:rPr>
          <w:rFonts w:cs="Arial"/>
          <w:color w:val="000000" w:themeColor="text1"/>
        </w:rPr>
        <w:t>20,442,539.77</w:t>
      </w:r>
      <w:r w:rsidRPr="00AB4D91">
        <w:rPr>
          <w:rFonts w:cs="Arial"/>
          <w:color w:val="000000" w:themeColor="text1"/>
        </w:rPr>
        <w:t>, el cual corresponde al depósito del GEM por 20,166,133.25, del Programa de Regularización de Tenencia de la Tierra cuya fuente de financiamiento corresponde al Programa de Acciones para el Desarrollo (PAD) y al IMEVIS 3,157,088.00 por cobrar sobre los servicios que le ha prestado el IFREM.</w:t>
      </w:r>
    </w:p>
    <w:p w:rsidR="00843E0A" w:rsidRPr="007E2E82" w:rsidRDefault="00843E0A" w:rsidP="00843E0A">
      <w:pPr>
        <w:tabs>
          <w:tab w:val="left" w:pos="639"/>
          <w:tab w:val="left" w:pos="3836"/>
        </w:tabs>
        <w:spacing w:before="240" w:after="0" w:line="276" w:lineRule="auto"/>
        <w:ind w:left="360" w:right="-1"/>
        <w:contextualSpacing/>
        <w:jc w:val="both"/>
        <w:rPr>
          <w:rFonts w:cs="Arial"/>
        </w:rPr>
      </w:pPr>
    </w:p>
    <w:p w:rsidR="00843E0A" w:rsidRPr="007E2E82" w:rsidRDefault="00843E0A" w:rsidP="00843E0A">
      <w:pPr>
        <w:numPr>
          <w:ilvl w:val="0"/>
          <w:numId w:val="1"/>
        </w:numPr>
        <w:tabs>
          <w:tab w:val="left" w:pos="639"/>
          <w:tab w:val="left" w:pos="3836"/>
        </w:tabs>
        <w:spacing w:before="240" w:after="0" w:line="276" w:lineRule="auto"/>
        <w:ind w:right="-1"/>
        <w:contextualSpacing/>
        <w:jc w:val="both"/>
        <w:rPr>
          <w:rFonts w:cs="Arial"/>
        </w:rPr>
      </w:pPr>
      <w:r w:rsidRPr="007E2E82">
        <w:rPr>
          <w:rFonts w:cs="Arial"/>
          <w:b/>
        </w:rPr>
        <w:t>Deudores Diversos. -</w:t>
      </w:r>
      <w:r w:rsidRPr="007E2E82">
        <w:rPr>
          <w:rFonts w:cs="Arial"/>
        </w:rPr>
        <w:t xml:space="preserve"> El </w:t>
      </w:r>
      <w:r w:rsidRPr="00AB4D91">
        <w:rPr>
          <w:rFonts w:cs="Arial"/>
          <w:color w:val="000000" w:themeColor="text1"/>
        </w:rPr>
        <w:t xml:space="preserve">saldo de </w:t>
      </w:r>
      <w:r w:rsidRPr="008523D4">
        <w:rPr>
          <w:rFonts w:cs="Arial"/>
          <w:color w:val="000000" w:themeColor="text1"/>
        </w:rPr>
        <w:t>257,670.36</w:t>
      </w:r>
      <w:r w:rsidRPr="00AB4D91">
        <w:rPr>
          <w:rFonts w:cs="Arial"/>
          <w:color w:val="000000" w:themeColor="text1"/>
        </w:rPr>
        <w:t xml:space="preserve">, </w:t>
      </w:r>
      <w:r>
        <w:rPr>
          <w:rFonts w:cs="Arial"/>
          <w:color w:val="000000" w:themeColor="text1"/>
        </w:rPr>
        <w:t>correspondientes</w:t>
      </w:r>
      <w:r w:rsidRPr="007E2E82">
        <w:rPr>
          <w:rFonts w:cs="Arial"/>
        </w:rPr>
        <w:t xml:space="preserve"> a las solicitudes de gastos a comprobar de los Servidores Públicos por los gastos a realizar en cumplimiento de sus actividades y </w:t>
      </w:r>
      <w:r>
        <w:rPr>
          <w:rFonts w:cs="Arial"/>
        </w:rPr>
        <w:t>a la regularización del ISSEMYM.</w:t>
      </w:r>
    </w:p>
    <w:p w:rsidR="00843E0A" w:rsidRDefault="00843E0A" w:rsidP="00843E0A">
      <w:pPr>
        <w:spacing w:after="0" w:line="276" w:lineRule="auto"/>
        <w:ind w:right="-1"/>
        <w:jc w:val="both"/>
        <w:rPr>
          <w:rFonts w:cs="Arial"/>
          <w:b/>
        </w:rPr>
      </w:pPr>
    </w:p>
    <w:p w:rsidR="00843E0A" w:rsidRPr="007E2E82" w:rsidRDefault="00843E0A" w:rsidP="00843E0A">
      <w:pPr>
        <w:spacing w:after="0" w:line="276" w:lineRule="auto"/>
        <w:ind w:right="-1"/>
        <w:jc w:val="both"/>
        <w:rPr>
          <w:rFonts w:cs="Arial"/>
          <w:b/>
        </w:rPr>
      </w:pPr>
      <w:r w:rsidRPr="007E2E82">
        <w:rPr>
          <w:rFonts w:cs="Arial"/>
          <w:b/>
        </w:rPr>
        <w:t>Activo No Circulante</w:t>
      </w:r>
    </w:p>
    <w:p w:rsidR="00843E0A" w:rsidRPr="007E2E82" w:rsidRDefault="00843E0A" w:rsidP="00843E0A">
      <w:pPr>
        <w:tabs>
          <w:tab w:val="left" w:pos="3836"/>
        </w:tabs>
        <w:spacing w:line="276" w:lineRule="auto"/>
        <w:ind w:right="-1"/>
        <w:jc w:val="both"/>
        <w:rPr>
          <w:rFonts w:cs="Arial"/>
          <w:b/>
        </w:rPr>
      </w:pPr>
      <w:r w:rsidRPr="007E2E82">
        <w:rPr>
          <w:rFonts w:cs="Arial"/>
          <w:b/>
        </w:rPr>
        <w:t xml:space="preserve">Inversiones Financieras a Largo Plazo. - </w:t>
      </w:r>
      <w:r w:rsidRPr="007E2E82">
        <w:rPr>
          <w:rFonts w:cs="Arial"/>
        </w:rPr>
        <w:t>El saldo se integra con la siguiente cuenta</w:t>
      </w:r>
      <w:r w:rsidRPr="007E2E82">
        <w:rPr>
          <w:rFonts w:cs="Arial"/>
          <w:b/>
        </w:rPr>
        <w:t>:</w:t>
      </w:r>
      <w:r w:rsidRPr="007E2E82">
        <w:t xml:space="preserve"> </w:t>
      </w:r>
    </w:p>
    <w:p w:rsidR="00843E0A" w:rsidRPr="00AB4D91" w:rsidRDefault="00843E0A" w:rsidP="00843E0A">
      <w:pPr>
        <w:spacing w:line="276" w:lineRule="auto"/>
        <w:jc w:val="both"/>
        <w:rPr>
          <w:rFonts w:cs="Arial"/>
          <w:color w:val="000000" w:themeColor="text1"/>
        </w:rPr>
      </w:pPr>
      <w:r w:rsidRPr="007E2E82">
        <w:rPr>
          <w:rFonts w:cs="Arial"/>
          <w:b/>
        </w:rPr>
        <w:t>Fideicomisos, Mandatos y Contratos Análogos. -</w:t>
      </w:r>
      <w:r w:rsidRPr="007E2E82">
        <w:rPr>
          <w:rFonts w:cs="Arial"/>
        </w:rPr>
        <w:t xml:space="preserve"> El saldo de esta cuenta al mes que se analiza es por </w:t>
      </w:r>
      <w:r w:rsidRPr="00E16EC0">
        <w:rPr>
          <w:rFonts w:cs="Arial"/>
        </w:rPr>
        <w:t>4,454,407,719.04</w:t>
      </w:r>
      <w:r w:rsidRPr="005E1F09">
        <w:rPr>
          <w:rFonts w:cs="Arial"/>
        </w:rPr>
        <w:t xml:space="preserve">, </w:t>
      </w:r>
      <w:r w:rsidRPr="00AB4D91">
        <w:rPr>
          <w:rFonts w:cs="Arial"/>
          <w:color w:val="000000" w:themeColor="text1"/>
        </w:rPr>
        <w:t xml:space="preserve">que refleja los recursos en el Fideicomiso de Cobranza transferidos, que corresponden al RPP por </w:t>
      </w:r>
      <w:r w:rsidRPr="00E16EC0">
        <w:rPr>
          <w:rFonts w:cs="Arial"/>
          <w:color w:val="000000" w:themeColor="text1"/>
        </w:rPr>
        <w:t>4,443,236,829.15</w:t>
      </w:r>
      <w:r>
        <w:rPr>
          <w:rFonts w:cs="Arial"/>
          <w:color w:val="000000" w:themeColor="text1"/>
        </w:rPr>
        <w:t xml:space="preserve"> </w:t>
      </w:r>
      <w:r w:rsidRPr="00AB4D91">
        <w:rPr>
          <w:rFonts w:cs="Arial"/>
          <w:color w:val="000000" w:themeColor="text1"/>
        </w:rPr>
        <w:t xml:space="preserve">y al RPC por </w:t>
      </w:r>
      <w:r w:rsidRPr="00B76395">
        <w:rPr>
          <w:rFonts w:cs="Arial"/>
          <w:color w:val="000000" w:themeColor="text1"/>
        </w:rPr>
        <w:t>11,170,889.89.</w:t>
      </w:r>
      <w:r w:rsidRPr="00AB4D91">
        <w:rPr>
          <w:rFonts w:cs="Arial"/>
          <w:color w:val="000000" w:themeColor="text1"/>
        </w:rPr>
        <w:t xml:space="preserve"> </w:t>
      </w:r>
    </w:p>
    <w:p w:rsidR="00843E0A" w:rsidRPr="007E2E82" w:rsidRDefault="00843E0A" w:rsidP="00843E0A">
      <w:pPr>
        <w:spacing w:line="276" w:lineRule="auto"/>
        <w:ind w:right="-1"/>
        <w:jc w:val="both"/>
        <w:rPr>
          <w:rFonts w:cs="Arial"/>
          <w:b/>
        </w:rPr>
      </w:pPr>
      <w:r w:rsidRPr="007E2E82">
        <w:rPr>
          <w:rFonts w:cs="Arial"/>
          <w:b/>
        </w:rPr>
        <w:t>Bienes Inmuebles, Infraestructura y Construcciones en Proceso.</w:t>
      </w:r>
    </w:p>
    <w:p w:rsidR="00843E0A" w:rsidRPr="00AB4D91" w:rsidRDefault="00843E0A" w:rsidP="00843E0A">
      <w:pPr>
        <w:numPr>
          <w:ilvl w:val="0"/>
          <w:numId w:val="1"/>
        </w:numPr>
        <w:spacing w:after="0" w:line="276" w:lineRule="auto"/>
        <w:ind w:right="-1"/>
        <w:jc w:val="both"/>
        <w:rPr>
          <w:rFonts w:cs="Arial"/>
          <w:b/>
          <w:color w:val="000000" w:themeColor="text1"/>
        </w:rPr>
      </w:pPr>
      <w:r w:rsidRPr="007E2E82">
        <w:rPr>
          <w:rFonts w:cs="Arial"/>
          <w:b/>
        </w:rPr>
        <w:t>Los bienes muebles e inmuebles.</w:t>
      </w:r>
      <w:r w:rsidRPr="007E2E82">
        <w:rPr>
          <w:rFonts w:cs="Arial"/>
        </w:rPr>
        <w:t xml:space="preserve"> -</w:t>
      </w:r>
      <w:r w:rsidRPr="007E2E82">
        <w:rPr>
          <w:rFonts w:cs="Arial"/>
          <w:b/>
        </w:rPr>
        <w:t xml:space="preserve"> </w:t>
      </w:r>
      <w:r w:rsidRPr="007E2E82">
        <w:rPr>
          <w:rFonts w:cs="Arial"/>
        </w:rPr>
        <w:t xml:space="preserve">A la fecha de estas notas presentaron un valor histórico de </w:t>
      </w:r>
      <w:r w:rsidRPr="00DC785A">
        <w:rPr>
          <w:rFonts w:cs="Arial"/>
        </w:rPr>
        <w:t xml:space="preserve">271,322,341.67, </w:t>
      </w:r>
      <w:r w:rsidRPr="00AB4D91">
        <w:rPr>
          <w:rFonts w:cs="Arial"/>
          <w:color w:val="000000" w:themeColor="text1"/>
        </w:rPr>
        <w:t xml:space="preserve">la depreciación acumulada al mes actual fue de </w:t>
      </w:r>
      <w:r w:rsidRPr="004877CF">
        <w:rPr>
          <w:rFonts w:cs="Arial"/>
          <w:color w:val="000000" w:themeColor="text1"/>
        </w:rPr>
        <w:t>133,204,121.66,</w:t>
      </w:r>
      <w:r w:rsidRPr="00AB4D91">
        <w:rPr>
          <w:rFonts w:cs="Arial"/>
          <w:color w:val="000000" w:themeColor="text1"/>
        </w:rPr>
        <w:t xml:space="preserve"> se afecta contra el resultado </w:t>
      </w:r>
      <w:r w:rsidRPr="00AB4D91">
        <w:rPr>
          <w:rFonts w:cs="Arial"/>
          <w:color w:val="000000" w:themeColor="text1"/>
        </w:rPr>
        <w:lastRenderedPageBreak/>
        <w:t>del ejercicio por la modificación de la aportación patrimonial, por lo que se determinó un valor neto en libros de 138,118,220.01, de acuerdo al siguiente:</w:t>
      </w:r>
    </w:p>
    <w:p w:rsidR="00843E0A" w:rsidRPr="00AB4D91" w:rsidRDefault="00843E0A" w:rsidP="00843E0A">
      <w:pPr>
        <w:spacing w:after="0" w:line="276" w:lineRule="auto"/>
        <w:ind w:right="-1"/>
        <w:jc w:val="both"/>
        <w:rPr>
          <w:rFonts w:cs="Arial"/>
          <w:b/>
          <w:color w:val="000000" w:themeColor="text1"/>
        </w:rPr>
      </w:pPr>
    </w:p>
    <w:p w:rsidR="00843E0A" w:rsidRPr="007E2E82" w:rsidRDefault="00843E0A" w:rsidP="00843E0A">
      <w:pPr>
        <w:spacing w:after="0" w:line="276" w:lineRule="auto"/>
        <w:ind w:right="-1"/>
        <w:jc w:val="both"/>
      </w:pPr>
      <w:r w:rsidRPr="007E2E82">
        <w:rPr>
          <w:rFonts w:cs="Arial"/>
        </w:rPr>
        <w:t>Análisis de Movimientos del Activo No Circulante y su Depreciación:</w:t>
      </w:r>
      <w:r w:rsidRPr="007E2E82">
        <w:t xml:space="preserve"> </w:t>
      </w:r>
    </w:p>
    <w:p w:rsidR="00843E0A" w:rsidRDefault="00843E0A" w:rsidP="00843E0A">
      <w:pPr>
        <w:spacing w:after="0" w:line="276" w:lineRule="auto"/>
        <w:ind w:right="-1"/>
        <w:rPr>
          <w:rFonts w:cs="Arial"/>
          <w:b/>
        </w:rPr>
      </w:pPr>
      <w:r>
        <w:rPr>
          <w:rFonts w:cs="Arial"/>
          <w:b/>
        </w:rPr>
        <w:br/>
      </w:r>
      <w:r w:rsidRPr="00020432">
        <w:rPr>
          <w:noProof/>
          <w:lang w:eastAsia="es-MX"/>
        </w:rPr>
        <w:drawing>
          <wp:inline distT="0" distB="0" distL="0" distR="0" wp14:anchorId="6D12CB69" wp14:editId="05125F67">
            <wp:extent cx="6600825" cy="18002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602" cy="1801255"/>
                    </a:xfrm>
                    <a:prstGeom prst="rect">
                      <a:avLst/>
                    </a:prstGeom>
                    <a:noFill/>
                    <a:ln>
                      <a:noFill/>
                    </a:ln>
                  </pic:spPr>
                </pic:pic>
              </a:graphicData>
            </a:graphic>
          </wp:inline>
        </w:drawing>
      </w:r>
    </w:p>
    <w:p w:rsidR="00843E0A" w:rsidRDefault="00843E0A" w:rsidP="00843E0A">
      <w:pPr>
        <w:spacing w:after="0" w:line="276" w:lineRule="auto"/>
        <w:ind w:right="-1"/>
        <w:rPr>
          <w:rFonts w:cs="Arial"/>
          <w:b/>
        </w:rPr>
      </w:pPr>
    </w:p>
    <w:p w:rsidR="00843E0A" w:rsidRPr="007E2E82" w:rsidRDefault="00843E0A" w:rsidP="00843E0A">
      <w:pPr>
        <w:spacing w:after="0" w:line="276" w:lineRule="auto"/>
        <w:ind w:right="-1"/>
        <w:rPr>
          <w:rFonts w:cs="Arial"/>
          <w:b/>
        </w:rPr>
      </w:pPr>
      <w:r w:rsidRPr="00C9554B">
        <w:rPr>
          <w:rFonts w:cs="Arial"/>
          <w:b/>
        </w:rPr>
        <w:t xml:space="preserve">Nota: </w:t>
      </w:r>
      <w:r w:rsidRPr="00C9554B">
        <w:rPr>
          <w:rFonts w:cs="Arial"/>
        </w:rPr>
        <w:t xml:space="preserve">Las bajas de los bienes de equipo de cómputo y muebles de oficina son por donación y bienes en mal estado.  </w:t>
      </w:r>
    </w:p>
    <w:p w:rsidR="00843E0A" w:rsidRPr="007E2E82" w:rsidRDefault="00843E0A" w:rsidP="00843E0A">
      <w:pPr>
        <w:spacing w:after="0" w:line="276" w:lineRule="auto"/>
        <w:ind w:right="-1"/>
        <w:jc w:val="both"/>
        <w:rPr>
          <w:rFonts w:cs="Arial"/>
        </w:rPr>
      </w:pPr>
      <w:r w:rsidRPr="007E2E82">
        <w:rPr>
          <w:rFonts w:cs="Arial"/>
          <w:b/>
        </w:rPr>
        <w:t>Las Construcciones en Proceso</w:t>
      </w:r>
      <w:r w:rsidRPr="007E2E82">
        <w:rPr>
          <w:rFonts w:cs="Arial"/>
        </w:rPr>
        <w:t xml:space="preserve"> son parte d</w:t>
      </w:r>
      <w:r w:rsidRPr="00AB4D91">
        <w:rPr>
          <w:rFonts w:cs="Arial"/>
          <w:color w:val="000000" w:themeColor="text1"/>
        </w:rPr>
        <w:t>el saldo de 86,325,735.19, de Edificios no Habitacionales 55,193,783.71</w:t>
      </w:r>
      <w:r w:rsidRPr="00AB4D91">
        <w:rPr>
          <w:rFonts w:cs="Arial"/>
          <w:color w:val="000000" w:themeColor="text1"/>
        </w:rPr>
        <w:tab/>
        <w:t>y de la Construcción y Equipamiento del Archivo General de Notarias (Segunda etapa) Obra Nueva, por 31,131,951.48.</w:t>
      </w:r>
    </w:p>
    <w:p w:rsidR="00843E0A" w:rsidRPr="00F6308D" w:rsidRDefault="00843E0A" w:rsidP="00843E0A">
      <w:pPr>
        <w:spacing w:after="0" w:line="276" w:lineRule="auto"/>
        <w:ind w:right="-1"/>
        <w:jc w:val="both"/>
        <w:rPr>
          <w:rFonts w:cs="Arial"/>
        </w:rPr>
      </w:pPr>
    </w:p>
    <w:p w:rsidR="00843E0A" w:rsidRPr="00F6308D" w:rsidRDefault="00843E0A" w:rsidP="00843E0A">
      <w:pPr>
        <w:pStyle w:val="Prrafodelista"/>
        <w:numPr>
          <w:ilvl w:val="0"/>
          <w:numId w:val="1"/>
        </w:numPr>
        <w:spacing w:line="276" w:lineRule="auto"/>
        <w:ind w:right="-1"/>
        <w:jc w:val="both"/>
        <w:outlineLvl w:val="0"/>
        <w:rPr>
          <w:rFonts w:ascii="HelveticaNeueLT Std" w:hAnsi="HelveticaNeueLT Std" w:cs="Arial"/>
        </w:rPr>
      </w:pPr>
      <w:r w:rsidRPr="00F6308D">
        <w:rPr>
          <w:rFonts w:ascii="HelveticaNeueLT Std" w:hAnsi="HelveticaNeueLT Std" w:cs="Arial"/>
          <w:b/>
          <w:sz w:val="20"/>
          <w:szCs w:val="20"/>
        </w:rPr>
        <w:t>Otros Activos Diferidos.</w:t>
      </w:r>
      <w:r w:rsidRPr="00F6308D">
        <w:rPr>
          <w:rFonts w:ascii="HelveticaNeueLT Std" w:hAnsi="HelveticaNeueLT Std" w:cs="Arial"/>
          <w:b/>
        </w:rPr>
        <w:t xml:space="preserve"> - </w:t>
      </w:r>
      <w:r w:rsidRPr="00F6308D">
        <w:rPr>
          <w:rFonts w:ascii="HelveticaNeueLT Std" w:hAnsi="HelveticaNeueLT Std" w:cs="Arial"/>
          <w:sz w:val="20"/>
          <w:szCs w:val="20"/>
        </w:rPr>
        <w:t xml:space="preserve">El saldo de </w:t>
      </w:r>
      <w:r w:rsidRPr="00F6308D">
        <w:rPr>
          <w:rFonts w:ascii="HelveticaNeueLT Std" w:hAnsi="HelveticaNeueLT Std" w:cs="Arial"/>
          <w:color w:val="000000" w:themeColor="text1"/>
          <w:sz w:val="20"/>
          <w:szCs w:val="20"/>
        </w:rPr>
        <w:t xml:space="preserve">69,839.00, </w:t>
      </w:r>
      <w:r w:rsidRPr="00F6308D">
        <w:rPr>
          <w:rFonts w:ascii="HelveticaNeueLT Std" w:hAnsi="HelveticaNeueLT Std" w:cs="Arial"/>
          <w:sz w:val="20"/>
          <w:szCs w:val="20"/>
        </w:rPr>
        <w:t>se integra por la siguiente cuenta:</w:t>
      </w:r>
    </w:p>
    <w:p w:rsidR="00843E0A" w:rsidRPr="00F6308D" w:rsidRDefault="00843E0A" w:rsidP="00843E0A">
      <w:pPr>
        <w:spacing w:after="0" w:line="276" w:lineRule="auto"/>
        <w:ind w:left="360" w:right="-1"/>
        <w:jc w:val="both"/>
        <w:rPr>
          <w:rFonts w:cs="Arial"/>
          <w:b/>
        </w:rPr>
      </w:pPr>
      <w:r w:rsidRPr="00F6308D">
        <w:rPr>
          <w:rFonts w:cs="Arial"/>
          <w:b/>
        </w:rPr>
        <w:t xml:space="preserve">Depósitos en Garantía. - </w:t>
      </w:r>
      <w:r w:rsidRPr="00F6308D">
        <w:rPr>
          <w:rFonts w:cs="Arial"/>
        </w:rPr>
        <w:t>Su saldo representa principalmente los depósitos que se han otorgado a la Compañía de Luz (CFE), para otorgar el servicio de energía eléctrica.</w:t>
      </w:r>
    </w:p>
    <w:p w:rsidR="00843E0A" w:rsidRPr="007E2E82" w:rsidRDefault="00843E0A" w:rsidP="00843E0A">
      <w:pPr>
        <w:spacing w:line="276" w:lineRule="auto"/>
        <w:ind w:right="-1"/>
        <w:jc w:val="both"/>
        <w:outlineLvl w:val="0"/>
        <w:rPr>
          <w:rFonts w:cs="Arial"/>
          <w:b/>
        </w:rPr>
      </w:pPr>
    </w:p>
    <w:p w:rsidR="00843E0A" w:rsidRPr="007E2E82" w:rsidRDefault="00843E0A" w:rsidP="00843E0A">
      <w:pPr>
        <w:spacing w:line="276" w:lineRule="auto"/>
        <w:ind w:right="-1"/>
        <w:jc w:val="both"/>
        <w:outlineLvl w:val="0"/>
        <w:rPr>
          <w:rFonts w:cs="Arial"/>
          <w:b/>
        </w:rPr>
      </w:pPr>
      <w:r w:rsidRPr="007E2E82">
        <w:rPr>
          <w:rFonts w:cs="Arial"/>
          <w:b/>
        </w:rPr>
        <w:t>Pasivo Circulante</w:t>
      </w:r>
    </w:p>
    <w:p w:rsidR="00843E0A" w:rsidRDefault="00843E0A" w:rsidP="00843E0A">
      <w:pPr>
        <w:spacing w:line="276" w:lineRule="auto"/>
        <w:ind w:right="-1"/>
        <w:jc w:val="both"/>
        <w:outlineLvl w:val="0"/>
        <w:rPr>
          <w:rFonts w:cs="Arial"/>
        </w:rPr>
      </w:pPr>
      <w:r w:rsidRPr="007E2E82">
        <w:rPr>
          <w:rFonts w:cs="Arial"/>
          <w:b/>
        </w:rPr>
        <w:t xml:space="preserve">Cuentas por Pagar a Corto Plazo: </w:t>
      </w:r>
      <w:r w:rsidRPr="007E2E82">
        <w:rPr>
          <w:rFonts w:cs="Arial"/>
        </w:rPr>
        <w:t xml:space="preserve">El saldo de este rubro </w:t>
      </w:r>
      <w:r w:rsidRPr="00AB4D91">
        <w:rPr>
          <w:rFonts w:cs="Arial"/>
          <w:color w:val="000000" w:themeColor="text1"/>
        </w:rPr>
        <w:t xml:space="preserve">por </w:t>
      </w:r>
      <w:r w:rsidRPr="00F6308D">
        <w:rPr>
          <w:rFonts w:cs="Arial"/>
          <w:color w:val="000000" w:themeColor="text1"/>
        </w:rPr>
        <w:t>8,210,597.94</w:t>
      </w:r>
      <w:r w:rsidRPr="00AB4D91">
        <w:rPr>
          <w:rFonts w:cs="Arial"/>
          <w:color w:val="000000" w:themeColor="text1"/>
        </w:rPr>
        <w:t xml:space="preserve">, </w:t>
      </w:r>
      <w:r w:rsidRPr="007E2E82">
        <w:rPr>
          <w:rFonts w:cs="Arial"/>
        </w:rPr>
        <w:t>se integra de la forma y con la antigüedad de saldos siguientes:</w:t>
      </w:r>
    </w:p>
    <w:p w:rsidR="00843E0A" w:rsidRPr="007E2E82" w:rsidRDefault="00843E0A" w:rsidP="00843E0A">
      <w:pPr>
        <w:spacing w:line="276" w:lineRule="auto"/>
        <w:ind w:right="-1"/>
        <w:jc w:val="center"/>
        <w:outlineLvl w:val="0"/>
        <w:rPr>
          <w:rFonts w:cs="Arial"/>
          <w:highlight w:val="yellow"/>
        </w:rPr>
      </w:pPr>
      <w:r w:rsidRPr="006C3420">
        <w:rPr>
          <w:noProof/>
          <w:lang w:eastAsia="es-MX"/>
        </w:rPr>
        <w:drawing>
          <wp:inline distT="0" distB="0" distL="0" distR="0" wp14:anchorId="2CE2A765" wp14:editId="0E3C9148">
            <wp:extent cx="4886325" cy="5429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542925"/>
                    </a:xfrm>
                    <a:prstGeom prst="rect">
                      <a:avLst/>
                    </a:prstGeom>
                    <a:noFill/>
                    <a:ln>
                      <a:noFill/>
                    </a:ln>
                  </pic:spPr>
                </pic:pic>
              </a:graphicData>
            </a:graphic>
          </wp:inline>
        </w:drawing>
      </w:r>
    </w:p>
    <w:p w:rsidR="00843E0A" w:rsidRPr="007E2E82" w:rsidRDefault="00843E0A" w:rsidP="00843E0A">
      <w:pPr>
        <w:spacing w:after="0" w:line="240" w:lineRule="auto"/>
        <w:rPr>
          <w:rFonts w:cs="Arial"/>
        </w:rPr>
      </w:pPr>
    </w:p>
    <w:p w:rsidR="00843E0A" w:rsidRPr="007E2E82" w:rsidRDefault="00843E0A" w:rsidP="00843E0A">
      <w:pPr>
        <w:spacing w:line="276" w:lineRule="auto"/>
        <w:ind w:left="708" w:right="-1" w:hanging="708"/>
        <w:jc w:val="both"/>
        <w:outlineLvl w:val="0"/>
        <w:rPr>
          <w:rFonts w:cs="Arial"/>
        </w:rPr>
      </w:pPr>
      <w:r w:rsidRPr="007E2E82">
        <w:rPr>
          <w:rFonts w:eastAsia="Times New Roman" w:cs="Arial"/>
          <w:b/>
          <w:lang w:eastAsia="es-MX"/>
        </w:rPr>
        <w:t>Proveedores por Pagar a Corto Plazo. -</w:t>
      </w:r>
      <w:r w:rsidRPr="007E2E82">
        <w:rPr>
          <w:rFonts w:eastAsia="Times New Roman" w:cs="Arial"/>
          <w:lang w:eastAsia="es-MX"/>
        </w:rPr>
        <w:t xml:space="preserve"> </w:t>
      </w:r>
      <w:r w:rsidRPr="007E2E82">
        <w:rPr>
          <w:rFonts w:cs="Arial"/>
        </w:rPr>
        <w:t xml:space="preserve">El saldo </w:t>
      </w:r>
      <w:r w:rsidRPr="00AB4D91">
        <w:rPr>
          <w:rFonts w:cs="Arial"/>
          <w:color w:val="000000" w:themeColor="text1"/>
        </w:rPr>
        <w:t xml:space="preserve">de </w:t>
      </w:r>
      <w:r w:rsidRPr="00672170">
        <w:rPr>
          <w:rFonts w:cs="Arial"/>
          <w:color w:val="000000" w:themeColor="text1"/>
        </w:rPr>
        <w:t>1,760,131.25</w:t>
      </w:r>
      <w:r w:rsidRPr="00AB4D91">
        <w:rPr>
          <w:rFonts w:cs="Arial"/>
          <w:color w:val="000000" w:themeColor="text1"/>
        </w:rPr>
        <w:t xml:space="preserve">, </w:t>
      </w:r>
      <w:r w:rsidRPr="007E2E82">
        <w:rPr>
          <w:rFonts w:cs="Arial"/>
        </w:rPr>
        <w:t>representa el importe de las obligaciones de pago, p</w:t>
      </w:r>
      <w:r>
        <w:rPr>
          <w:rFonts w:cs="Arial"/>
        </w:rPr>
        <w:t xml:space="preserve">rincipalmente en los rubros de: </w:t>
      </w:r>
      <w:r w:rsidRPr="007B5B7F">
        <w:rPr>
          <w:rFonts w:cs="Arial"/>
        </w:rPr>
        <w:t xml:space="preserve">Materiales y Suministros </w:t>
      </w:r>
      <w:r>
        <w:rPr>
          <w:rFonts w:cs="Arial"/>
        </w:rPr>
        <w:t>(</w:t>
      </w:r>
      <w:r w:rsidRPr="007B5B7F">
        <w:rPr>
          <w:rFonts w:cs="Arial"/>
        </w:rPr>
        <w:t>Grupo Empresarial Raa S.A de C.V</w:t>
      </w:r>
      <w:r>
        <w:rPr>
          <w:rFonts w:cs="Arial"/>
        </w:rPr>
        <w:t xml:space="preserve">.), </w:t>
      </w:r>
      <w:r w:rsidRPr="007B5B7F">
        <w:rPr>
          <w:rFonts w:cs="Arial"/>
        </w:rPr>
        <w:t>Servicios Administrativos</w:t>
      </w:r>
      <w:r w:rsidRPr="007E2E82">
        <w:rPr>
          <w:rFonts w:cs="Arial"/>
        </w:rPr>
        <w:t xml:space="preserve"> (</w:t>
      </w:r>
      <w:r w:rsidRPr="007B5B7F">
        <w:rPr>
          <w:rFonts w:cs="Arial"/>
        </w:rPr>
        <w:t>Alestra S. de R.L. de C.V</w:t>
      </w:r>
      <w:r w:rsidRPr="007E2E82">
        <w:rPr>
          <w:rFonts w:cs="Arial"/>
        </w:rPr>
        <w:t xml:space="preserve">.) y </w:t>
      </w:r>
      <w:r w:rsidRPr="007B5B7F">
        <w:rPr>
          <w:rFonts w:cs="Arial"/>
        </w:rPr>
        <w:t xml:space="preserve">Servicios de Asesoría y Consultoría </w:t>
      </w:r>
      <w:r>
        <w:rPr>
          <w:rFonts w:cs="Arial"/>
        </w:rPr>
        <w:t>(</w:t>
      </w:r>
      <w:r w:rsidRPr="007B5B7F">
        <w:rPr>
          <w:rFonts w:cs="Arial"/>
        </w:rPr>
        <w:t>KPMG Cárdenas Dosal S.C.</w:t>
      </w:r>
      <w:r>
        <w:rPr>
          <w:rFonts w:cs="Arial"/>
        </w:rPr>
        <w:t>)</w:t>
      </w:r>
      <w:r w:rsidRPr="007E2E82">
        <w:rPr>
          <w:rFonts w:cs="Arial"/>
        </w:rPr>
        <w:t xml:space="preserve">. </w:t>
      </w:r>
    </w:p>
    <w:p w:rsidR="00843E0A" w:rsidRPr="007E2E82" w:rsidRDefault="00843E0A" w:rsidP="00843E0A">
      <w:pPr>
        <w:spacing w:after="0" w:line="240" w:lineRule="auto"/>
        <w:ind w:left="360"/>
        <w:contextualSpacing/>
        <w:jc w:val="both"/>
        <w:rPr>
          <w:rFonts w:eastAsia="Times New Roman" w:cs="Times New Roman"/>
          <w:color w:val="000000"/>
          <w:lang w:eastAsia="es-MX"/>
        </w:rPr>
      </w:pPr>
    </w:p>
    <w:p w:rsidR="00843E0A" w:rsidRPr="007E2E82" w:rsidRDefault="00843E0A" w:rsidP="00843E0A">
      <w:pPr>
        <w:numPr>
          <w:ilvl w:val="0"/>
          <w:numId w:val="1"/>
        </w:numPr>
        <w:spacing w:after="0" w:line="240" w:lineRule="auto"/>
        <w:contextualSpacing/>
        <w:jc w:val="both"/>
        <w:rPr>
          <w:rFonts w:eastAsia="Times New Roman" w:cs="Times New Roman"/>
          <w:color w:val="000000"/>
          <w:lang w:eastAsia="es-MX"/>
        </w:rPr>
      </w:pPr>
      <w:r w:rsidRPr="007E2E82">
        <w:rPr>
          <w:rFonts w:eastAsia="Times New Roman" w:cs="Times New Roman"/>
          <w:b/>
          <w:color w:val="000000"/>
          <w:lang w:eastAsia="es-MX"/>
        </w:rPr>
        <w:t xml:space="preserve">Contratistas por Obras Públicas por Pagar a Corto Plazo. </w:t>
      </w:r>
      <w:r>
        <w:rPr>
          <w:rFonts w:eastAsia="Times New Roman" w:cs="Times New Roman"/>
          <w:b/>
          <w:color w:val="000000"/>
          <w:lang w:eastAsia="es-MX"/>
        </w:rPr>
        <w:t>–</w:t>
      </w:r>
      <w:r w:rsidRPr="007E2E82">
        <w:rPr>
          <w:rFonts w:eastAsia="Times New Roman" w:cs="Times New Roman"/>
          <w:b/>
          <w:color w:val="000000"/>
          <w:lang w:eastAsia="es-MX"/>
        </w:rPr>
        <w:t xml:space="preserve"> </w:t>
      </w:r>
      <w:r>
        <w:rPr>
          <w:rFonts w:eastAsia="Times New Roman" w:cs="Times New Roman"/>
          <w:color w:val="000000"/>
          <w:lang w:eastAsia="es-MX"/>
        </w:rPr>
        <w:t>Quedo sin saldo al ser finiquitada en este mes</w:t>
      </w:r>
      <w:r w:rsidRPr="007E2E82">
        <w:rPr>
          <w:rFonts w:eastAsia="Times New Roman" w:cs="Times New Roman"/>
          <w:color w:val="000000"/>
          <w:lang w:eastAsia="es-MX"/>
        </w:rPr>
        <w:t xml:space="preserve"> la obra en proceso de la “Construcción y Equipamiento de la Segunda Etapa del Archivo G</w:t>
      </w:r>
      <w:r>
        <w:rPr>
          <w:rFonts w:eastAsia="Times New Roman" w:cs="Times New Roman"/>
          <w:color w:val="000000"/>
          <w:lang w:eastAsia="es-MX"/>
        </w:rPr>
        <w:t>eneral de Notaría (Obra Nueva)”.</w:t>
      </w:r>
    </w:p>
    <w:p w:rsidR="00843E0A" w:rsidRPr="007E2E82" w:rsidRDefault="00843E0A" w:rsidP="00843E0A">
      <w:pPr>
        <w:spacing w:after="0" w:line="240" w:lineRule="auto"/>
        <w:contextualSpacing/>
        <w:jc w:val="both"/>
        <w:rPr>
          <w:rFonts w:eastAsia="Times New Roman" w:cs="Times New Roman"/>
          <w:color w:val="000000"/>
          <w:lang w:eastAsia="es-MX"/>
        </w:rPr>
      </w:pPr>
    </w:p>
    <w:p w:rsidR="00843E0A" w:rsidRPr="007E2E82" w:rsidRDefault="00843E0A" w:rsidP="00843E0A">
      <w:pPr>
        <w:numPr>
          <w:ilvl w:val="0"/>
          <w:numId w:val="1"/>
        </w:numPr>
        <w:spacing w:after="0" w:line="276" w:lineRule="auto"/>
        <w:ind w:right="-1"/>
        <w:contextualSpacing/>
        <w:jc w:val="both"/>
        <w:rPr>
          <w:rFonts w:eastAsia="Times New Roman" w:cs="Arial"/>
          <w:lang w:eastAsia="es-MX"/>
        </w:rPr>
      </w:pPr>
      <w:r w:rsidRPr="007E2E82">
        <w:rPr>
          <w:rFonts w:eastAsia="Times New Roman" w:cs="Arial"/>
          <w:b/>
          <w:lang w:eastAsia="es-MX"/>
        </w:rPr>
        <w:t>Retenciones y Contribuciones por Pagar a Corto Plazo. -</w:t>
      </w:r>
      <w:r w:rsidRPr="007E2E82">
        <w:rPr>
          <w:rFonts w:eastAsia="Times New Roman" w:cs="Arial"/>
          <w:lang w:eastAsia="es-MX"/>
        </w:rPr>
        <w:t xml:space="preserve"> El saldo </w:t>
      </w:r>
      <w:r w:rsidRPr="00AB4D91">
        <w:rPr>
          <w:rFonts w:eastAsia="Times New Roman" w:cs="Arial"/>
          <w:color w:val="000000" w:themeColor="text1"/>
          <w:lang w:eastAsia="es-MX"/>
        </w:rPr>
        <w:t xml:space="preserve">de </w:t>
      </w:r>
      <w:r w:rsidRPr="00F32415">
        <w:rPr>
          <w:rFonts w:eastAsia="Times New Roman" w:cs="Arial"/>
          <w:color w:val="000000" w:themeColor="text1"/>
          <w:lang w:eastAsia="es-MX"/>
        </w:rPr>
        <w:t>2,192,326.47</w:t>
      </w:r>
      <w:r w:rsidRPr="00AB4D91">
        <w:rPr>
          <w:rFonts w:eastAsia="Times New Roman" w:cs="Arial"/>
          <w:color w:val="000000" w:themeColor="text1"/>
          <w:lang w:eastAsia="es-MX"/>
        </w:rPr>
        <w:t xml:space="preserve">, representa </w:t>
      </w:r>
      <w:r w:rsidRPr="007E2E82">
        <w:rPr>
          <w:rFonts w:eastAsia="Times New Roman" w:cs="Arial"/>
          <w:lang w:eastAsia="es-MX"/>
        </w:rPr>
        <w:t>el importe de las retenciones pendientes de pago principalmente por las retenciones de las obras en proceso.</w:t>
      </w:r>
    </w:p>
    <w:p w:rsidR="00843E0A" w:rsidRPr="007E2E82" w:rsidRDefault="00843E0A" w:rsidP="00843E0A">
      <w:pPr>
        <w:spacing w:after="0" w:line="240" w:lineRule="auto"/>
        <w:contextualSpacing/>
        <w:jc w:val="both"/>
        <w:rPr>
          <w:rFonts w:eastAsia="Times New Roman" w:cs="Arial"/>
          <w:sz w:val="24"/>
          <w:szCs w:val="24"/>
          <w:lang w:eastAsia="es-MX"/>
        </w:rPr>
      </w:pPr>
    </w:p>
    <w:p w:rsidR="00843E0A" w:rsidRPr="007E2E82" w:rsidRDefault="00843E0A" w:rsidP="00843E0A">
      <w:pPr>
        <w:numPr>
          <w:ilvl w:val="0"/>
          <w:numId w:val="1"/>
        </w:numPr>
        <w:spacing w:after="0" w:line="276" w:lineRule="auto"/>
        <w:ind w:right="-1"/>
        <w:jc w:val="both"/>
        <w:rPr>
          <w:rFonts w:cs="Arial"/>
        </w:rPr>
      </w:pPr>
      <w:r w:rsidRPr="007E2E82">
        <w:rPr>
          <w:rFonts w:cs="Arial"/>
          <w:b/>
        </w:rPr>
        <w:t>Otras Cuentas por Pagar a Corto Plazo. -</w:t>
      </w:r>
      <w:r w:rsidRPr="007E2E82">
        <w:rPr>
          <w:rFonts w:cs="Arial"/>
        </w:rPr>
        <w:t xml:space="preserve"> El saldo de </w:t>
      </w:r>
      <w:r w:rsidRPr="00F32415">
        <w:rPr>
          <w:rFonts w:cs="Arial"/>
          <w:color w:val="000000" w:themeColor="text1"/>
        </w:rPr>
        <w:t>4,258,140.22</w:t>
      </w:r>
      <w:r w:rsidRPr="007B5B7F">
        <w:rPr>
          <w:rFonts w:cs="Arial"/>
          <w:color w:val="002060"/>
        </w:rPr>
        <w:t xml:space="preserve">, </w:t>
      </w:r>
      <w:r w:rsidRPr="007E2E82">
        <w:rPr>
          <w:rFonts w:cs="Arial"/>
        </w:rPr>
        <w:t>en este mes representa principalmente finiquitos al personal y retenciones de pago</w:t>
      </w:r>
      <w:r w:rsidRPr="00320C0E">
        <w:rPr>
          <w:rFonts w:cs="Arial"/>
          <w:color w:val="000000" w:themeColor="text1"/>
        </w:rPr>
        <w:t>.</w:t>
      </w:r>
    </w:p>
    <w:p w:rsidR="00843E0A" w:rsidRPr="007E2E82" w:rsidRDefault="00843E0A" w:rsidP="00843E0A">
      <w:pPr>
        <w:spacing w:after="0" w:line="276" w:lineRule="auto"/>
        <w:ind w:right="-1"/>
        <w:jc w:val="both"/>
        <w:rPr>
          <w:rFonts w:cs="Arial"/>
          <w:b/>
        </w:rPr>
      </w:pPr>
    </w:p>
    <w:p w:rsidR="00843E0A" w:rsidRPr="007E2E82" w:rsidRDefault="00843E0A" w:rsidP="00843E0A">
      <w:pPr>
        <w:spacing w:line="276" w:lineRule="auto"/>
        <w:ind w:right="-1"/>
        <w:jc w:val="both"/>
        <w:outlineLvl w:val="0"/>
        <w:rPr>
          <w:rFonts w:cs="Arial"/>
          <w:b/>
        </w:rPr>
      </w:pPr>
      <w:r w:rsidRPr="007E2E82">
        <w:rPr>
          <w:rFonts w:cs="Arial"/>
          <w:b/>
        </w:rPr>
        <w:t>Pasivo No Circulante</w:t>
      </w:r>
    </w:p>
    <w:p w:rsidR="00843E0A" w:rsidRPr="007E2E82" w:rsidRDefault="00843E0A" w:rsidP="00843E0A">
      <w:pPr>
        <w:numPr>
          <w:ilvl w:val="0"/>
          <w:numId w:val="1"/>
        </w:numPr>
        <w:spacing w:after="0" w:line="276" w:lineRule="auto"/>
        <w:ind w:right="-1"/>
        <w:contextualSpacing/>
        <w:jc w:val="both"/>
        <w:outlineLvl w:val="0"/>
        <w:rPr>
          <w:rFonts w:eastAsia="Times New Roman" w:cs="Arial"/>
          <w:lang w:eastAsia="es-MX"/>
        </w:rPr>
      </w:pPr>
      <w:r w:rsidRPr="007E2E82">
        <w:rPr>
          <w:rFonts w:eastAsia="Times New Roman" w:cs="Arial"/>
          <w:b/>
          <w:lang w:eastAsia="es-MX"/>
        </w:rPr>
        <w:t>Documentos por Pagar a Largo Plazo</w:t>
      </w:r>
      <w:r w:rsidRPr="007E2E82">
        <w:rPr>
          <w:rFonts w:eastAsia="Times New Roman" w:cs="Arial"/>
          <w:lang w:eastAsia="es-MX"/>
        </w:rPr>
        <w:t>. - Se integra por:</w:t>
      </w:r>
    </w:p>
    <w:p w:rsidR="00843E0A" w:rsidRPr="007E2E82" w:rsidRDefault="00843E0A" w:rsidP="00843E0A">
      <w:pPr>
        <w:spacing w:after="0" w:line="276" w:lineRule="auto"/>
        <w:ind w:left="360" w:right="-1"/>
        <w:contextualSpacing/>
        <w:jc w:val="both"/>
        <w:outlineLvl w:val="0"/>
        <w:rPr>
          <w:rFonts w:eastAsia="Times New Roman" w:cs="Arial"/>
          <w:sz w:val="24"/>
          <w:szCs w:val="24"/>
          <w:lang w:eastAsia="es-MX"/>
        </w:rPr>
      </w:pPr>
    </w:p>
    <w:p w:rsidR="00843E0A" w:rsidRDefault="00843E0A" w:rsidP="00843E0A">
      <w:pPr>
        <w:spacing w:after="0" w:line="276" w:lineRule="auto"/>
        <w:ind w:right="-1"/>
        <w:jc w:val="both"/>
        <w:rPr>
          <w:rFonts w:cs="Arial"/>
        </w:rPr>
      </w:pPr>
      <w:r w:rsidRPr="007E2E82">
        <w:rPr>
          <w:rFonts w:cs="Arial"/>
          <w:b/>
        </w:rPr>
        <w:t xml:space="preserve">Documentos Comerciales por Pagar a Largo Plazo.- </w:t>
      </w:r>
      <w:r w:rsidRPr="007E2E82">
        <w:rPr>
          <w:rFonts w:cs="Arial"/>
        </w:rPr>
        <w:t xml:space="preserve">El saldo de </w:t>
      </w:r>
      <w:r w:rsidRPr="00AB4D91">
        <w:rPr>
          <w:rFonts w:cs="Arial"/>
          <w:color w:val="000000" w:themeColor="text1"/>
        </w:rPr>
        <w:t xml:space="preserve">5,400,136,268.56, </w:t>
      </w:r>
      <w:r w:rsidRPr="007E2E82">
        <w:rPr>
          <w:rFonts w:cs="Arial"/>
        </w:rPr>
        <w:t>corresponde al pasivo por el Fideicomiso de Cobranza con el contrato irrevocable número 80615, de fecha 29 de julio en el ejercicio 2010 y el contrato de Fideicomiso Irrevocable No. F/1426, de fecha 10 de marzo de 2011, en los que se comprometen los ingresos presentes y futuros por concepto de Registro Público de la Propiedad (RPP) del Instituto, de acuerdo al Decreto de Autorización No. 79 publicado en la Gaceta del Gobierno de fecha 12 de mayo del 2010.</w:t>
      </w:r>
    </w:p>
    <w:p w:rsidR="00843E0A" w:rsidRPr="007E2E82" w:rsidRDefault="00843E0A" w:rsidP="00843E0A">
      <w:pPr>
        <w:spacing w:after="0" w:line="276" w:lineRule="auto"/>
        <w:ind w:right="-1"/>
        <w:jc w:val="both"/>
        <w:rPr>
          <w:rFonts w:cs="Arial"/>
        </w:rPr>
      </w:pPr>
    </w:p>
    <w:p w:rsidR="0057742E" w:rsidRPr="00311CDE" w:rsidRDefault="0057742E" w:rsidP="0057742E">
      <w:pPr>
        <w:numPr>
          <w:ilvl w:val="0"/>
          <w:numId w:val="6"/>
        </w:numPr>
        <w:spacing w:before="240" w:after="240" w:line="276" w:lineRule="auto"/>
        <w:ind w:right="-1"/>
        <w:contextualSpacing/>
        <w:outlineLvl w:val="0"/>
        <w:rPr>
          <w:rFonts w:eastAsia="Times New Roman" w:cs="Arial"/>
          <w:b/>
          <w:lang w:eastAsia="es-MX"/>
        </w:rPr>
      </w:pPr>
      <w:r w:rsidRPr="00311CDE">
        <w:rPr>
          <w:rFonts w:eastAsia="Times New Roman" w:cs="Arial"/>
          <w:b/>
          <w:lang w:eastAsia="es-MX"/>
        </w:rPr>
        <w:t>NOTAS AL ESTADO DE ACTIVIDADES</w:t>
      </w:r>
    </w:p>
    <w:p w:rsidR="0057742E" w:rsidRPr="0096540A" w:rsidRDefault="0057742E" w:rsidP="0057742E">
      <w:pPr>
        <w:spacing w:before="240" w:after="240" w:line="276" w:lineRule="auto"/>
        <w:ind w:left="1068" w:right="-1"/>
        <w:contextualSpacing/>
        <w:outlineLvl w:val="0"/>
        <w:rPr>
          <w:rFonts w:eastAsia="Times New Roman" w:cs="Arial"/>
          <w:b/>
          <w:sz w:val="16"/>
          <w:lang w:eastAsia="es-MX"/>
        </w:rPr>
      </w:pPr>
    </w:p>
    <w:p w:rsidR="0057742E" w:rsidRPr="00DA5FD6" w:rsidRDefault="0057742E" w:rsidP="0057742E">
      <w:pPr>
        <w:spacing w:line="276" w:lineRule="auto"/>
        <w:ind w:right="-1"/>
        <w:jc w:val="both"/>
        <w:outlineLvl w:val="0"/>
        <w:rPr>
          <w:rFonts w:cs="Arial"/>
          <w:b/>
        </w:rPr>
      </w:pPr>
      <w:r w:rsidRPr="00DA5FD6">
        <w:rPr>
          <w:rFonts w:cs="Arial"/>
          <w:b/>
        </w:rPr>
        <w:t>Ingresos de la Gestión:</w:t>
      </w:r>
    </w:p>
    <w:p w:rsidR="0057742E" w:rsidRPr="007267ED" w:rsidRDefault="0057742E" w:rsidP="0057742E">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 xml:space="preserve">Derechos. - </w:t>
      </w:r>
      <w:r w:rsidRPr="00DA5FD6">
        <w:rPr>
          <w:rFonts w:eastAsia="Times New Roman" w:cs="Arial"/>
          <w:lang w:eastAsia="es-MX"/>
        </w:rPr>
        <w:t>Los Ingresos de Gestión por los Derechos de los servicios prestados por el Instituto, en el mes fueron por la cantidad de</w:t>
      </w:r>
      <w:r>
        <w:rPr>
          <w:rFonts w:eastAsia="Times New Roman" w:cs="Arial"/>
          <w:lang w:eastAsia="es-MX"/>
        </w:rPr>
        <w:t xml:space="preserve"> 114, 994,845.00</w:t>
      </w:r>
      <w:r w:rsidRPr="00DA5FD6">
        <w:rPr>
          <w:rFonts w:eastAsia="Times New Roman" w:cs="Arial"/>
          <w:lang w:eastAsia="es-MX"/>
        </w:rPr>
        <w:t xml:space="preserve"> obteniendo una recaudación en los recursos del Registro Público de la Propiedad (RPP) por </w:t>
      </w:r>
      <w:r>
        <w:rPr>
          <w:rFonts w:eastAsia="Times New Roman" w:cs="Arial"/>
          <w:lang w:eastAsia="es-MX"/>
        </w:rPr>
        <w:t>112, 297, 851.00</w:t>
      </w:r>
      <w:r w:rsidRPr="00DA5FD6">
        <w:rPr>
          <w:rFonts w:eastAsia="Times New Roman" w:cs="Arial"/>
          <w:lang w:eastAsia="es-MX"/>
        </w:rPr>
        <w:t xml:space="preserve"> y los recursos del Registro Público del Comercio (RPC) por </w:t>
      </w:r>
      <w:r>
        <w:rPr>
          <w:rFonts w:eastAsia="Times New Roman" w:cs="Arial"/>
          <w:lang w:eastAsia="es-MX"/>
        </w:rPr>
        <w:t>2,</w:t>
      </w:r>
      <w:r w:rsidRPr="00DA5FD6">
        <w:rPr>
          <w:rFonts w:eastAsia="Times New Roman" w:cs="Arial"/>
          <w:lang w:eastAsia="es-MX"/>
        </w:rPr>
        <w:t xml:space="preserve"> </w:t>
      </w:r>
      <w:r>
        <w:rPr>
          <w:rFonts w:eastAsia="Times New Roman" w:cs="Arial"/>
          <w:lang w:eastAsia="es-MX"/>
        </w:rPr>
        <w:t>696, 994</w:t>
      </w:r>
      <w:r w:rsidRPr="00DA5FD6">
        <w:rPr>
          <w:rFonts w:eastAsia="Times New Roman" w:cs="Arial"/>
          <w:lang w:eastAsia="es-MX"/>
        </w:rPr>
        <w:t xml:space="preserve">. Al mes se lleva un total acumulado por </w:t>
      </w:r>
      <w:r>
        <w:rPr>
          <w:rFonts w:eastAsia="Times New Roman" w:cs="Arial"/>
          <w:lang w:eastAsia="es-MX"/>
        </w:rPr>
        <w:t>685,</w:t>
      </w:r>
      <w:r w:rsidRPr="00DA5FD6">
        <w:rPr>
          <w:rFonts w:eastAsia="Times New Roman" w:cs="Arial"/>
          <w:lang w:eastAsia="es-MX"/>
        </w:rPr>
        <w:t xml:space="preserve"> </w:t>
      </w:r>
      <w:r>
        <w:rPr>
          <w:rFonts w:eastAsia="Times New Roman" w:cs="Arial"/>
          <w:lang w:eastAsia="es-MX"/>
        </w:rPr>
        <w:t>788, 251</w:t>
      </w:r>
      <w:r w:rsidRPr="007267ED">
        <w:rPr>
          <w:rFonts w:eastAsia="Times New Roman" w:cs="Arial"/>
          <w:lang w:eastAsia="es-MX"/>
        </w:rPr>
        <w:t>.</w:t>
      </w:r>
    </w:p>
    <w:p w:rsidR="0057742E" w:rsidRPr="0096540A" w:rsidRDefault="0057742E" w:rsidP="0057742E">
      <w:pPr>
        <w:spacing w:after="0" w:line="276" w:lineRule="auto"/>
        <w:ind w:right="-1"/>
        <w:jc w:val="both"/>
        <w:rPr>
          <w:rFonts w:cs="Arial"/>
          <w:sz w:val="16"/>
        </w:rPr>
      </w:pPr>
    </w:p>
    <w:p w:rsidR="0057742E" w:rsidRPr="00DA5FD6" w:rsidRDefault="0057742E" w:rsidP="0057742E">
      <w:pPr>
        <w:numPr>
          <w:ilvl w:val="0"/>
          <w:numId w:val="18"/>
        </w:numPr>
        <w:spacing w:after="0" w:line="276" w:lineRule="auto"/>
        <w:ind w:right="-1"/>
        <w:contextualSpacing/>
        <w:jc w:val="both"/>
        <w:rPr>
          <w:rFonts w:eastAsia="Times New Roman" w:cs="Arial"/>
          <w:sz w:val="24"/>
          <w:szCs w:val="24"/>
          <w:lang w:eastAsia="es-MX"/>
        </w:rPr>
      </w:pPr>
      <w:r w:rsidRPr="004A1CA2">
        <w:rPr>
          <w:rFonts w:eastAsia="Times New Roman" w:cs="Arial"/>
          <w:b/>
          <w:lang w:eastAsia="es-MX"/>
        </w:rPr>
        <w:t>Participaciones, Aportaciones, Convenios, Incentivos Derivados de la Colaboración Fiscal, Fondos Distintos de Aportaciones, Transferencias, Asignaciones, Subsidios y Subvencione</w:t>
      </w:r>
      <w:r>
        <w:rPr>
          <w:rFonts w:eastAsia="Times New Roman" w:cs="Arial"/>
          <w:b/>
          <w:lang w:eastAsia="es-MX"/>
        </w:rPr>
        <w:t>s, y Pensiones y Jubilaciones</w:t>
      </w:r>
      <w:r w:rsidRPr="00DA5FD6">
        <w:rPr>
          <w:rFonts w:eastAsia="Times New Roman" w:cs="Arial"/>
          <w:lang w:eastAsia="es-MX"/>
        </w:rPr>
        <w:t>. - E</w:t>
      </w:r>
      <w:r>
        <w:rPr>
          <w:rFonts w:eastAsia="Times New Roman" w:cs="Arial"/>
          <w:lang w:eastAsia="es-MX"/>
        </w:rPr>
        <w:t>l saldo al mes es de 34,</w:t>
      </w:r>
      <w:r w:rsidRPr="00DA5FD6">
        <w:rPr>
          <w:rFonts w:eastAsia="Times New Roman" w:cs="Arial"/>
          <w:lang w:eastAsia="es-MX"/>
        </w:rPr>
        <w:t xml:space="preserve"> 568</w:t>
      </w:r>
      <w:r>
        <w:rPr>
          <w:rFonts w:eastAsia="Times New Roman" w:cs="Arial"/>
          <w:lang w:eastAsia="es-MX"/>
        </w:rPr>
        <w:t>, 177.69</w:t>
      </w:r>
      <w:r w:rsidRPr="00DA5FD6">
        <w:rPr>
          <w:rFonts w:eastAsia="Times New Roman" w:cs="Arial"/>
          <w:lang w:eastAsia="es-MX"/>
        </w:rPr>
        <w:t>, se encuentran en el comprometido y se van devengado junto con el recaudado mensualmente, corresponden al Programa Regularización de la Tenencia de la Tierra del PAD</w:t>
      </w:r>
      <w:r w:rsidRPr="00DA5FD6">
        <w:rPr>
          <w:rFonts w:eastAsia="Times New Roman" w:cs="Arial"/>
          <w:sz w:val="24"/>
          <w:szCs w:val="24"/>
          <w:lang w:eastAsia="es-MX"/>
        </w:rPr>
        <w:t>.</w:t>
      </w:r>
    </w:p>
    <w:p w:rsidR="0057742E" w:rsidRPr="0096540A" w:rsidRDefault="0057742E" w:rsidP="0057742E">
      <w:pPr>
        <w:spacing w:after="0" w:line="276" w:lineRule="auto"/>
        <w:ind w:right="-1"/>
        <w:contextualSpacing/>
        <w:jc w:val="both"/>
        <w:rPr>
          <w:rFonts w:eastAsia="Times New Roman" w:cs="Arial"/>
          <w:sz w:val="14"/>
          <w:szCs w:val="24"/>
          <w:lang w:eastAsia="es-MX"/>
        </w:rPr>
      </w:pPr>
    </w:p>
    <w:p w:rsidR="0057742E" w:rsidRPr="00D16623" w:rsidRDefault="0057742E" w:rsidP="0057742E">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Otros Ingresos y Beneficios:</w:t>
      </w:r>
      <w:r w:rsidRPr="00DA5FD6">
        <w:rPr>
          <w:rFonts w:eastAsia="Times New Roman" w:cs="Arial"/>
          <w:lang w:eastAsia="es-MX"/>
        </w:rPr>
        <w:t xml:space="preserve"> En el mes se o</w:t>
      </w:r>
      <w:r>
        <w:rPr>
          <w:rFonts w:eastAsia="Times New Roman" w:cs="Arial"/>
          <w:lang w:eastAsia="es-MX"/>
        </w:rPr>
        <w:t xml:space="preserve">bserva un saldo de 1, 238, 467.32, al mes se tiene un acumulado </w:t>
      </w:r>
      <w:r w:rsidRPr="00410DDD">
        <w:rPr>
          <w:rFonts w:eastAsia="Times New Roman" w:cs="Arial"/>
          <w:lang w:eastAsia="es-MX"/>
        </w:rPr>
        <w:t xml:space="preserve">por </w:t>
      </w:r>
      <w:r>
        <w:rPr>
          <w:rFonts w:eastAsia="Times New Roman" w:cs="Arial"/>
          <w:lang w:eastAsia="es-MX"/>
        </w:rPr>
        <w:t>250</w:t>
      </w:r>
      <w:r w:rsidRPr="00410DDD">
        <w:rPr>
          <w:rFonts w:eastAsia="Times New Roman" w:cs="Arial"/>
          <w:lang w:eastAsia="es-MX"/>
        </w:rPr>
        <w:t>, 7</w:t>
      </w:r>
      <w:r>
        <w:rPr>
          <w:rFonts w:eastAsia="Times New Roman" w:cs="Arial"/>
          <w:lang w:eastAsia="es-MX"/>
        </w:rPr>
        <w:t>56</w:t>
      </w:r>
      <w:r w:rsidRPr="00410DDD">
        <w:rPr>
          <w:rFonts w:eastAsia="Times New Roman" w:cs="Arial"/>
          <w:lang w:eastAsia="es-MX"/>
        </w:rPr>
        <w:t xml:space="preserve">, </w:t>
      </w:r>
      <w:r>
        <w:rPr>
          <w:rFonts w:eastAsia="Times New Roman" w:cs="Arial"/>
          <w:lang w:eastAsia="es-MX"/>
        </w:rPr>
        <w:t>452</w:t>
      </w:r>
      <w:r w:rsidRPr="00410DDD">
        <w:rPr>
          <w:rFonts w:eastAsia="Times New Roman" w:cs="Arial"/>
          <w:lang w:eastAsia="es-MX"/>
        </w:rPr>
        <w:t>.</w:t>
      </w:r>
      <w:r>
        <w:rPr>
          <w:rFonts w:eastAsia="Times New Roman" w:cs="Arial"/>
          <w:lang w:eastAsia="es-MX"/>
        </w:rPr>
        <w:t xml:space="preserve">38 </w:t>
      </w:r>
      <w:r w:rsidRPr="00D16623">
        <w:rPr>
          <w:rFonts w:eastAsia="Times New Roman" w:cs="Arial"/>
          <w:lang w:eastAsia="es-MX"/>
        </w:rPr>
        <w:t>que corresponden a:</w:t>
      </w:r>
    </w:p>
    <w:p w:rsidR="0057742E" w:rsidRPr="0096540A" w:rsidRDefault="0057742E" w:rsidP="0057742E">
      <w:pPr>
        <w:spacing w:after="0" w:line="276" w:lineRule="auto"/>
        <w:ind w:right="-1"/>
        <w:jc w:val="both"/>
        <w:rPr>
          <w:rFonts w:cs="Arial"/>
          <w:sz w:val="16"/>
        </w:rPr>
      </w:pPr>
    </w:p>
    <w:p w:rsidR="0057742E" w:rsidRPr="00DA5FD6" w:rsidRDefault="0057742E" w:rsidP="0057742E">
      <w:pPr>
        <w:spacing w:line="276" w:lineRule="auto"/>
        <w:ind w:left="644" w:right="-1"/>
        <w:jc w:val="both"/>
        <w:outlineLvl w:val="0"/>
        <w:rPr>
          <w:rFonts w:cs="Arial"/>
        </w:rPr>
      </w:pPr>
      <w:r w:rsidRPr="00DA5FD6">
        <w:rPr>
          <w:rFonts w:cs="Arial"/>
          <w:b/>
        </w:rPr>
        <w:t>Ingresos Financieros</w:t>
      </w:r>
      <w:r w:rsidRPr="00DA5FD6">
        <w:rPr>
          <w:rFonts w:cs="Arial"/>
        </w:rPr>
        <w:t xml:space="preserve">. - Se observa en el mes un saldo </w:t>
      </w:r>
      <w:r w:rsidRPr="00D16623">
        <w:rPr>
          <w:rFonts w:cs="Arial"/>
        </w:rPr>
        <w:t>de 1</w:t>
      </w:r>
      <w:r>
        <w:rPr>
          <w:rFonts w:cs="Arial"/>
        </w:rPr>
        <w:t>,</w:t>
      </w:r>
      <w:r w:rsidRPr="00D16623">
        <w:rPr>
          <w:rFonts w:cs="Arial"/>
        </w:rPr>
        <w:t xml:space="preserve"> </w:t>
      </w:r>
      <w:r>
        <w:rPr>
          <w:rFonts w:cs="Arial"/>
        </w:rPr>
        <w:t>183,</w:t>
      </w:r>
      <w:r w:rsidRPr="00D16623">
        <w:rPr>
          <w:rFonts w:cs="Arial"/>
        </w:rPr>
        <w:t xml:space="preserve"> </w:t>
      </w:r>
      <w:r>
        <w:rPr>
          <w:rFonts w:cs="Arial"/>
        </w:rPr>
        <w:t>800.12</w:t>
      </w:r>
      <w:r w:rsidRPr="00DA5FD6">
        <w:rPr>
          <w:rFonts w:cs="Arial"/>
        </w:rPr>
        <w:t>, que corresponden</w:t>
      </w:r>
      <w:r w:rsidRPr="00DA5FD6">
        <w:t xml:space="preserve"> a </w:t>
      </w:r>
      <w:r w:rsidRPr="00DA5FD6">
        <w:rPr>
          <w:rFonts w:cs="Arial"/>
        </w:rPr>
        <w:t>los intereses de las cuentas bancarias productivas del Instituto. Al mes se tiene un acumulado</w:t>
      </w:r>
      <w:r>
        <w:rPr>
          <w:rFonts w:cs="Arial"/>
        </w:rPr>
        <w:t xml:space="preserve"> por 249, 898, 571.41</w:t>
      </w:r>
      <w:r w:rsidRPr="00DA5FD6">
        <w:rPr>
          <w:rFonts w:cs="Arial"/>
        </w:rPr>
        <w:t>, principalmente para el pago a la fiduciaria de los (Bonos) intereses.</w:t>
      </w:r>
    </w:p>
    <w:p w:rsidR="0057742E" w:rsidRPr="00DA5FD6" w:rsidRDefault="0057742E" w:rsidP="0057742E">
      <w:pPr>
        <w:spacing w:line="276" w:lineRule="auto"/>
        <w:ind w:left="644" w:right="-1"/>
        <w:jc w:val="both"/>
        <w:outlineLvl w:val="0"/>
        <w:rPr>
          <w:rFonts w:cs="Arial"/>
        </w:rPr>
      </w:pPr>
      <w:r w:rsidRPr="00D16623">
        <w:rPr>
          <w:rFonts w:cs="Arial"/>
          <w:b/>
        </w:rPr>
        <w:t>Otros Ingresos y Beneficios Varios</w:t>
      </w:r>
      <w:r w:rsidRPr="00D16623">
        <w:rPr>
          <w:rFonts w:cs="Arial"/>
        </w:rPr>
        <w:t xml:space="preserve">. - Se generaron en el mes, la cantidad de </w:t>
      </w:r>
      <w:r>
        <w:rPr>
          <w:rFonts w:cs="Arial"/>
        </w:rPr>
        <w:t>54,</w:t>
      </w:r>
      <w:r w:rsidRPr="00D16623">
        <w:rPr>
          <w:rFonts w:cs="Arial"/>
        </w:rPr>
        <w:t xml:space="preserve"> </w:t>
      </w:r>
      <w:r>
        <w:rPr>
          <w:rFonts w:cs="Arial"/>
        </w:rPr>
        <w:t>667</w:t>
      </w:r>
      <w:r w:rsidRPr="00D16623">
        <w:rPr>
          <w:rFonts w:cs="Arial"/>
        </w:rPr>
        <w:t>.</w:t>
      </w:r>
      <w:r>
        <w:rPr>
          <w:rFonts w:cs="Arial"/>
        </w:rPr>
        <w:t>20</w:t>
      </w:r>
      <w:r w:rsidRPr="00DA5FD6">
        <w:rPr>
          <w:rFonts w:cs="Arial"/>
        </w:rPr>
        <w:t xml:space="preserve"> Presenta un saldo acumulado </w:t>
      </w:r>
      <w:r>
        <w:rPr>
          <w:rFonts w:cs="Arial"/>
        </w:rPr>
        <w:t>por 857, 880.97,</w:t>
      </w:r>
      <w:r w:rsidRPr="00DA5FD6">
        <w:rPr>
          <w:rFonts w:cs="Arial"/>
        </w:rPr>
        <w:t xml:space="preserve"> principalmente por depósitos en efectivo no referenciados, llamadas telefónicas, así como rendimientos de la remesa de los ingresos por RPC, entre otros.</w:t>
      </w:r>
    </w:p>
    <w:p w:rsidR="0057742E" w:rsidRPr="00DA5FD6" w:rsidRDefault="0057742E" w:rsidP="0057742E">
      <w:pPr>
        <w:spacing w:line="276" w:lineRule="auto"/>
        <w:ind w:right="-1"/>
        <w:jc w:val="both"/>
        <w:outlineLvl w:val="0"/>
        <w:rPr>
          <w:rFonts w:cs="Arial"/>
          <w:b/>
        </w:rPr>
      </w:pPr>
      <w:r w:rsidRPr="00DA5FD6">
        <w:rPr>
          <w:rFonts w:cs="Arial"/>
          <w:b/>
        </w:rPr>
        <w:t>Gastos y Otras Pérdidas:</w:t>
      </w:r>
    </w:p>
    <w:p w:rsidR="0057742E" w:rsidRPr="00C82EDE" w:rsidRDefault="0057742E" w:rsidP="0057742E">
      <w:pPr>
        <w:numPr>
          <w:ilvl w:val="0"/>
          <w:numId w:val="19"/>
        </w:numPr>
        <w:spacing w:after="0" w:line="276" w:lineRule="auto"/>
        <w:ind w:right="-1"/>
        <w:jc w:val="both"/>
        <w:rPr>
          <w:rFonts w:cs="Arial"/>
          <w:b/>
        </w:rPr>
      </w:pPr>
      <w:r w:rsidRPr="00DA5FD6">
        <w:rPr>
          <w:rFonts w:cs="Arial"/>
          <w:b/>
        </w:rPr>
        <w:t>Gastos de Funcionamiento</w:t>
      </w:r>
      <w:r w:rsidRPr="00DA5FD6">
        <w:rPr>
          <w:rFonts w:cs="Arial"/>
        </w:rPr>
        <w:t xml:space="preserve">. - Para la operación del Instituto, se han erogado en este mes la cantidad de </w:t>
      </w:r>
      <w:r>
        <w:rPr>
          <w:rFonts w:cs="Arial"/>
        </w:rPr>
        <w:t>13,</w:t>
      </w:r>
      <w:r w:rsidRPr="00DA5FD6">
        <w:rPr>
          <w:rFonts w:cs="Arial"/>
        </w:rPr>
        <w:t xml:space="preserve"> </w:t>
      </w:r>
      <w:r>
        <w:rPr>
          <w:rFonts w:cs="Arial"/>
        </w:rPr>
        <w:t>412, 671.27</w:t>
      </w:r>
      <w:r w:rsidRPr="00DA5FD6">
        <w:rPr>
          <w:rFonts w:cs="Arial"/>
        </w:rPr>
        <w:t>, integrados por</w:t>
      </w:r>
      <w:r>
        <w:rPr>
          <w:rFonts w:cs="Arial"/>
        </w:rPr>
        <w:t>:</w:t>
      </w:r>
      <w:r w:rsidRPr="00DA5FD6">
        <w:rPr>
          <w:rFonts w:cs="Arial"/>
        </w:rPr>
        <w:t xml:space="preserve"> “Servicios Personales” (pagos de la nómina y sus colaterales) un importe de </w:t>
      </w:r>
      <w:r>
        <w:rPr>
          <w:rFonts w:cs="Arial"/>
        </w:rPr>
        <w:t>10,</w:t>
      </w:r>
      <w:r w:rsidRPr="00DA5FD6">
        <w:rPr>
          <w:rFonts w:cs="Arial"/>
        </w:rPr>
        <w:t xml:space="preserve"> </w:t>
      </w:r>
      <w:r>
        <w:rPr>
          <w:rFonts w:cs="Arial"/>
        </w:rPr>
        <w:t>416, 215.04</w:t>
      </w:r>
      <w:r w:rsidRPr="00DA5FD6">
        <w:rPr>
          <w:rFonts w:cs="Arial"/>
        </w:rPr>
        <w:t xml:space="preserve"> que representa el </w:t>
      </w:r>
      <w:r>
        <w:rPr>
          <w:rFonts w:cs="Arial"/>
        </w:rPr>
        <w:t>77.66</w:t>
      </w:r>
      <w:r w:rsidRPr="00DA5FD6">
        <w:rPr>
          <w:rFonts w:cs="Arial"/>
        </w:rPr>
        <w:t xml:space="preserve"> por ciento, </w:t>
      </w:r>
      <w:r>
        <w:rPr>
          <w:rFonts w:cs="Arial"/>
        </w:rPr>
        <w:t>2, 656, 229.54</w:t>
      </w:r>
      <w:r w:rsidRPr="00DA5FD6">
        <w:rPr>
          <w:rFonts w:cs="Arial"/>
        </w:rPr>
        <w:t xml:space="preserve"> que representa el </w:t>
      </w:r>
      <w:r>
        <w:rPr>
          <w:rFonts w:cs="Arial"/>
        </w:rPr>
        <w:t>19</w:t>
      </w:r>
      <w:r w:rsidRPr="00DA5FD6">
        <w:rPr>
          <w:rFonts w:cs="Arial"/>
        </w:rPr>
        <w:t>.</w:t>
      </w:r>
      <w:r>
        <w:rPr>
          <w:rFonts w:cs="Arial"/>
        </w:rPr>
        <w:t>80 por ciento</w:t>
      </w:r>
      <w:r w:rsidRPr="00DA5FD6">
        <w:rPr>
          <w:rFonts w:cs="Arial"/>
        </w:rPr>
        <w:t xml:space="preserve"> por concep</w:t>
      </w:r>
      <w:r>
        <w:rPr>
          <w:rFonts w:cs="Arial"/>
        </w:rPr>
        <w:t>to de los “Servicios Generales” y</w:t>
      </w:r>
      <w:r w:rsidRPr="00DA5FD6">
        <w:rPr>
          <w:rFonts w:cs="Arial"/>
        </w:rPr>
        <w:t xml:space="preserve"> un importe de </w:t>
      </w:r>
      <w:r>
        <w:rPr>
          <w:rFonts w:cs="Arial"/>
        </w:rPr>
        <w:t>340, 226.69</w:t>
      </w:r>
      <w:r w:rsidRPr="00DA5FD6">
        <w:rPr>
          <w:rFonts w:cs="Arial"/>
        </w:rPr>
        <w:t xml:space="preserve"> por concepto de “Materiales y Suministros”</w:t>
      </w:r>
      <w:r>
        <w:rPr>
          <w:rFonts w:cs="Arial"/>
        </w:rPr>
        <w:t xml:space="preserve"> que representa 2.54 por ciento</w:t>
      </w:r>
      <w:r w:rsidRPr="00DA5FD6">
        <w:rPr>
          <w:rFonts w:cs="Arial"/>
        </w:rPr>
        <w:t xml:space="preserve">. Se tiene un acumulado al mes por </w:t>
      </w:r>
      <w:r>
        <w:rPr>
          <w:rFonts w:cs="Arial"/>
        </w:rPr>
        <w:t>85,</w:t>
      </w:r>
      <w:r w:rsidRPr="00DA5FD6">
        <w:rPr>
          <w:rFonts w:cs="Arial"/>
        </w:rPr>
        <w:t xml:space="preserve"> </w:t>
      </w:r>
      <w:r>
        <w:rPr>
          <w:rFonts w:cs="Arial"/>
        </w:rPr>
        <w:t>829, 912</w:t>
      </w:r>
      <w:r w:rsidRPr="00C82EDE">
        <w:rPr>
          <w:rFonts w:cs="Arial"/>
        </w:rPr>
        <w:t>.</w:t>
      </w:r>
      <w:r>
        <w:rPr>
          <w:rFonts w:cs="Arial"/>
        </w:rPr>
        <w:t>70</w:t>
      </w:r>
      <w:r w:rsidRPr="00C82EDE">
        <w:rPr>
          <w:rFonts w:cs="Arial"/>
        </w:rPr>
        <w:t xml:space="preserve"> pesos.</w:t>
      </w:r>
    </w:p>
    <w:p w:rsidR="0057742E" w:rsidRPr="00714562" w:rsidRDefault="0057742E" w:rsidP="0057742E">
      <w:pPr>
        <w:spacing w:after="0" w:line="276" w:lineRule="auto"/>
        <w:ind w:left="644" w:right="-1"/>
        <w:jc w:val="both"/>
        <w:rPr>
          <w:rFonts w:cs="Arial"/>
        </w:rPr>
      </w:pPr>
    </w:p>
    <w:p w:rsidR="0057742E" w:rsidRPr="00E01CFD" w:rsidRDefault="0057742E" w:rsidP="0057742E">
      <w:pPr>
        <w:numPr>
          <w:ilvl w:val="0"/>
          <w:numId w:val="19"/>
        </w:numPr>
        <w:spacing w:after="0" w:line="276" w:lineRule="auto"/>
        <w:ind w:right="-1"/>
        <w:jc w:val="both"/>
        <w:rPr>
          <w:rFonts w:cs="Arial"/>
        </w:rPr>
      </w:pPr>
      <w:r w:rsidRPr="00DA5FD6">
        <w:rPr>
          <w:rFonts w:cs="Arial"/>
          <w:b/>
        </w:rPr>
        <w:t>Transferencias, Asignaciones, Subsidios y Otras Ayudas. -</w:t>
      </w:r>
      <w:r w:rsidRPr="00DA5FD6">
        <w:rPr>
          <w:rFonts w:cs="Arial"/>
        </w:rPr>
        <w:t xml:space="preserve"> Se observa en este mes la cantidad de </w:t>
      </w:r>
      <w:r>
        <w:rPr>
          <w:rFonts w:cs="Arial"/>
        </w:rPr>
        <w:t xml:space="preserve">198, 673.73, por Devoluciones de Ingreso Indebidos. Por Transferencias Internas y Asignaciones al Sector Público un monto de 297, 245, 535.26 </w:t>
      </w:r>
      <w:r w:rsidRPr="00E01CFD">
        <w:rPr>
          <w:rFonts w:cs="Arial"/>
        </w:rPr>
        <w:t xml:space="preserve">al mes presenta un saldo </w:t>
      </w:r>
      <w:r>
        <w:rPr>
          <w:rFonts w:cs="Arial"/>
        </w:rPr>
        <w:t>298</w:t>
      </w:r>
      <w:r w:rsidRPr="00E01CFD">
        <w:rPr>
          <w:rFonts w:cs="Arial"/>
        </w:rPr>
        <w:t xml:space="preserve">, </w:t>
      </w:r>
      <w:r>
        <w:rPr>
          <w:rFonts w:cs="Arial"/>
        </w:rPr>
        <w:t>692</w:t>
      </w:r>
      <w:r w:rsidRPr="00E01CFD">
        <w:rPr>
          <w:rFonts w:cs="Arial"/>
        </w:rPr>
        <w:t xml:space="preserve">, </w:t>
      </w:r>
      <w:r>
        <w:rPr>
          <w:rFonts w:cs="Arial"/>
        </w:rPr>
        <w:t>145</w:t>
      </w:r>
      <w:r w:rsidRPr="00E01CFD">
        <w:rPr>
          <w:rFonts w:cs="Arial"/>
        </w:rPr>
        <w:t>.</w:t>
      </w:r>
      <w:r>
        <w:rPr>
          <w:rFonts w:cs="Arial"/>
        </w:rPr>
        <w:t>18</w:t>
      </w:r>
      <w:r w:rsidRPr="00E01CFD">
        <w:rPr>
          <w:rFonts w:cs="Arial"/>
        </w:rPr>
        <w:t>.</w:t>
      </w:r>
    </w:p>
    <w:p w:rsidR="0057742E" w:rsidRDefault="0057742E" w:rsidP="0057742E">
      <w:pPr>
        <w:spacing w:line="259" w:lineRule="auto"/>
        <w:rPr>
          <w:rFonts w:cs="Arial"/>
        </w:rPr>
      </w:pPr>
    </w:p>
    <w:p w:rsidR="0057742E" w:rsidRDefault="0057742E" w:rsidP="0057742E">
      <w:pPr>
        <w:numPr>
          <w:ilvl w:val="0"/>
          <w:numId w:val="19"/>
        </w:numPr>
        <w:spacing w:after="0" w:line="276" w:lineRule="auto"/>
        <w:ind w:right="-1"/>
        <w:jc w:val="both"/>
        <w:rPr>
          <w:rFonts w:cs="Arial"/>
        </w:rPr>
      </w:pPr>
      <w:r w:rsidRPr="00DA5FD6">
        <w:rPr>
          <w:rFonts w:cs="Arial"/>
          <w:b/>
        </w:rPr>
        <w:t>Intereses, Comisiones y Otros Gastos de la Deuda Pública. –</w:t>
      </w:r>
      <w:r w:rsidRPr="00DA5FD6">
        <w:rPr>
          <w:rFonts w:cs="Arial"/>
        </w:rPr>
        <w:t xml:space="preserve">  Al mes se tiene </w:t>
      </w:r>
      <w:r>
        <w:rPr>
          <w:rFonts w:cs="Arial"/>
        </w:rPr>
        <w:t>un acumulado de 242, 127, 870.36</w:t>
      </w:r>
      <w:r w:rsidRPr="00DA5FD6">
        <w:rPr>
          <w:rFonts w:cs="Arial"/>
        </w:rPr>
        <w:t>.</w:t>
      </w:r>
    </w:p>
    <w:p w:rsidR="0057742E" w:rsidRPr="00DA5FD6" w:rsidRDefault="0057742E" w:rsidP="0057742E">
      <w:pPr>
        <w:spacing w:after="0" w:line="276" w:lineRule="auto"/>
        <w:ind w:left="284" w:right="-1"/>
        <w:jc w:val="both"/>
        <w:rPr>
          <w:rFonts w:cs="Arial"/>
        </w:rPr>
      </w:pPr>
    </w:p>
    <w:p w:rsidR="0057742E" w:rsidRDefault="0057742E" w:rsidP="0057742E">
      <w:pPr>
        <w:numPr>
          <w:ilvl w:val="0"/>
          <w:numId w:val="19"/>
        </w:numPr>
        <w:spacing w:after="0" w:line="276" w:lineRule="auto"/>
        <w:ind w:right="-1"/>
        <w:jc w:val="both"/>
        <w:rPr>
          <w:rFonts w:cs="Arial"/>
        </w:rPr>
      </w:pPr>
      <w:r w:rsidRPr="00DA5FD6">
        <w:rPr>
          <w:rFonts w:cs="Arial"/>
          <w:b/>
        </w:rPr>
        <w:t>O</w:t>
      </w:r>
      <w:r w:rsidRPr="00E01CFD">
        <w:rPr>
          <w:rFonts w:cs="Arial"/>
          <w:b/>
        </w:rPr>
        <w:t xml:space="preserve">tros </w:t>
      </w:r>
      <w:r w:rsidRPr="00DA5FD6">
        <w:rPr>
          <w:rFonts w:cs="Arial"/>
          <w:b/>
        </w:rPr>
        <w:t>Gastos y Pérdidas Extraordinarias</w:t>
      </w:r>
      <w:r w:rsidRPr="00DA5FD6">
        <w:rPr>
          <w:rFonts w:cs="Arial"/>
        </w:rPr>
        <w:t xml:space="preserve">. - En esta partida se refleja la depreciación de bienes muebles e inmuebles, en el mes por un importe de </w:t>
      </w:r>
      <w:r>
        <w:rPr>
          <w:rFonts w:cs="Arial"/>
        </w:rPr>
        <w:t>1,</w:t>
      </w:r>
      <w:r w:rsidRPr="00DA5FD6">
        <w:rPr>
          <w:rFonts w:cs="Arial"/>
        </w:rPr>
        <w:t xml:space="preserve"> 2</w:t>
      </w:r>
      <w:r>
        <w:rPr>
          <w:rFonts w:cs="Arial"/>
        </w:rPr>
        <w:t>38, 654.67</w:t>
      </w:r>
      <w:r w:rsidRPr="00DA5FD6">
        <w:rPr>
          <w:rFonts w:cs="Arial"/>
        </w:rPr>
        <w:t xml:space="preserve">. Se tiene un acumulado por </w:t>
      </w:r>
      <w:r>
        <w:rPr>
          <w:rFonts w:cs="Arial"/>
        </w:rPr>
        <w:t xml:space="preserve">9, 403, 148.13 de los cuales 7, 658, 553.13 corresponden a </w:t>
      </w:r>
      <w:r w:rsidRPr="004A7C39">
        <w:rPr>
          <w:rFonts w:cs="Arial"/>
        </w:rPr>
        <w:t>Estimaciones, Depreciaciones, Deterioros, Obsolescencia y Amortizaciones</w:t>
      </w:r>
      <w:r>
        <w:rPr>
          <w:rFonts w:cs="Arial"/>
        </w:rPr>
        <w:t xml:space="preserve"> y 1, 744, 595</w:t>
      </w:r>
      <w:r w:rsidRPr="00DA5FD6">
        <w:rPr>
          <w:rFonts w:cs="Arial"/>
        </w:rPr>
        <w:t xml:space="preserve"> por la devolución de los remanentes del Programa de Acciones para el Desarrollo (PAD)</w:t>
      </w:r>
      <w:r>
        <w:rPr>
          <w:rFonts w:cs="Arial"/>
        </w:rPr>
        <w:t xml:space="preserve"> del ejercicio 2018</w:t>
      </w:r>
      <w:r w:rsidRPr="00DA5FD6">
        <w:rPr>
          <w:rFonts w:cs="Arial"/>
        </w:rPr>
        <w:t xml:space="preserve"> al Gobierno del Estado de México.</w:t>
      </w:r>
    </w:p>
    <w:p w:rsidR="0057742E" w:rsidRDefault="0057742E" w:rsidP="0057742E">
      <w:pPr>
        <w:pStyle w:val="Prrafodelista"/>
        <w:rPr>
          <w:rFonts w:cs="Arial"/>
        </w:rPr>
      </w:pPr>
    </w:p>
    <w:p w:rsidR="0057742E" w:rsidRPr="0096540A" w:rsidRDefault="0057742E" w:rsidP="0057742E">
      <w:pPr>
        <w:spacing w:after="0" w:line="276" w:lineRule="auto"/>
        <w:ind w:left="644" w:right="-1"/>
        <w:jc w:val="both"/>
        <w:rPr>
          <w:rFonts w:cs="Arial"/>
          <w:sz w:val="2"/>
        </w:rPr>
      </w:pPr>
    </w:p>
    <w:p w:rsidR="0057742E" w:rsidRDefault="0057742E" w:rsidP="0057742E">
      <w:pPr>
        <w:numPr>
          <w:ilvl w:val="0"/>
          <w:numId w:val="19"/>
        </w:numPr>
        <w:spacing w:after="0" w:line="276" w:lineRule="auto"/>
        <w:ind w:right="-1"/>
        <w:jc w:val="both"/>
      </w:pPr>
      <w:r w:rsidRPr="00867EA8">
        <w:rPr>
          <w:rFonts w:cs="Arial"/>
          <w:b/>
        </w:rPr>
        <w:t>Inversión Pública</w:t>
      </w:r>
      <w:r w:rsidRPr="00867EA8">
        <w:rPr>
          <w:rFonts w:cs="Arial"/>
        </w:rPr>
        <w:t>. - Refleja</w:t>
      </w:r>
      <w:r>
        <w:rPr>
          <w:rFonts w:cs="Arial"/>
        </w:rPr>
        <w:t xml:space="preserve"> la afectación no capitalizable</w:t>
      </w:r>
      <w:r w:rsidRPr="00867EA8">
        <w:rPr>
          <w:rFonts w:cs="Arial"/>
        </w:rPr>
        <w:t xml:space="preserve"> correspondiente al Programa de Acciones para el Desarrollo (PAD</w:t>
      </w:r>
      <w:r>
        <w:rPr>
          <w:rFonts w:cs="Arial"/>
        </w:rPr>
        <w:t>), por la cantidad de 2,</w:t>
      </w:r>
      <w:r w:rsidRPr="00867EA8">
        <w:rPr>
          <w:rFonts w:cs="Arial"/>
        </w:rPr>
        <w:t xml:space="preserve"> </w:t>
      </w:r>
      <w:r>
        <w:rPr>
          <w:rFonts w:cs="Arial"/>
        </w:rPr>
        <w:t>444, 971.91</w:t>
      </w:r>
      <w:r w:rsidRPr="00867EA8">
        <w:rPr>
          <w:rFonts w:cs="Arial"/>
        </w:rPr>
        <w:t>,</w:t>
      </w:r>
      <w:r>
        <w:rPr>
          <w:rFonts w:cs="Arial"/>
        </w:rPr>
        <w:t xml:space="preserve"> al mes</w:t>
      </w:r>
      <w:r w:rsidRPr="00867EA8">
        <w:rPr>
          <w:rFonts w:cs="Arial"/>
        </w:rPr>
        <w:t xml:space="preserve"> se tiene un saldo acumulado de </w:t>
      </w:r>
      <w:r>
        <w:rPr>
          <w:rFonts w:cs="Arial"/>
        </w:rPr>
        <w:t>14,</w:t>
      </w:r>
      <w:r w:rsidRPr="00867EA8">
        <w:rPr>
          <w:rFonts w:cs="Arial"/>
        </w:rPr>
        <w:t xml:space="preserve"> </w:t>
      </w:r>
      <w:r>
        <w:rPr>
          <w:rFonts w:cs="Arial"/>
        </w:rPr>
        <w:t>493, 545.82.</w:t>
      </w:r>
      <w:r w:rsidRPr="00867EA8">
        <w:rPr>
          <w:rFonts w:cs="Arial"/>
        </w:rPr>
        <w:t xml:space="preserve"> </w:t>
      </w:r>
    </w:p>
    <w:p w:rsidR="0057742E" w:rsidRDefault="0057742E" w:rsidP="0057742E">
      <w:pPr>
        <w:spacing w:after="0" w:line="276" w:lineRule="auto"/>
        <w:ind w:right="-1"/>
        <w:jc w:val="both"/>
      </w:pPr>
    </w:p>
    <w:p w:rsidR="0057742E" w:rsidRDefault="0057742E" w:rsidP="0057742E">
      <w:pPr>
        <w:spacing w:after="0" w:line="276" w:lineRule="auto"/>
        <w:ind w:right="-1"/>
        <w:jc w:val="both"/>
      </w:pPr>
    </w:p>
    <w:p w:rsidR="0057742E" w:rsidRDefault="0057742E" w:rsidP="0057742E">
      <w:pPr>
        <w:numPr>
          <w:ilvl w:val="0"/>
          <w:numId w:val="6"/>
        </w:numPr>
        <w:spacing w:before="240" w:after="240" w:line="276" w:lineRule="auto"/>
        <w:ind w:right="-1"/>
        <w:contextualSpacing/>
        <w:outlineLvl w:val="0"/>
        <w:rPr>
          <w:rFonts w:eastAsia="Times New Roman" w:cs="Arial"/>
          <w:b/>
          <w:lang w:eastAsia="es-MX"/>
        </w:rPr>
      </w:pPr>
      <w:r w:rsidRPr="0020562B">
        <w:rPr>
          <w:rFonts w:eastAsia="Times New Roman" w:cs="Arial"/>
          <w:b/>
          <w:lang w:eastAsia="es-MX"/>
        </w:rPr>
        <w:t>NOTAS AL ESTADO DE VARIACIONES EN LA HACIENDA PÚBLICA/PATRIMONIO</w:t>
      </w:r>
    </w:p>
    <w:p w:rsidR="0057742E" w:rsidRPr="0020562B" w:rsidRDefault="0057742E" w:rsidP="0057742E">
      <w:pPr>
        <w:spacing w:before="240" w:after="240" w:line="276" w:lineRule="auto"/>
        <w:ind w:left="1068" w:right="-1"/>
        <w:contextualSpacing/>
        <w:outlineLvl w:val="0"/>
        <w:rPr>
          <w:rFonts w:eastAsia="Times New Roman" w:cs="Arial"/>
          <w:b/>
          <w:lang w:eastAsia="es-MX"/>
        </w:rPr>
      </w:pPr>
    </w:p>
    <w:p w:rsidR="0057742E" w:rsidRPr="00DA5FD6" w:rsidRDefault="0057742E" w:rsidP="0057742E">
      <w:pPr>
        <w:spacing w:line="276" w:lineRule="auto"/>
        <w:ind w:right="-1"/>
        <w:jc w:val="both"/>
        <w:outlineLvl w:val="0"/>
        <w:rPr>
          <w:rFonts w:cs="Arial"/>
        </w:rPr>
      </w:pPr>
      <w:r w:rsidRPr="00DA5FD6">
        <w:rPr>
          <w:rFonts w:cs="Arial"/>
          <w:b/>
        </w:rPr>
        <w:t>Hacienda Pública/Patrimonio Contribuido (Aportaciones). -</w:t>
      </w:r>
      <w:r w:rsidRPr="00DA5FD6">
        <w:rPr>
          <w:rFonts w:cs="Arial"/>
        </w:rPr>
        <w:t xml:space="preserve"> En el Estado de Variaciones en la Hacienda Pública, al mes que se comenta, el patrimonio contribuido del Instituto se integra por las aportaciones del Gobierno del Estado de México, consiste principalmente en Mobiliario y Equipo de Administración, cuyo saldo a</w:t>
      </w:r>
      <w:r>
        <w:rPr>
          <w:rFonts w:cs="Arial"/>
        </w:rPr>
        <w:t>l final del mes es de 54, 438.67.</w:t>
      </w:r>
    </w:p>
    <w:p w:rsidR="0057742E" w:rsidRDefault="0057742E" w:rsidP="0057742E">
      <w:pPr>
        <w:spacing w:line="276" w:lineRule="auto"/>
        <w:ind w:right="-1"/>
        <w:jc w:val="both"/>
        <w:rPr>
          <w:rFonts w:cs="Arial"/>
        </w:rPr>
      </w:pPr>
      <w:r w:rsidRPr="00DA5FD6">
        <w:rPr>
          <w:rFonts w:cs="Arial"/>
          <w:b/>
        </w:rPr>
        <w:t>Resultado del Ejercicio: (Ahorro/Desahorro). -</w:t>
      </w:r>
      <w:r w:rsidRPr="00DA5FD6">
        <w:rPr>
          <w:rFonts w:cs="Arial"/>
        </w:rPr>
        <w:t xml:space="preserve"> Se observa en la Hacienda Pública/Patrimonio Generado Neto del Ejercicio, un ahorro </w:t>
      </w:r>
      <w:r>
        <w:rPr>
          <w:rFonts w:cs="Arial"/>
        </w:rPr>
        <w:t>en el mes por 98, 938, 340.74 y un acumulado al mes de 320, 566, 258.88,</w:t>
      </w:r>
      <w:r w:rsidRPr="00DA5FD6">
        <w:rPr>
          <w:rFonts w:cs="Arial"/>
        </w:rPr>
        <w:t xml:space="preserve"> debido principalmente a </w:t>
      </w:r>
      <w:r>
        <w:rPr>
          <w:rFonts w:cs="Arial"/>
        </w:rPr>
        <w:t xml:space="preserve">los ingresos generando son mayores a los gastos de funcionamiento </w:t>
      </w:r>
      <w:r w:rsidRPr="00DA5FD6">
        <w:rPr>
          <w:rFonts w:cs="Arial"/>
        </w:rPr>
        <w:t>acumulado</w:t>
      </w:r>
      <w:r>
        <w:rPr>
          <w:rFonts w:cs="Arial"/>
        </w:rPr>
        <w:t>s</w:t>
      </w:r>
      <w:r w:rsidRPr="00DA5FD6">
        <w:rPr>
          <w:rFonts w:cs="Arial"/>
        </w:rPr>
        <w:t xml:space="preserve"> en este periodo del ejercicio fiscal 2019.</w:t>
      </w:r>
    </w:p>
    <w:p w:rsidR="0057742E" w:rsidRPr="00E07F00" w:rsidRDefault="0057742E" w:rsidP="0057742E">
      <w:pPr>
        <w:spacing w:line="276" w:lineRule="auto"/>
        <w:ind w:right="-1"/>
        <w:jc w:val="both"/>
        <w:rPr>
          <w:rFonts w:cs="Arial"/>
        </w:rPr>
      </w:pPr>
    </w:p>
    <w:p w:rsidR="0057742E" w:rsidRPr="00374E42" w:rsidRDefault="0057742E" w:rsidP="0057742E">
      <w:pPr>
        <w:numPr>
          <w:ilvl w:val="0"/>
          <w:numId w:val="6"/>
        </w:numPr>
        <w:spacing w:before="240" w:after="240" w:line="276" w:lineRule="auto"/>
        <w:ind w:right="-1"/>
        <w:contextualSpacing/>
        <w:outlineLvl w:val="0"/>
        <w:rPr>
          <w:rFonts w:eastAsia="Times New Roman" w:cs="Arial"/>
          <w:b/>
          <w:lang w:eastAsia="es-MX"/>
        </w:rPr>
      </w:pPr>
      <w:r w:rsidRPr="00374E42">
        <w:rPr>
          <w:rFonts w:eastAsia="Times New Roman" w:cs="Arial"/>
          <w:b/>
          <w:lang w:eastAsia="es-MX"/>
        </w:rPr>
        <w:t>NOTAS AL ESTADO DE FLUJOS DE EFECTIVO</w:t>
      </w:r>
    </w:p>
    <w:p w:rsidR="0057742E" w:rsidRPr="00374E42" w:rsidRDefault="0057742E" w:rsidP="0057742E">
      <w:pPr>
        <w:spacing w:line="276" w:lineRule="auto"/>
        <w:ind w:right="-1"/>
        <w:jc w:val="both"/>
        <w:rPr>
          <w:rFonts w:cs="Arial"/>
        </w:rPr>
      </w:pPr>
    </w:p>
    <w:p w:rsidR="0057742E" w:rsidRPr="00374E42" w:rsidRDefault="0057742E" w:rsidP="0057742E">
      <w:pPr>
        <w:spacing w:line="276" w:lineRule="auto"/>
        <w:ind w:right="-1"/>
        <w:jc w:val="both"/>
        <w:rPr>
          <w:rFonts w:cs="Arial"/>
        </w:rPr>
      </w:pPr>
      <w:r w:rsidRPr="00374E42">
        <w:rPr>
          <w:rFonts w:cs="Arial"/>
        </w:rPr>
        <w:t>En este Estado se observa lo siguiente:</w:t>
      </w:r>
    </w:p>
    <w:p w:rsidR="0057742E" w:rsidRPr="00374E42" w:rsidRDefault="0057742E" w:rsidP="0057742E">
      <w:pPr>
        <w:spacing w:line="276" w:lineRule="auto"/>
        <w:ind w:right="-1"/>
        <w:jc w:val="center"/>
      </w:pPr>
      <w:r w:rsidRPr="00374E42">
        <w:rPr>
          <w:noProof/>
          <w:lang w:eastAsia="es-MX"/>
        </w:rPr>
        <w:drawing>
          <wp:inline distT="0" distB="0" distL="0" distR="0" wp14:anchorId="4F1690BE" wp14:editId="2FBB960D">
            <wp:extent cx="5467214" cy="1685925"/>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159" cy="1688683"/>
                    </a:xfrm>
                    <a:prstGeom prst="rect">
                      <a:avLst/>
                    </a:prstGeom>
                    <a:noFill/>
                    <a:ln>
                      <a:noFill/>
                    </a:ln>
                  </pic:spPr>
                </pic:pic>
              </a:graphicData>
            </a:graphic>
          </wp:inline>
        </w:drawing>
      </w:r>
    </w:p>
    <w:p w:rsidR="0057742E" w:rsidRPr="00374E42" w:rsidRDefault="0057742E" w:rsidP="0057742E">
      <w:pPr>
        <w:spacing w:line="276" w:lineRule="auto"/>
        <w:ind w:right="-1"/>
        <w:jc w:val="both"/>
        <w:rPr>
          <w:rFonts w:cs="Arial"/>
        </w:rPr>
      </w:pPr>
      <w:r w:rsidRPr="00374E42">
        <w:t>La Conciliación de los Flujos de Efectivo Netos de las Actividades de Operación y la cuenta de Ahorro/Desahorro antes de Rubros Extraordinarios, queda como sigue:</w:t>
      </w:r>
    </w:p>
    <w:p w:rsidR="0057742E" w:rsidRPr="00374E42" w:rsidRDefault="0057742E" w:rsidP="0057742E">
      <w:pPr>
        <w:spacing w:line="276" w:lineRule="auto"/>
        <w:ind w:right="-1"/>
        <w:jc w:val="center"/>
        <w:rPr>
          <w:color w:val="FFFF00"/>
        </w:rPr>
      </w:pPr>
      <w:r w:rsidRPr="00374E42">
        <w:rPr>
          <w:noProof/>
          <w:lang w:eastAsia="es-MX"/>
        </w:rPr>
        <w:drawing>
          <wp:inline distT="0" distB="0" distL="0" distR="0" wp14:anchorId="4A784012" wp14:editId="023EDA18">
            <wp:extent cx="5505060" cy="3552825"/>
            <wp:effectExtent l="0" t="0" r="635" b="0"/>
            <wp:docPr id="480" name="Imagen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59" cy="3559214"/>
                    </a:xfrm>
                    <a:prstGeom prst="rect">
                      <a:avLst/>
                    </a:prstGeom>
                    <a:noFill/>
                    <a:ln>
                      <a:noFill/>
                    </a:ln>
                  </pic:spPr>
                </pic:pic>
              </a:graphicData>
            </a:graphic>
          </wp:inline>
        </w:drawing>
      </w:r>
    </w:p>
    <w:p w:rsidR="0057742E" w:rsidRPr="00E07F00" w:rsidRDefault="0057742E" w:rsidP="0057742E">
      <w:pPr>
        <w:spacing w:line="276" w:lineRule="auto"/>
        <w:ind w:right="-1"/>
        <w:jc w:val="both"/>
        <w:rPr>
          <w:rFonts w:cs="Arial"/>
        </w:rPr>
      </w:pPr>
      <w:r w:rsidRPr="00374E42">
        <w:rPr>
          <w:rFonts w:cs="Arial"/>
        </w:rPr>
        <w:t>El efectivo y equivalentes en este mes para que el Instituto de la Función Registral del Estado de México cubra sus obligaciones</w:t>
      </w:r>
      <w:r>
        <w:rPr>
          <w:rFonts w:cs="Arial"/>
        </w:rPr>
        <w:t xml:space="preserve"> de pago, fue de 214, 959, 310.89.</w:t>
      </w:r>
    </w:p>
    <w:p w:rsidR="0057742E" w:rsidRDefault="0057742E" w:rsidP="0057742E">
      <w:pPr>
        <w:spacing w:line="276" w:lineRule="auto"/>
        <w:ind w:right="-1"/>
        <w:jc w:val="both"/>
        <w:rPr>
          <w:rFonts w:cs="Arial"/>
        </w:rPr>
      </w:pPr>
    </w:p>
    <w:p w:rsidR="00F82DBE" w:rsidRPr="008146E7" w:rsidRDefault="00F82DBE" w:rsidP="00F82DBE">
      <w:pPr>
        <w:numPr>
          <w:ilvl w:val="0"/>
          <w:numId w:val="16"/>
        </w:numPr>
        <w:spacing w:before="240" w:after="240" w:line="276" w:lineRule="auto"/>
        <w:ind w:right="-1"/>
        <w:contextualSpacing/>
        <w:outlineLvl w:val="0"/>
        <w:rPr>
          <w:rFonts w:cs="Arial"/>
          <w:b/>
        </w:rPr>
      </w:pPr>
      <w:r w:rsidRPr="00E07F00">
        <w:rPr>
          <w:rFonts w:eastAsia="Times New Roman" w:cs="Arial"/>
          <w:b/>
          <w:lang w:eastAsia="es-MX"/>
        </w:rPr>
        <w:t>CONCILIACIÓN ENTRE LOS INGRESOS PRESUPUESTARIOS Y CONTABLES, ASÍ COMO ENTRE LOS EGRESOS PRESUPUESTARIOS Y LOS GASTOS CONTABLES:</w:t>
      </w:r>
    </w:p>
    <w:p w:rsidR="00F82DBE" w:rsidRDefault="00F82DBE" w:rsidP="00F82DBE">
      <w:pPr>
        <w:spacing w:before="240" w:after="240" w:line="276" w:lineRule="auto"/>
        <w:ind w:right="-1"/>
        <w:contextualSpacing/>
        <w:outlineLvl w:val="0"/>
        <w:rPr>
          <w:rFonts w:cs="Arial"/>
          <w:b/>
        </w:rPr>
      </w:pPr>
    </w:p>
    <w:p w:rsidR="00F82DBE" w:rsidRPr="008146E7" w:rsidRDefault="00F82DBE" w:rsidP="00F82DBE">
      <w:pPr>
        <w:spacing w:before="240" w:after="240" w:line="276" w:lineRule="auto"/>
        <w:ind w:right="-1"/>
        <w:contextualSpacing/>
        <w:outlineLvl w:val="0"/>
        <w:rPr>
          <w:rFonts w:cs="Arial"/>
          <w:b/>
        </w:rPr>
      </w:pPr>
      <w:r w:rsidRPr="008146E7">
        <w:rPr>
          <w:noProof/>
          <w:lang w:eastAsia="es-MX"/>
        </w:rPr>
        <w:drawing>
          <wp:inline distT="0" distB="0" distL="0" distR="0" wp14:anchorId="405A687D" wp14:editId="676759CD">
            <wp:extent cx="6385560" cy="398060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6221" cy="3993488"/>
                    </a:xfrm>
                    <a:prstGeom prst="rect">
                      <a:avLst/>
                    </a:prstGeom>
                    <a:noFill/>
                    <a:ln>
                      <a:noFill/>
                    </a:ln>
                  </pic:spPr>
                </pic:pic>
              </a:graphicData>
            </a:graphic>
          </wp:inline>
        </w:drawing>
      </w:r>
    </w:p>
    <w:p w:rsidR="00F82DBE" w:rsidRPr="00E07F00" w:rsidRDefault="00F82DBE" w:rsidP="00F82DBE">
      <w:pPr>
        <w:spacing w:before="240" w:after="240" w:line="276" w:lineRule="auto"/>
        <w:ind w:right="-1"/>
        <w:contextualSpacing/>
        <w:outlineLvl w:val="0"/>
        <w:rPr>
          <w:rFonts w:cs="Arial"/>
          <w:b/>
        </w:rPr>
      </w:pPr>
    </w:p>
    <w:p w:rsidR="00F82DBE" w:rsidRPr="00E07F00" w:rsidRDefault="00F82DBE" w:rsidP="00F82DBE">
      <w:pPr>
        <w:spacing w:before="240" w:after="240" w:line="276" w:lineRule="auto"/>
        <w:ind w:left="284" w:right="-1" w:hanging="359"/>
        <w:contextualSpacing/>
        <w:jc w:val="center"/>
        <w:outlineLvl w:val="0"/>
        <w:rPr>
          <w:rFonts w:cs="Arial"/>
          <w:b/>
        </w:rPr>
      </w:pPr>
    </w:p>
    <w:p w:rsidR="00F82DBE" w:rsidRPr="00E07F00" w:rsidRDefault="00F82DBE" w:rsidP="00F82DBE">
      <w:pPr>
        <w:spacing w:before="240" w:line="276" w:lineRule="auto"/>
        <w:ind w:right="-1"/>
        <w:contextualSpacing/>
        <w:jc w:val="both"/>
        <w:outlineLvl w:val="0"/>
        <w:rPr>
          <w:rFonts w:cs="Arial"/>
        </w:rPr>
      </w:pPr>
      <w:r w:rsidRPr="00E07F00">
        <w:rPr>
          <w:rFonts w:cs="Arial"/>
          <w:b/>
        </w:rPr>
        <w:t>Conciliación entre los Ingresos Presupuestarios y Contables</w:t>
      </w:r>
      <w:r w:rsidRPr="00E07F00">
        <w:rPr>
          <w:rFonts w:cs="Arial"/>
        </w:rPr>
        <w:t xml:space="preserve">. -  </w:t>
      </w:r>
      <w:r w:rsidRPr="008146E7">
        <w:rPr>
          <w:rFonts w:cs="Arial"/>
        </w:rPr>
        <w:t>En el renglón de Otros Ingresos Presupuestarios no Contables 156, 258, 174.86 se integran de: 156, 258, 174.86 para el pago de Amortización de Capital de los Certificados Bursátiles Series "A", "B" Y subordinada "C" correspondiente al primer semestre del 2019.</w:t>
      </w:r>
      <w:r w:rsidRPr="00E07F00">
        <w:rPr>
          <w:rFonts w:cs="Arial"/>
        </w:rPr>
        <w:br w:type="page"/>
      </w:r>
    </w:p>
    <w:p w:rsidR="00F82DBE" w:rsidRDefault="00F82DBE" w:rsidP="00F82DBE">
      <w:pPr>
        <w:spacing w:before="240" w:line="276" w:lineRule="auto"/>
        <w:ind w:right="-1"/>
        <w:contextualSpacing/>
        <w:jc w:val="both"/>
        <w:outlineLvl w:val="0"/>
        <w:rPr>
          <w:rFonts w:cs="Arial"/>
        </w:rPr>
      </w:pPr>
      <w:r w:rsidRPr="008146E7">
        <w:rPr>
          <w:noProof/>
          <w:lang w:eastAsia="es-MX"/>
        </w:rPr>
        <w:drawing>
          <wp:inline distT="0" distB="0" distL="0" distR="0" wp14:anchorId="02ED0357" wp14:editId="59A5C95D">
            <wp:extent cx="6388735" cy="6019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7823" cy="6028363"/>
                    </a:xfrm>
                    <a:prstGeom prst="rect">
                      <a:avLst/>
                    </a:prstGeom>
                    <a:noFill/>
                    <a:ln>
                      <a:noFill/>
                    </a:ln>
                  </pic:spPr>
                </pic:pic>
              </a:graphicData>
            </a:graphic>
          </wp:inline>
        </w:drawing>
      </w:r>
    </w:p>
    <w:p w:rsidR="00F82DBE" w:rsidRPr="00E07F00" w:rsidRDefault="00F82DBE" w:rsidP="00F82DBE">
      <w:pPr>
        <w:spacing w:before="240" w:line="276" w:lineRule="auto"/>
        <w:ind w:right="-1"/>
        <w:contextualSpacing/>
        <w:jc w:val="both"/>
        <w:outlineLvl w:val="0"/>
        <w:rPr>
          <w:rFonts w:cs="Arial"/>
        </w:rPr>
      </w:pPr>
    </w:p>
    <w:p w:rsidR="00F82DBE" w:rsidRPr="00E07F00" w:rsidRDefault="00F82DBE" w:rsidP="00F82DBE">
      <w:pPr>
        <w:spacing w:before="240" w:line="276" w:lineRule="auto"/>
        <w:ind w:right="-1"/>
        <w:jc w:val="both"/>
        <w:rPr>
          <w:rFonts w:cs="Arial"/>
        </w:rPr>
      </w:pPr>
      <w:r w:rsidRPr="00E07F00">
        <w:rPr>
          <w:rFonts w:cs="Arial"/>
          <w:b/>
        </w:rPr>
        <w:t xml:space="preserve">Conciliación entre los Egresos Presupuestarios y los Gastos Contables: </w:t>
      </w:r>
      <w:r w:rsidRPr="000A472F">
        <w:rPr>
          <w:rFonts w:cs="Arial"/>
        </w:rPr>
        <w:t>En el renglón de Otros Egresos Presupuestales No Contables los 298, 173, 208.89 se integran de: 268, 058, 497.39 de Transferencias al Fideicomiso y 30,114,711.50 que es el recurso comprometido de acuerdo al Avance Presupuestal del mes de Junio 2019. En el rubro de Otros Gastos Contables No Presupuestales el importe de 1, 744,595 se integran por: 1,744,595 de los remanentes del Programa de Regularización de Tenencia de la Tierra 2018, que incluye los intereses generados.</w:t>
      </w:r>
      <w:r w:rsidRPr="00E07F00">
        <w:rPr>
          <w:rFonts w:cs="Arial"/>
        </w:rPr>
        <w:br w:type="page"/>
      </w:r>
    </w:p>
    <w:p w:rsidR="00F82DBE" w:rsidRPr="00E07F00" w:rsidRDefault="00F82DBE" w:rsidP="00F82DBE">
      <w:pPr>
        <w:spacing w:before="240" w:line="276" w:lineRule="auto"/>
        <w:ind w:right="-1"/>
        <w:jc w:val="both"/>
        <w:rPr>
          <w:rFonts w:cs="Arial"/>
          <w:sz w:val="2"/>
        </w:rPr>
      </w:pPr>
    </w:p>
    <w:p w:rsidR="00F82DBE" w:rsidRPr="00E07F00" w:rsidRDefault="00F82DBE" w:rsidP="00F82DBE">
      <w:pPr>
        <w:numPr>
          <w:ilvl w:val="0"/>
          <w:numId w:val="5"/>
        </w:numPr>
        <w:tabs>
          <w:tab w:val="left" w:pos="3836"/>
        </w:tabs>
        <w:spacing w:after="0" w:line="276" w:lineRule="auto"/>
        <w:ind w:left="714" w:right="-1" w:hanging="357"/>
        <w:contextualSpacing/>
        <w:outlineLvl w:val="0"/>
        <w:rPr>
          <w:rFonts w:eastAsia="Times New Roman" w:cs="Arial"/>
          <w:b/>
          <w:lang w:eastAsia="es-MX"/>
        </w:rPr>
      </w:pPr>
      <w:r w:rsidRPr="00E07F00">
        <w:rPr>
          <w:rFonts w:eastAsia="Times New Roman" w:cs="Arial"/>
          <w:b/>
          <w:lang w:eastAsia="es-MX"/>
        </w:rPr>
        <w:t>NOTAS DE MEMORIA (CUENTAS DE ORDEN)</w:t>
      </w:r>
    </w:p>
    <w:p w:rsidR="00F82DBE" w:rsidRDefault="00F82DBE" w:rsidP="00F82DBE">
      <w:pPr>
        <w:tabs>
          <w:tab w:val="left" w:pos="8652"/>
        </w:tabs>
        <w:spacing w:line="276" w:lineRule="auto"/>
        <w:ind w:right="-1"/>
        <w:jc w:val="both"/>
        <w:outlineLvl w:val="0"/>
        <w:rPr>
          <w:rFonts w:cs="Arial"/>
        </w:rPr>
      </w:pPr>
      <w:r w:rsidRPr="00E07F00">
        <w:rPr>
          <w:rFonts w:cs="Arial"/>
        </w:rPr>
        <w:t>Las Cuentas de Orden Contables y Presupuestarias se integran de la siguiente forma:</w:t>
      </w:r>
    </w:p>
    <w:p w:rsidR="00F82DBE" w:rsidRPr="00E07F00" w:rsidRDefault="00F82DBE" w:rsidP="00F82DBE">
      <w:pPr>
        <w:tabs>
          <w:tab w:val="left" w:pos="8652"/>
        </w:tabs>
        <w:spacing w:line="276" w:lineRule="auto"/>
        <w:ind w:right="-1"/>
        <w:jc w:val="both"/>
        <w:outlineLvl w:val="0"/>
        <w:rPr>
          <w:rFonts w:cs="Arial"/>
        </w:rPr>
      </w:pPr>
      <w:r w:rsidRPr="001E5A14">
        <w:rPr>
          <w:noProof/>
          <w:lang w:eastAsia="es-MX"/>
        </w:rPr>
        <w:drawing>
          <wp:inline distT="0" distB="0" distL="0" distR="0" wp14:anchorId="482AEDCC" wp14:editId="31F18300">
            <wp:extent cx="6387389" cy="13106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8411" cy="1314954"/>
                    </a:xfrm>
                    <a:prstGeom prst="rect">
                      <a:avLst/>
                    </a:prstGeom>
                    <a:noFill/>
                    <a:ln>
                      <a:noFill/>
                    </a:ln>
                  </pic:spPr>
                </pic:pic>
              </a:graphicData>
            </a:graphic>
          </wp:inline>
        </w:drawing>
      </w:r>
    </w:p>
    <w:p w:rsidR="00F82DBE" w:rsidRDefault="00F82DBE" w:rsidP="00F82DBE">
      <w:pPr>
        <w:tabs>
          <w:tab w:val="left" w:pos="8652"/>
        </w:tabs>
        <w:spacing w:line="276" w:lineRule="auto"/>
        <w:ind w:right="-1"/>
        <w:jc w:val="both"/>
        <w:outlineLvl w:val="0"/>
        <w:rPr>
          <w:rFonts w:cs="Arial"/>
        </w:rPr>
      </w:pPr>
      <w:r w:rsidRPr="001E5A14">
        <w:rPr>
          <w:noProof/>
          <w:lang w:eastAsia="es-MX"/>
        </w:rPr>
        <w:drawing>
          <wp:inline distT="0" distB="0" distL="0" distR="0" wp14:anchorId="193B7350" wp14:editId="18C39583">
            <wp:extent cx="6388590" cy="46634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0350" cy="4664725"/>
                    </a:xfrm>
                    <a:prstGeom prst="rect">
                      <a:avLst/>
                    </a:prstGeom>
                    <a:noFill/>
                    <a:ln>
                      <a:noFill/>
                    </a:ln>
                  </pic:spPr>
                </pic:pic>
              </a:graphicData>
            </a:graphic>
          </wp:inline>
        </w:drawing>
      </w:r>
    </w:p>
    <w:p w:rsidR="00F82DBE" w:rsidRPr="00E07F00" w:rsidRDefault="00F82DBE" w:rsidP="00F82DBE">
      <w:pPr>
        <w:tabs>
          <w:tab w:val="left" w:pos="8652"/>
        </w:tabs>
        <w:spacing w:line="276" w:lineRule="auto"/>
        <w:ind w:right="-1"/>
        <w:jc w:val="both"/>
        <w:outlineLvl w:val="0"/>
        <w:rPr>
          <w:rFonts w:cs="Arial"/>
        </w:rPr>
      </w:pPr>
    </w:p>
    <w:p w:rsidR="00F82DBE" w:rsidRPr="00E07F00" w:rsidRDefault="00F82DBE" w:rsidP="00F82DBE">
      <w:pPr>
        <w:tabs>
          <w:tab w:val="left" w:pos="1320"/>
        </w:tabs>
        <w:spacing w:line="276" w:lineRule="auto"/>
        <w:ind w:right="-1"/>
        <w:jc w:val="both"/>
        <w:outlineLvl w:val="0"/>
        <w:rPr>
          <w:rFonts w:cs="Arial"/>
        </w:rPr>
      </w:pPr>
      <w:r w:rsidRPr="00E07F00">
        <w:rPr>
          <w:rFonts w:cs="Arial"/>
        </w:rPr>
        <w:tab/>
      </w:r>
    </w:p>
    <w:p w:rsidR="00F82DBE" w:rsidRPr="00E07F00" w:rsidRDefault="00F82DBE" w:rsidP="00F82DBE">
      <w:pPr>
        <w:tabs>
          <w:tab w:val="left" w:pos="8652"/>
        </w:tabs>
        <w:spacing w:line="276" w:lineRule="auto"/>
        <w:ind w:right="-1"/>
        <w:jc w:val="both"/>
        <w:outlineLvl w:val="0"/>
        <w:rPr>
          <w:rFonts w:cs="Arial"/>
        </w:rPr>
      </w:pPr>
      <w:r w:rsidRPr="00E07F00">
        <w:rPr>
          <w:rFonts w:cs="Arial"/>
        </w:rPr>
        <w:t xml:space="preserve">La comunicación de la asignación del </w:t>
      </w:r>
      <w:r w:rsidRPr="00E07F00">
        <w:rPr>
          <w:rFonts w:cs="Arial"/>
          <w:b/>
        </w:rPr>
        <w:t>Presupuesto Autorizado para el Ejercicio Fiscal 2019</w:t>
      </w:r>
      <w:r w:rsidRPr="00E07F00">
        <w:rPr>
          <w:rFonts w:cs="Arial"/>
        </w:rPr>
        <w:t>, se realizó mediante oficio No. 20704000L-0031/2019, de fecha 17 de enero de 2019, emitido por la Secretaría de Finanzas, con el cual se aprueba la asignación presupuestal autorizada por la LX Legislatura local al Instituto de la Función Registral del Estado de México, que asciende a la cantidad de 1,919, 229,732</w:t>
      </w:r>
      <w:r w:rsidRPr="00E07F00">
        <w:rPr>
          <w:rFonts w:cs="Arial"/>
          <w:b/>
        </w:rPr>
        <w:t xml:space="preserve">, </w:t>
      </w:r>
      <w:r w:rsidRPr="00E07F00">
        <w:rPr>
          <w:rFonts w:cs="Arial"/>
        </w:rPr>
        <w:t>distribuida de la siguiente manera:</w:t>
      </w:r>
    </w:p>
    <w:p w:rsidR="00F82DBE" w:rsidRPr="00E07F00" w:rsidRDefault="00F82DBE" w:rsidP="00F82DBE">
      <w:pPr>
        <w:spacing w:line="276" w:lineRule="auto"/>
        <w:ind w:right="-1"/>
        <w:jc w:val="center"/>
        <w:outlineLvl w:val="0"/>
        <w:rPr>
          <w:rFonts w:cs="Arial"/>
        </w:rPr>
      </w:pPr>
      <w:r w:rsidRPr="00E07F00">
        <w:rPr>
          <w:noProof/>
          <w:lang w:eastAsia="es-MX"/>
        </w:rPr>
        <w:drawing>
          <wp:inline distT="0" distB="0" distL="0" distR="0" wp14:anchorId="224B8714" wp14:editId="4689BE7E">
            <wp:extent cx="4998325" cy="2724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6232" cy="2750260"/>
                    </a:xfrm>
                    <a:prstGeom prst="rect">
                      <a:avLst/>
                    </a:prstGeom>
                    <a:noFill/>
                    <a:ln>
                      <a:noFill/>
                    </a:ln>
                  </pic:spPr>
                </pic:pic>
              </a:graphicData>
            </a:graphic>
          </wp:inline>
        </w:drawing>
      </w:r>
    </w:p>
    <w:p w:rsidR="00F82DBE" w:rsidRPr="00E07F00" w:rsidRDefault="00F82DBE" w:rsidP="00F82DBE">
      <w:pPr>
        <w:spacing w:line="276" w:lineRule="auto"/>
        <w:ind w:right="-1"/>
        <w:jc w:val="both"/>
        <w:outlineLvl w:val="0"/>
        <w:rPr>
          <w:rFonts w:cs="Arial"/>
        </w:rPr>
      </w:pPr>
      <w:r w:rsidRPr="00E07F00">
        <w:rPr>
          <w:rFonts w:cs="Arial"/>
        </w:rPr>
        <w:t xml:space="preserve">Se tuvo una asignación presupuestal de 34,568,177.69, autorizada con el oficio No. 203200-APAD-0002/19, del 9 de enero de 2019, signado por el Subsecretario de Planeación y Presupuesto, para el Programa de Acciones para el Desarrollo (PAD), requeridos para continuar con el programa de Regularización de Tenencia de la Tierra en el Estado de México. </w:t>
      </w:r>
    </w:p>
    <w:p w:rsidR="00F82DBE" w:rsidRPr="00E07F00" w:rsidRDefault="00F82DBE" w:rsidP="00F82DBE">
      <w:pPr>
        <w:spacing w:line="276" w:lineRule="auto"/>
        <w:ind w:right="-1"/>
        <w:jc w:val="center"/>
        <w:outlineLvl w:val="0"/>
        <w:rPr>
          <w:rFonts w:cs="Arial"/>
        </w:rPr>
      </w:pPr>
      <w:r w:rsidRPr="00E07F00">
        <w:rPr>
          <w:noProof/>
          <w:lang w:eastAsia="es-MX"/>
        </w:rPr>
        <w:drawing>
          <wp:inline distT="0" distB="0" distL="0" distR="0" wp14:anchorId="2D5DB267" wp14:editId="7E91EFF5">
            <wp:extent cx="4996481" cy="2381194"/>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6481" cy="2381194"/>
                    </a:xfrm>
                    <a:prstGeom prst="rect">
                      <a:avLst/>
                    </a:prstGeom>
                    <a:noFill/>
                    <a:ln>
                      <a:noFill/>
                    </a:ln>
                  </pic:spPr>
                </pic:pic>
              </a:graphicData>
            </a:graphic>
          </wp:inline>
        </w:drawing>
      </w:r>
      <w:r w:rsidRPr="00E07F00">
        <w:rPr>
          <w:rFonts w:cs="Arial"/>
        </w:rPr>
        <w:br w:type="page"/>
      </w:r>
    </w:p>
    <w:p w:rsidR="00F82DBE" w:rsidRDefault="00F82DBE" w:rsidP="00F82DBE">
      <w:pPr>
        <w:tabs>
          <w:tab w:val="left" w:pos="488"/>
        </w:tabs>
        <w:spacing w:line="276" w:lineRule="auto"/>
        <w:ind w:right="-1"/>
        <w:outlineLvl w:val="0"/>
      </w:pPr>
      <w:r w:rsidRPr="00E07F00">
        <w:t>El presupuesto se ha modificado para el Ejercicio 2019, de acuerdo con las siguientes adecuaciones:</w:t>
      </w:r>
    </w:p>
    <w:p w:rsidR="00F82DBE" w:rsidRPr="00E07F00" w:rsidRDefault="00F82DBE" w:rsidP="00F82DBE">
      <w:pPr>
        <w:tabs>
          <w:tab w:val="left" w:pos="488"/>
        </w:tabs>
        <w:spacing w:line="276" w:lineRule="auto"/>
        <w:ind w:right="-1"/>
        <w:outlineLvl w:val="0"/>
      </w:pPr>
      <w:r w:rsidRPr="005D49B5">
        <w:rPr>
          <w:noProof/>
          <w:lang w:eastAsia="es-MX"/>
        </w:rPr>
        <w:drawing>
          <wp:inline distT="0" distB="0" distL="0" distR="0" wp14:anchorId="3FAF8257" wp14:editId="4B2812A8">
            <wp:extent cx="6389370" cy="2835673"/>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9370" cy="2835673"/>
                    </a:xfrm>
                    <a:prstGeom prst="rect">
                      <a:avLst/>
                    </a:prstGeom>
                    <a:noFill/>
                    <a:ln>
                      <a:noFill/>
                    </a:ln>
                  </pic:spPr>
                </pic:pic>
              </a:graphicData>
            </a:graphic>
          </wp:inline>
        </w:drawing>
      </w:r>
    </w:p>
    <w:p w:rsidR="00F82DBE" w:rsidRDefault="00F82DBE" w:rsidP="00F82DBE">
      <w:pPr>
        <w:tabs>
          <w:tab w:val="left" w:pos="488"/>
        </w:tabs>
        <w:spacing w:line="276" w:lineRule="auto"/>
        <w:ind w:right="-1"/>
        <w:outlineLvl w:val="0"/>
        <w:rPr>
          <w:b/>
        </w:rPr>
      </w:pPr>
      <w:r w:rsidRPr="00E07F00">
        <w:rPr>
          <w:b/>
        </w:rPr>
        <w:t>Estado Comparativo del Ejercicio del Presupuesto de Egresos:</w:t>
      </w:r>
    </w:p>
    <w:p w:rsidR="00F82DBE" w:rsidRDefault="00F82DBE" w:rsidP="00F82DBE">
      <w:pPr>
        <w:tabs>
          <w:tab w:val="left" w:pos="488"/>
        </w:tabs>
        <w:spacing w:line="276" w:lineRule="auto"/>
        <w:ind w:right="-1"/>
        <w:outlineLvl w:val="0"/>
        <w:rPr>
          <w:b/>
        </w:rPr>
      </w:pPr>
      <w:r w:rsidRPr="005A6382">
        <w:rPr>
          <w:noProof/>
          <w:lang w:eastAsia="es-MX"/>
        </w:rPr>
        <w:drawing>
          <wp:inline distT="0" distB="0" distL="0" distR="0" wp14:anchorId="5B6082B5" wp14:editId="20834521">
            <wp:extent cx="6389370" cy="1805940"/>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9370" cy="1805940"/>
                    </a:xfrm>
                    <a:prstGeom prst="rect">
                      <a:avLst/>
                    </a:prstGeom>
                    <a:noFill/>
                    <a:ln>
                      <a:noFill/>
                    </a:ln>
                  </pic:spPr>
                </pic:pic>
              </a:graphicData>
            </a:graphic>
          </wp:inline>
        </w:drawing>
      </w:r>
    </w:p>
    <w:p w:rsidR="00F82DBE" w:rsidRPr="00E07F00" w:rsidRDefault="00F82DBE" w:rsidP="00F82DBE">
      <w:pPr>
        <w:tabs>
          <w:tab w:val="left" w:pos="488"/>
        </w:tabs>
        <w:spacing w:line="276" w:lineRule="auto"/>
        <w:ind w:right="-1"/>
        <w:jc w:val="both"/>
        <w:outlineLvl w:val="0"/>
        <w:rPr>
          <w:rFonts w:cs="Arial"/>
        </w:rPr>
      </w:pPr>
      <w:r w:rsidRPr="00E07F00">
        <w:rPr>
          <w:rFonts w:cs="Arial"/>
        </w:rPr>
        <w:t>El presupuesto de egresos aprobado modificado anual fue de 1,919,229,732.00, el presupu</w:t>
      </w:r>
      <w:r>
        <w:rPr>
          <w:rFonts w:cs="Arial"/>
        </w:rPr>
        <w:t>esto modificado al mes es de 1,425,752,515.19</w:t>
      </w:r>
      <w:r w:rsidRPr="00E07F00">
        <w:rPr>
          <w:rFonts w:cs="Arial"/>
        </w:rPr>
        <w:t xml:space="preserve"> y se ha ejercido al mes que se analiza la cantidad de </w:t>
      </w:r>
      <w:r>
        <w:rPr>
          <w:rFonts w:cs="Arial"/>
        </w:rPr>
        <w:t>1,110,187,467.75</w:t>
      </w:r>
      <w:r w:rsidRPr="00E07F00">
        <w:rPr>
          <w:rFonts w:cs="Arial"/>
        </w:rPr>
        <w:t>, por lo tanto, se observa una variación contra el presupue</w:t>
      </w:r>
      <w:r>
        <w:rPr>
          <w:rFonts w:cs="Arial"/>
        </w:rPr>
        <w:t>sto modificado autorizado de 315</w:t>
      </w:r>
      <w:r w:rsidRPr="00E07F00">
        <w:rPr>
          <w:rFonts w:cs="Arial"/>
        </w:rPr>
        <w:t>,</w:t>
      </w:r>
      <w:r>
        <w:rPr>
          <w:rFonts w:cs="Arial"/>
        </w:rPr>
        <w:t>565</w:t>
      </w:r>
      <w:r w:rsidRPr="00E07F00">
        <w:rPr>
          <w:rFonts w:cs="Arial"/>
        </w:rPr>
        <w:t>,</w:t>
      </w:r>
      <w:r>
        <w:rPr>
          <w:rFonts w:cs="Arial"/>
        </w:rPr>
        <w:t>047</w:t>
      </w:r>
      <w:r w:rsidRPr="00E07F00">
        <w:rPr>
          <w:rFonts w:cs="Arial"/>
        </w:rPr>
        <w:t>.</w:t>
      </w:r>
      <w:r>
        <w:rPr>
          <w:rFonts w:cs="Arial"/>
        </w:rPr>
        <w:t>44</w:t>
      </w:r>
      <w:r w:rsidRPr="00E07F00">
        <w:rPr>
          <w:rFonts w:cs="Arial"/>
        </w:rPr>
        <w:t>, principalmente por lo siguiente:</w:t>
      </w:r>
    </w:p>
    <w:p w:rsidR="00F82DBE" w:rsidRPr="00E07F00" w:rsidRDefault="00F82DBE" w:rsidP="00F82DBE">
      <w:pPr>
        <w:spacing w:line="276" w:lineRule="auto"/>
        <w:ind w:right="-1"/>
        <w:jc w:val="both"/>
        <w:rPr>
          <w:rFonts w:cs="Arial"/>
        </w:rPr>
      </w:pPr>
      <w:r w:rsidRPr="00E07F00">
        <w:rPr>
          <w:rFonts w:cs="Arial"/>
          <w:b/>
        </w:rPr>
        <w:t>En el Capítulo 1000 “Servicios Personales</w:t>
      </w:r>
      <w:r w:rsidRPr="00E07F00">
        <w:rPr>
          <w:rFonts w:cs="Arial"/>
        </w:rPr>
        <w:t>”.</w:t>
      </w:r>
      <w:r w:rsidRPr="00E07F00">
        <w:rPr>
          <w:rFonts w:cs="Arial"/>
          <w:b/>
        </w:rPr>
        <w:t xml:space="preserve"> -</w:t>
      </w:r>
      <w:r w:rsidRPr="00E07F00">
        <w:rPr>
          <w:rFonts w:cs="Arial"/>
        </w:rPr>
        <w:t xml:space="preserve"> </w:t>
      </w:r>
      <w:r w:rsidRPr="00BF7FCC">
        <w:rPr>
          <w:rFonts w:cs="Arial"/>
        </w:rPr>
        <w:t>El subejercicio mensual obedece a los movimientos de personal por bajas de servidores públicos, cuyas plazas se encontraban presupuestadas con el rango más alto, y por consiguiente impacta en el subejercicio acumulado.</w:t>
      </w:r>
    </w:p>
    <w:p w:rsidR="00F82DBE" w:rsidRPr="00E07F00" w:rsidRDefault="00F82DBE" w:rsidP="00F82DBE">
      <w:pPr>
        <w:spacing w:line="276" w:lineRule="auto"/>
        <w:ind w:right="-1"/>
        <w:jc w:val="both"/>
        <w:rPr>
          <w:rFonts w:cs="Arial"/>
        </w:rPr>
      </w:pPr>
      <w:r w:rsidRPr="00E07F00">
        <w:rPr>
          <w:rFonts w:cs="Arial"/>
          <w:b/>
        </w:rPr>
        <w:t xml:space="preserve">En el Capítulo 2000 “Materiales y Suministros”. - </w:t>
      </w:r>
      <w:r w:rsidRPr="00BF7FCC">
        <w:rPr>
          <w:rFonts w:cs="Arial"/>
        </w:rPr>
        <w:t>El subejercicio mensual obedece a que se encuentra en proceso la substanciación de algunos procedimientos adquisitivos correspondiente al segundo cuatrimestre y por consiguiente impacta en el subejercicio acumulado.</w:t>
      </w:r>
    </w:p>
    <w:p w:rsidR="00F82DBE" w:rsidRPr="00E07F00" w:rsidRDefault="00F82DBE" w:rsidP="00F82DBE">
      <w:pPr>
        <w:spacing w:line="276" w:lineRule="auto"/>
        <w:ind w:right="-1"/>
        <w:jc w:val="both"/>
        <w:rPr>
          <w:rFonts w:cs="Arial"/>
        </w:rPr>
      </w:pPr>
      <w:r w:rsidRPr="00E07F00">
        <w:rPr>
          <w:rFonts w:cs="Arial"/>
          <w:b/>
        </w:rPr>
        <w:t>En el Capítulo 3000 “Servicios Generales”. -</w:t>
      </w:r>
      <w:r w:rsidRPr="00E07F00">
        <w:rPr>
          <w:rFonts w:cs="Arial"/>
        </w:rPr>
        <w:t xml:space="preserve"> El subejercicio mensual obedece a que se encuentra en proceso la contratación de servicios que fortalecerán la infraestructura tecnológica de este Instituto.</w:t>
      </w:r>
    </w:p>
    <w:p w:rsidR="00F82DBE" w:rsidRPr="00E07F00" w:rsidRDefault="00F82DBE" w:rsidP="00F82DBE">
      <w:pPr>
        <w:spacing w:line="276" w:lineRule="auto"/>
        <w:ind w:right="-1"/>
        <w:jc w:val="both"/>
        <w:rPr>
          <w:rFonts w:cs="Arial"/>
          <w:b/>
        </w:rPr>
      </w:pPr>
      <w:r w:rsidRPr="00E07F00">
        <w:rPr>
          <w:rFonts w:cs="Arial"/>
          <w:b/>
        </w:rPr>
        <w:t xml:space="preserve">En el Capítulo 4000 “Transferencias, Asignaciones, Subsidios y Otras Ayudas”.- </w:t>
      </w:r>
      <w:r w:rsidRPr="00BF7FCC">
        <w:rPr>
          <w:rFonts w:cs="Arial"/>
        </w:rPr>
        <w:t>El subejercicio mensual en el capítulo “Transferencias, asignaciones, subsidios y otras ayudas”, resulta de la diferencia entre los ingresos transferidos al Fiduciario durante el mes y el importe presupuestado para el concepto en cita, por lo que los remanentes son reprogramados a los siguientes meses, con la finalidad de contar con el presupuesto suficiente para estar en condiciones de registrar las transferencias de los derechos recaudados por los servicios registrales que percibe este Instituto, al Fiduciario.</w:t>
      </w:r>
    </w:p>
    <w:p w:rsidR="00F82DBE" w:rsidRPr="00E07F00" w:rsidRDefault="00F82DBE" w:rsidP="00F82DBE">
      <w:pPr>
        <w:spacing w:line="276" w:lineRule="auto"/>
        <w:ind w:right="-1"/>
        <w:jc w:val="both"/>
        <w:rPr>
          <w:rFonts w:cs="Arial"/>
        </w:rPr>
      </w:pPr>
      <w:r w:rsidRPr="00E07F00">
        <w:rPr>
          <w:rFonts w:cs="Arial"/>
          <w:b/>
        </w:rPr>
        <w:t xml:space="preserve">En el Capítulo 5000 “Bienes Muebles, Inmuebles e Intangibles”. - </w:t>
      </w:r>
      <w:r w:rsidRPr="00E07F00">
        <w:rPr>
          <w:rFonts w:cs="Arial"/>
        </w:rPr>
        <w:t>El subejercicio mensual y acumulado corresponde a los recursos federales que se encuentran pendientes de autorizarse por parte de la SEDATU.</w:t>
      </w:r>
    </w:p>
    <w:p w:rsidR="00F82DBE" w:rsidRPr="00E07F00" w:rsidRDefault="00F82DBE" w:rsidP="00F82DBE">
      <w:pPr>
        <w:spacing w:line="276" w:lineRule="auto"/>
        <w:ind w:right="-1"/>
        <w:jc w:val="both"/>
        <w:rPr>
          <w:rFonts w:eastAsia="Times New Roman" w:cs="Arial"/>
          <w:b/>
          <w:lang w:eastAsia="es-MX"/>
        </w:rPr>
      </w:pPr>
      <w:r w:rsidRPr="00E07F00">
        <w:rPr>
          <w:rFonts w:cs="Arial"/>
          <w:b/>
        </w:rPr>
        <w:t>En el Capítulo 9000 “Deuda Pública”. -</w:t>
      </w:r>
      <w:r w:rsidRPr="00E07F00">
        <w:t xml:space="preserve"> El subejercicio obtenido en el capítulo de “Deuda Pública”, obedece a recursos destinados al pago de ADEFAS pendientes de liquidar.</w:t>
      </w:r>
    </w:p>
    <w:p w:rsidR="00F82DBE" w:rsidRPr="00E07F00" w:rsidRDefault="00F82DBE" w:rsidP="00F82DBE">
      <w:pPr>
        <w:numPr>
          <w:ilvl w:val="0"/>
          <w:numId w:val="5"/>
        </w:numPr>
        <w:tabs>
          <w:tab w:val="left" w:pos="3836"/>
        </w:tabs>
        <w:spacing w:after="240" w:line="276" w:lineRule="auto"/>
        <w:ind w:left="714" w:right="-1" w:hanging="357"/>
        <w:contextualSpacing/>
        <w:outlineLvl w:val="0"/>
        <w:rPr>
          <w:rFonts w:eastAsia="Times New Roman" w:cs="Arial"/>
          <w:b/>
          <w:lang w:eastAsia="es-MX"/>
        </w:rPr>
      </w:pPr>
      <w:r w:rsidRPr="00E07F00">
        <w:rPr>
          <w:rFonts w:eastAsia="Times New Roman" w:cs="Arial"/>
          <w:b/>
          <w:lang w:eastAsia="es-MX"/>
        </w:rPr>
        <w:t>NOTAS DE GESTIÓN ADMINISTRATIVA</w:t>
      </w:r>
    </w:p>
    <w:p w:rsidR="00F82DBE" w:rsidRPr="00E07F00" w:rsidRDefault="00F82DBE" w:rsidP="00F82DBE">
      <w:pPr>
        <w:tabs>
          <w:tab w:val="left" w:pos="3836"/>
        </w:tabs>
        <w:spacing w:after="240" w:line="276" w:lineRule="auto"/>
        <w:ind w:left="714" w:right="-1"/>
        <w:contextualSpacing/>
        <w:outlineLvl w:val="0"/>
        <w:rPr>
          <w:rFonts w:eastAsia="Times New Roman" w:cs="Arial"/>
          <w:b/>
          <w:lang w:eastAsia="es-MX"/>
        </w:rPr>
      </w:pPr>
    </w:p>
    <w:p w:rsidR="00F82DBE" w:rsidRPr="007B52E3" w:rsidRDefault="00F82DBE" w:rsidP="00F82DBE">
      <w:pPr>
        <w:spacing w:line="276" w:lineRule="auto"/>
        <w:ind w:right="-1"/>
        <w:jc w:val="both"/>
      </w:pPr>
      <w:r w:rsidRPr="007B52E3">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rsidR="00F82DBE" w:rsidRPr="007B52E3" w:rsidRDefault="00F82DBE" w:rsidP="00F82DBE">
      <w:pPr>
        <w:spacing w:line="276" w:lineRule="auto"/>
        <w:ind w:right="-1"/>
        <w:jc w:val="both"/>
        <w:rPr>
          <w:sz w:val="2"/>
        </w:rPr>
      </w:pPr>
    </w:p>
    <w:p w:rsidR="00F82DBE" w:rsidRPr="007B52E3" w:rsidRDefault="00F82DBE" w:rsidP="00F82DBE">
      <w:pPr>
        <w:spacing w:line="276" w:lineRule="auto"/>
        <w:ind w:right="-1"/>
        <w:jc w:val="both"/>
      </w:pPr>
      <w:r w:rsidRPr="007B52E3">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82DBE" w:rsidRPr="007B52E3" w:rsidRDefault="00F82DBE" w:rsidP="00F82DBE">
      <w:pPr>
        <w:numPr>
          <w:ilvl w:val="0"/>
          <w:numId w:val="9"/>
        </w:numPr>
        <w:spacing w:after="0" w:line="276" w:lineRule="auto"/>
        <w:ind w:left="851" w:right="-1"/>
        <w:contextualSpacing/>
        <w:rPr>
          <w:rFonts w:eastAsia="Times New Roman" w:cs="Arial"/>
          <w:b/>
          <w:lang w:eastAsia="es-MX"/>
        </w:rPr>
      </w:pPr>
      <w:r w:rsidRPr="007B52E3">
        <w:rPr>
          <w:rFonts w:eastAsia="Times New Roman" w:cs="Times New Roman"/>
          <w:b/>
          <w:lang w:eastAsia="es-MX"/>
        </w:rPr>
        <w:t>Introducción</w:t>
      </w:r>
    </w:p>
    <w:p w:rsidR="00F82DBE" w:rsidRPr="00E07F00" w:rsidRDefault="00F82DBE" w:rsidP="00F82DBE">
      <w:pPr>
        <w:spacing w:before="240" w:line="276" w:lineRule="auto"/>
        <w:ind w:right="-1"/>
        <w:jc w:val="both"/>
      </w:pPr>
      <w:r w:rsidRPr="00E07F00">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F82DBE" w:rsidRPr="00E07F00" w:rsidRDefault="00F82DBE" w:rsidP="00F82DBE">
      <w:pPr>
        <w:spacing w:line="276" w:lineRule="auto"/>
        <w:ind w:right="-1"/>
        <w:jc w:val="both"/>
      </w:pPr>
      <w:r w:rsidRPr="00E07F00">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rsidR="00F82DBE" w:rsidRPr="00E07F00" w:rsidRDefault="00F82DBE" w:rsidP="00F82DBE">
      <w:pPr>
        <w:spacing w:line="276" w:lineRule="auto"/>
        <w:ind w:right="-1"/>
        <w:jc w:val="both"/>
      </w:pPr>
      <w:r w:rsidRPr="00E07F00">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rsidR="00F82DBE" w:rsidRDefault="00F82DBE" w:rsidP="00F82DBE">
      <w:pPr>
        <w:spacing w:line="276" w:lineRule="auto"/>
        <w:ind w:right="-1"/>
        <w:jc w:val="both"/>
      </w:pPr>
      <w:r w:rsidRPr="00E07F00">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p>
    <w:p w:rsidR="00F82DBE" w:rsidRPr="00E07F00" w:rsidRDefault="00F82DBE" w:rsidP="00F82DBE">
      <w:pPr>
        <w:spacing w:line="276" w:lineRule="auto"/>
        <w:ind w:right="-1"/>
        <w:jc w:val="both"/>
      </w:pPr>
    </w:p>
    <w:p w:rsidR="00F82DBE" w:rsidRPr="00E07F00" w:rsidRDefault="00F82DBE" w:rsidP="00F82DBE">
      <w:pPr>
        <w:numPr>
          <w:ilvl w:val="0"/>
          <w:numId w:val="9"/>
        </w:numPr>
        <w:spacing w:after="0" w:line="276" w:lineRule="auto"/>
        <w:ind w:left="851" w:right="-1"/>
        <w:contextualSpacing/>
        <w:rPr>
          <w:rFonts w:eastAsia="Times New Roman" w:cs="Times New Roman"/>
          <w:b/>
          <w:lang w:eastAsia="es-MX"/>
        </w:rPr>
      </w:pPr>
      <w:r w:rsidRPr="00E07F00">
        <w:rPr>
          <w:rFonts w:eastAsia="Times New Roman" w:cs="Times New Roman"/>
          <w:b/>
          <w:lang w:eastAsia="es-MX"/>
        </w:rPr>
        <w:t>Panorama Económico y Financiero</w:t>
      </w:r>
    </w:p>
    <w:p w:rsidR="00F82DBE" w:rsidRDefault="00F82DBE" w:rsidP="00F82DBE">
      <w:pPr>
        <w:spacing w:after="101" w:line="276" w:lineRule="auto"/>
        <w:ind w:right="-1"/>
        <w:jc w:val="both"/>
        <w:rPr>
          <w:rFonts w:eastAsia="Times New Roman" w:cs="Arial"/>
          <w:lang w:val="es-ES" w:eastAsia="es-ES"/>
        </w:rPr>
      </w:pPr>
      <w:r w:rsidRPr="00E07F00">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rsidR="00F82DBE" w:rsidRPr="00E07F00" w:rsidRDefault="00F82DBE" w:rsidP="00F82DBE">
      <w:pPr>
        <w:spacing w:after="101" w:line="276" w:lineRule="auto"/>
        <w:ind w:right="-1"/>
        <w:jc w:val="both"/>
        <w:rPr>
          <w:rFonts w:eastAsia="Times New Roman" w:cs="Arial"/>
          <w:lang w:val="es-ES" w:eastAsia="es-ES"/>
        </w:rPr>
      </w:pPr>
    </w:p>
    <w:p w:rsidR="00F82DBE" w:rsidRPr="00E07F00" w:rsidRDefault="00F82DBE" w:rsidP="00F82DBE">
      <w:pPr>
        <w:numPr>
          <w:ilvl w:val="0"/>
          <w:numId w:val="9"/>
        </w:numPr>
        <w:spacing w:after="0" w:line="276" w:lineRule="auto"/>
        <w:ind w:left="851" w:right="-1"/>
        <w:contextualSpacing/>
        <w:rPr>
          <w:rFonts w:eastAsia="Times New Roman" w:cs="Times New Roman"/>
          <w:b/>
          <w:lang w:eastAsia="es-MX"/>
        </w:rPr>
      </w:pPr>
      <w:r w:rsidRPr="00E07F00">
        <w:rPr>
          <w:rFonts w:eastAsia="Times New Roman" w:cs="Times New Roman"/>
          <w:b/>
          <w:lang w:eastAsia="es-MX"/>
        </w:rPr>
        <w:t>Autorización e Historia</w:t>
      </w:r>
    </w:p>
    <w:p w:rsidR="00F82DBE" w:rsidRPr="00E07F00" w:rsidRDefault="00F82DBE" w:rsidP="00F82DBE">
      <w:pPr>
        <w:spacing w:line="276" w:lineRule="auto"/>
        <w:ind w:right="-1"/>
        <w:jc w:val="both"/>
      </w:pPr>
      <w:r w:rsidRPr="00E07F00">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F82DBE" w:rsidRPr="00E07F00" w:rsidRDefault="00F82DBE" w:rsidP="00F82DBE">
      <w:pPr>
        <w:spacing w:line="276" w:lineRule="auto"/>
        <w:ind w:right="-1"/>
        <w:jc w:val="both"/>
      </w:pPr>
      <w:r w:rsidRPr="00E07F00">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rsidR="00F82DBE" w:rsidRPr="00E07F00" w:rsidRDefault="00F82DBE" w:rsidP="00F82DBE">
      <w:pPr>
        <w:spacing w:line="276" w:lineRule="auto"/>
        <w:ind w:right="-1"/>
        <w:jc w:val="both"/>
      </w:pPr>
      <w:r w:rsidRPr="00E07F00">
        <w:t>Asimismo, se subrogaron al Instituto de la Función Registral del Estado de México, los derechos y obligaciones de la Dirección General del Registro Público de la Propiedad de la Secretaría General de Gobierno.</w:t>
      </w:r>
    </w:p>
    <w:p w:rsidR="00F82DBE" w:rsidRPr="00E07F00" w:rsidRDefault="00F82DBE" w:rsidP="00F82DBE">
      <w:pPr>
        <w:spacing w:line="276" w:lineRule="auto"/>
        <w:ind w:right="-1"/>
        <w:jc w:val="both"/>
      </w:pPr>
      <w:r w:rsidRPr="00E07F00">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rsidR="00F82DBE" w:rsidRPr="00E07F00" w:rsidRDefault="00F82DBE" w:rsidP="00F82DBE">
      <w:pPr>
        <w:spacing w:line="276" w:lineRule="auto"/>
        <w:ind w:right="-1"/>
        <w:jc w:val="both"/>
      </w:pPr>
      <w:r w:rsidRPr="00E07F00">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F82DBE" w:rsidRPr="00E07F00" w:rsidRDefault="00F82DBE" w:rsidP="00F82DBE">
      <w:pPr>
        <w:spacing w:line="276" w:lineRule="auto"/>
        <w:ind w:right="-1"/>
        <w:jc w:val="both"/>
      </w:pPr>
      <w:r w:rsidRPr="00E07F00">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 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rsidR="00F82DBE" w:rsidRPr="00E07F00" w:rsidRDefault="00F82DBE" w:rsidP="00F82DBE">
      <w:pPr>
        <w:spacing w:line="276" w:lineRule="auto"/>
        <w:ind w:right="-1"/>
        <w:jc w:val="both"/>
      </w:pPr>
      <w:r w:rsidRPr="00E07F00">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rsidR="00F82DBE" w:rsidRPr="00E07F00" w:rsidRDefault="00F82DBE" w:rsidP="00F82DBE">
      <w:pPr>
        <w:spacing w:line="276" w:lineRule="auto"/>
        <w:ind w:right="-1"/>
        <w:jc w:val="both"/>
      </w:pPr>
      <w:r w:rsidRPr="00E07F00">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rsidR="00F82DBE" w:rsidRPr="00E07F00" w:rsidRDefault="00F82DBE" w:rsidP="00F82DBE">
      <w:pPr>
        <w:spacing w:line="276" w:lineRule="auto"/>
        <w:ind w:right="-1"/>
        <w:jc w:val="both"/>
      </w:pPr>
      <w:r w:rsidRPr="00E07F00">
        <w:t>El 13 de septiembre de 2017, se publicó en el periódico oficial "Gaceta del Gobierno" el Decreto No. 244 por el que se reforman diversas disposiciones, entre otras, la Ley que Crea el Organismo Público Descentralizado 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rsidR="00F82DBE" w:rsidRPr="00E07F00" w:rsidRDefault="00F82DBE" w:rsidP="00F82DBE">
      <w:pPr>
        <w:spacing w:line="276" w:lineRule="auto"/>
        <w:ind w:left="360" w:right="-1"/>
        <w:jc w:val="both"/>
        <w:rPr>
          <w:b/>
        </w:rPr>
      </w:pPr>
      <w:r w:rsidRPr="00E07F00">
        <w:rPr>
          <w:b/>
        </w:rPr>
        <w:t>4.</w:t>
      </w:r>
      <w:r w:rsidRPr="00E07F00">
        <w:rPr>
          <w:b/>
        </w:rPr>
        <w:tab/>
        <w:t>Organización y Objeto Social</w:t>
      </w:r>
    </w:p>
    <w:p w:rsidR="00F82DBE" w:rsidRPr="00E07F00" w:rsidRDefault="00F82DBE" w:rsidP="00F82DBE">
      <w:pPr>
        <w:spacing w:after="0" w:line="276" w:lineRule="auto"/>
        <w:ind w:right="-1"/>
        <w:jc w:val="both"/>
        <w:rPr>
          <w:rFonts w:eastAsia="Times New Roman" w:cs="Arial"/>
          <w:lang w:val="es-ES" w:eastAsia="es-ES"/>
        </w:rPr>
      </w:pPr>
      <w:r w:rsidRPr="00E07F00">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F82DBE" w:rsidRDefault="00F82DBE" w:rsidP="00F82DBE">
      <w:pPr>
        <w:spacing w:line="276" w:lineRule="auto"/>
        <w:ind w:right="-1"/>
        <w:jc w:val="both"/>
      </w:pPr>
      <w:r w:rsidRPr="00E07F00">
        <w:t xml:space="preserve">Actualmente, el Instituto de la Función Registral del Estado de México cuenta con una estructura orgánica autorizada por la Secretaría de Finanzas en mayo de 2013 integrada por 50 unidades administrativas (una </w:t>
      </w:r>
    </w:p>
    <w:p w:rsidR="00F82DBE" w:rsidRPr="00975D4B" w:rsidRDefault="00F82DBE" w:rsidP="00F82DBE">
      <w:pPr>
        <w:spacing w:line="276" w:lineRule="auto"/>
        <w:ind w:right="-1"/>
        <w:jc w:val="both"/>
        <w:rPr>
          <w:rFonts w:eastAsia="Times New Roman" w:cs="Arial"/>
          <w:lang w:val="es-ES" w:eastAsia="es-ES"/>
        </w:rPr>
      </w:pPr>
      <w:r w:rsidRPr="00E07F00">
        <w:t xml:space="preserve">Dirección General, cinco Direcciones de Área, nueve Subdirecciones y 35 Departamentos). El organigrama se puede consultar en la siguiente liga: </w:t>
      </w:r>
      <w:hyperlink r:id="rId22" w:history="1">
        <w:r w:rsidRPr="00E07F00">
          <w:rPr>
            <w:color w:val="0000FF"/>
            <w:u w:val="single"/>
          </w:rPr>
          <w:t>http://ifrem.edomex.gob.mx/organigrama</w:t>
        </w:r>
      </w:hyperlink>
      <w:r w:rsidRPr="00E07F00">
        <w:t xml:space="preserve">. </w:t>
      </w:r>
      <w:r w:rsidRPr="00E07F00">
        <w:rPr>
          <w:rFonts w:eastAsia="Times New Roman" w:cs="Arial"/>
          <w:lang w:val="es-ES" w:eastAsia="es-ES"/>
        </w:rPr>
        <w:t>El Instituto,</w:t>
      </w:r>
      <w:r w:rsidRPr="00E07F00">
        <w:rPr>
          <w:rFonts w:eastAsia="Times New Roman" w:cs="CenturyGothic"/>
          <w:lang w:val="es-ES" w:eastAsia="es-ES"/>
        </w:rPr>
        <w:t xml:space="preserve"> p</w:t>
      </w:r>
      <w:r w:rsidRPr="00E07F00">
        <w:rPr>
          <w:rFonts w:eastAsia="Times New Roman" w:cs="Arial"/>
          <w:lang w:val="es-ES" w:eastAsia="es-ES"/>
        </w:rPr>
        <w:t>ara el cumplimiento de su objeto, tendrá las atribuciones que se mencionan en su Decreto de creación publicado en el periódico oficial Gaceta del Gobierno.</w:t>
      </w:r>
    </w:p>
    <w:p w:rsidR="00F82DBE" w:rsidRPr="00E07F00" w:rsidRDefault="00F82DBE" w:rsidP="00F82DBE">
      <w:pPr>
        <w:numPr>
          <w:ilvl w:val="0"/>
          <w:numId w:val="10"/>
        </w:numPr>
        <w:spacing w:after="240" w:line="276" w:lineRule="auto"/>
        <w:ind w:right="-1"/>
        <w:contextualSpacing/>
        <w:jc w:val="both"/>
        <w:rPr>
          <w:rFonts w:eastAsia="Times New Roman" w:cs="Times New Roman"/>
          <w:lang w:eastAsia="es-MX"/>
        </w:rPr>
      </w:pPr>
      <w:r w:rsidRPr="00E07F00">
        <w:rPr>
          <w:rFonts w:eastAsia="Times New Roman" w:cs="Times New Roman"/>
          <w:b/>
          <w:lang w:eastAsia="es-MX"/>
        </w:rPr>
        <w:t>Bases de preparación de los Estados Financieros</w:t>
      </w:r>
    </w:p>
    <w:p w:rsidR="00F82DBE" w:rsidRPr="00E07F00" w:rsidRDefault="00F82DBE" w:rsidP="00F82DBE">
      <w:pPr>
        <w:spacing w:after="240" w:line="276" w:lineRule="auto"/>
        <w:ind w:left="284" w:right="-1"/>
        <w:contextualSpacing/>
        <w:jc w:val="both"/>
        <w:rPr>
          <w:rFonts w:eastAsia="Times New Roman" w:cs="Times New Roman"/>
          <w:sz w:val="6"/>
          <w:lang w:eastAsia="es-MX"/>
        </w:rPr>
      </w:pPr>
    </w:p>
    <w:p w:rsidR="00F82DBE" w:rsidRPr="00E07F00" w:rsidRDefault="00F82DBE" w:rsidP="00F82DBE">
      <w:pPr>
        <w:spacing w:after="101" w:line="276" w:lineRule="auto"/>
        <w:ind w:right="-1"/>
        <w:jc w:val="both"/>
        <w:rPr>
          <w:rFonts w:eastAsia="Times New Roman" w:cs="Arial"/>
          <w:lang w:val="es-ES" w:eastAsia="es-ES"/>
        </w:rPr>
      </w:pPr>
      <w:r w:rsidRPr="00E07F00">
        <w:rPr>
          <w:rFonts w:eastAsia="Times New Roman" w:cs="Arial"/>
          <w:lang w:val="es-ES" w:eastAsia="es-ES"/>
        </w:rPr>
        <w:t xml:space="preserve">Los Estados Financieros que se acompañan, fueron preparados observando la normatividad emitida por el CONAC y las disposiciones legales aplicables, con base en el Manual Único de Contabilidad Gubernamental para las Dependencias y Entidades del Gobierno y Municipios del </w:t>
      </w:r>
      <w:r>
        <w:rPr>
          <w:rFonts w:eastAsia="Times New Roman" w:cs="Arial"/>
          <w:lang w:val="es-ES" w:eastAsia="es-ES"/>
        </w:rPr>
        <w:t>Estado de México, (Decimoctava</w:t>
      </w:r>
      <w:r w:rsidRPr="00E07F00">
        <w:rPr>
          <w:rFonts w:eastAsia="Times New Roman" w:cs="Arial"/>
          <w:lang w:val="es-ES" w:eastAsia="es-ES"/>
        </w:rPr>
        <w:t xml:space="preserve"> Edición)</w:t>
      </w:r>
      <w:r>
        <w:rPr>
          <w:rFonts w:eastAsia="Times New Roman" w:cs="Arial"/>
          <w:lang w:val="es-ES" w:eastAsia="es-ES"/>
        </w:rPr>
        <w:t xml:space="preserve"> 2019</w:t>
      </w:r>
      <w:r w:rsidRPr="00E07F00">
        <w:rPr>
          <w:rFonts w:eastAsia="Times New Roman" w:cs="Arial"/>
          <w:lang w:val="es-ES" w:eastAsia="es-ES"/>
        </w:rPr>
        <w:t>, para el presente ejercicio fiscal, publicado en la “</w:t>
      </w:r>
      <w:r>
        <w:rPr>
          <w:rFonts w:eastAsia="Times New Roman" w:cs="Arial"/>
          <w:lang w:val="es-ES" w:eastAsia="es-ES"/>
        </w:rPr>
        <w:t>Gaceta del Gobierno” el lunes 31 de mayo de 2019</w:t>
      </w:r>
      <w:r w:rsidRPr="00E07F00">
        <w:rPr>
          <w:rFonts w:eastAsia="Times New Roman" w:cs="Arial"/>
          <w:lang w:val="es-ES" w:eastAsia="es-ES"/>
        </w:rPr>
        <w:t>, aplicable a los Organismos Auxiliares del Gobierno del Estado de México, para efectos de la Ley para la Coordinación y Control de Organismos Auxiliares.</w:t>
      </w:r>
    </w:p>
    <w:p w:rsidR="00F82DBE" w:rsidRPr="00E07F00" w:rsidRDefault="00F82DBE" w:rsidP="00F82DBE">
      <w:pPr>
        <w:spacing w:line="276" w:lineRule="auto"/>
        <w:ind w:right="-1"/>
        <w:jc w:val="both"/>
      </w:pPr>
      <w:r w:rsidRPr="00E07F00">
        <w:t xml:space="preserve">Con base en dicho manual en este ejercicio se han realizado las </w:t>
      </w:r>
      <w:r w:rsidRPr="00975D4B">
        <w:rPr>
          <w:rFonts w:eastAsia="Times New Roman" w:cs="Arial"/>
          <w:lang w:val="es-ES" w:eastAsia="es-ES"/>
        </w:rPr>
        <w:t>adecuaciones</w:t>
      </w:r>
      <w:r w:rsidRPr="00E07F00">
        <w:t xml:space="preserve"> de presentación necesarias para estas notas. Así mismo </w:t>
      </w:r>
      <w:r w:rsidRPr="00E07F00">
        <w:rPr>
          <w:rFonts w:cs="Arial"/>
          <w:lang w:eastAsia="es-MX"/>
        </w:rPr>
        <w:t>la información se elaboró conforme a las normas, criterios y principios técnicos y las disposiciones legales aplicables, obedeciendo a las mejores prácticas contables,</w:t>
      </w:r>
      <w:r w:rsidRPr="00E07F00">
        <w:t xml:space="preserve"> se incluye lo correspondiente a las normas y lineamientos </w:t>
      </w:r>
      <w:r w:rsidRPr="00E07F00">
        <w:rPr>
          <w:rFonts w:cs="Arial"/>
          <w:lang w:eastAsia="es-MX"/>
        </w:rPr>
        <w:t xml:space="preserve">emitidos por </w:t>
      </w:r>
      <w:r w:rsidRPr="00E07F00">
        <w:t>el Consejo Nacional de Armonización Contable (CONAC)</w:t>
      </w:r>
      <w:r w:rsidRPr="00E07F00">
        <w:rPr>
          <w:rFonts w:cs="Arial"/>
          <w:lang w:eastAsia="es-MX"/>
        </w:rPr>
        <w:t>;</w:t>
      </w:r>
      <w:r w:rsidRPr="00E07F00">
        <w:t xml:space="preserve"> publicados el 13 de octubre de 2014, en el periódico oficial del Gobierno del Estado de México, denominado “Gaceta del Gobierno”.</w:t>
      </w:r>
    </w:p>
    <w:p w:rsidR="00F82DBE" w:rsidRPr="00E07F00" w:rsidRDefault="00F82DBE" w:rsidP="00F82DBE">
      <w:pPr>
        <w:autoSpaceDE w:val="0"/>
        <w:autoSpaceDN w:val="0"/>
        <w:adjustRightInd w:val="0"/>
        <w:spacing w:line="276" w:lineRule="auto"/>
        <w:ind w:right="-1"/>
        <w:jc w:val="both"/>
      </w:pPr>
      <w:r w:rsidRPr="00E07F00">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rsidR="00F82DBE" w:rsidRPr="00E07F00" w:rsidRDefault="00F82DBE" w:rsidP="00F82DBE">
      <w:pPr>
        <w:autoSpaceDE w:val="0"/>
        <w:autoSpaceDN w:val="0"/>
        <w:adjustRightInd w:val="0"/>
        <w:spacing w:line="276" w:lineRule="auto"/>
        <w:ind w:right="-1"/>
        <w:jc w:val="both"/>
        <w:rPr>
          <w:b/>
          <w:bCs/>
        </w:rPr>
      </w:pPr>
      <w:r w:rsidRPr="00E07F00">
        <w:t>El 26 de octubre de 2018, el Consejo Nacional de Armonización Contable con fundamento en los artículos 6, 7, 9 y 14 de la Ley General de Contabilidad Gubernamental, aprobó los siguientes: “</w:t>
      </w:r>
      <w:r w:rsidRPr="00E07F00">
        <w:rPr>
          <w:b/>
          <w:bCs/>
        </w:rPr>
        <w:t xml:space="preserve">Acuerdo por el que se reforman y adicionan las Normas y Metodología para la Determinación de los Momentos Contables de los Ingresos”, </w:t>
      </w:r>
      <w:r w:rsidRPr="00E07F00">
        <w:rPr>
          <w:bCs/>
        </w:rPr>
        <w:t>así como</w:t>
      </w:r>
      <w:r w:rsidRPr="00E07F00">
        <w:rPr>
          <w:b/>
          <w:bCs/>
        </w:rPr>
        <w:t xml:space="preserve">; el Acuerdo por el que se reforma y adiciona el Manual de Contabilidad Gubernamental. </w:t>
      </w:r>
      <w:r w:rsidRPr="00E07F00">
        <w:rPr>
          <w:b/>
          <w:bCs/>
          <w:i/>
          <w:sz w:val="22"/>
        </w:rPr>
        <w:t>“</w:t>
      </w:r>
      <w:r w:rsidRPr="00E07F00">
        <w:rPr>
          <w:i/>
          <w:sz w:val="18"/>
          <w:szCs w:val="16"/>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r w:rsidRPr="00E07F00">
        <w:rPr>
          <w:b/>
          <w:bCs/>
        </w:rPr>
        <w:t>“</w:t>
      </w:r>
    </w:p>
    <w:p w:rsidR="00F82DBE" w:rsidRPr="00E07F00" w:rsidRDefault="00F82DBE" w:rsidP="00F82DBE">
      <w:pPr>
        <w:autoSpaceDE w:val="0"/>
        <w:autoSpaceDN w:val="0"/>
        <w:adjustRightInd w:val="0"/>
        <w:spacing w:line="276" w:lineRule="auto"/>
        <w:ind w:right="-1"/>
        <w:jc w:val="both"/>
        <w:rPr>
          <w:i/>
          <w:sz w:val="18"/>
          <w:szCs w:val="16"/>
        </w:rPr>
      </w:pPr>
      <w:r w:rsidRPr="00E07F00">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E07F00">
        <w:rPr>
          <w:rFonts w:eastAsia="Times New Roman" w:cs="Times New Roman"/>
          <w:b/>
          <w:lang w:eastAsia="es-MX"/>
        </w:rPr>
        <w:t>Políticas de Contabilidad Significativas”.</w:t>
      </w:r>
      <w:r w:rsidRPr="00E07F00">
        <w:rPr>
          <w:rFonts w:cs="Arial"/>
          <w:color w:val="000000"/>
          <w:sz w:val="16"/>
          <w:szCs w:val="16"/>
        </w:rPr>
        <w:t xml:space="preserve"> </w:t>
      </w:r>
      <w:r w:rsidRPr="00E07F00">
        <w:rPr>
          <w:i/>
          <w:sz w:val="18"/>
          <w:szCs w:val="16"/>
        </w:rPr>
        <w:t>Se reforman en los formatos 5 Estado Analítico de Ingresos Detallado – LDF, 7 a) Proyecciones de Ingresos – LDF y 7 c) Resultados de Ingresos – LDF, los incisos G y J de “Ingresos de Libre Disposición” y el inciso D de las “Transferencias Federales Etiquetadas”.</w:t>
      </w:r>
    </w:p>
    <w:p w:rsidR="00F82DBE" w:rsidRPr="00E07F00" w:rsidRDefault="00F82DBE" w:rsidP="00F82DBE">
      <w:pPr>
        <w:autoSpaceDE w:val="0"/>
        <w:autoSpaceDN w:val="0"/>
        <w:adjustRightInd w:val="0"/>
        <w:spacing w:after="240" w:line="276" w:lineRule="auto"/>
        <w:ind w:left="284" w:right="-1"/>
        <w:contextualSpacing/>
        <w:jc w:val="both"/>
        <w:rPr>
          <w:rFonts w:cs="Arial"/>
        </w:rPr>
      </w:pPr>
    </w:p>
    <w:p w:rsidR="00F82DBE" w:rsidRPr="00E07F00" w:rsidRDefault="00F82DBE" w:rsidP="00F82DBE">
      <w:pPr>
        <w:autoSpaceDE w:val="0"/>
        <w:autoSpaceDN w:val="0"/>
        <w:adjustRightInd w:val="0"/>
        <w:spacing w:after="240" w:line="276" w:lineRule="auto"/>
        <w:ind w:left="284" w:right="-1"/>
        <w:contextualSpacing/>
        <w:jc w:val="both"/>
        <w:rPr>
          <w:i/>
          <w:sz w:val="18"/>
          <w:szCs w:val="16"/>
        </w:rPr>
      </w:pPr>
      <w:r w:rsidRPr="00E07F00">
        <w:rPr>
          <w:rFonts w:cs="Arial"/>
          <w:b/>
          <w:bCs/>
        </w:rPr>
        <w:t xml:space="preserve">“Acuerdo por el que se reforma y adiciona el Formato de Conciliación entre los Ingresos Presupuestarios y Contables, así como entre los Egresos Presupuestarios y los Gastos Contables”. </w:t>
      </w:r>
      <w:r w:rsidRPr="00E07F00">
        <w:rPr>
          <w:i/>
          <w:sz w:val="18"/>
          <w:szCs w:val="16"/>
        </w:rPr>
        <w:t>“Se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Total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financieros de donde se obtienen cifras”.</w:t>
      </w:r>
    </w:p>
    <w:p w:rsidR="00F82DBE" w:rsidRPr="00E07F00" w:rsidRDefault="00F82DBE" w:rsidP="00F82DBE">
      <w:pPr>
        <w:autoSpaceDE w:val="0"/>
        <w:autoSpaceDN w:val="0"/>
        <w:adjustRightInd w:val="0"/>
        <w:spacing w:after="240" w:line="276" w:lineRule="auto"/>
        <w:ind w:left="284" w:right="-1"/>
        <w:contextualSpacing/>
        <w:jc w:val="both"/>
        <w:rPr>
          <w:rFonts w:cs="Arial"/>
          <w:b/>
          <w:bCs/>
        </w:rPr>
      </w:pPr>
    </w:p>
    <w:p w:rsidR="00F82DBE" w:rsidRPr="00E07F00" w:rsidRDefault="00F82DBE" w:rsidP="00F82DBE">
      <w:pPr>
        <w:autoSpaceDE w:val="0"/>
        <w:autoSpaceDN w:val="0"/>
        <w:adjustRightInd w:val="0"/>
        <w:spacing w:after="240" w:line="276" w:lineRule="auto"/>
        <w:ind w:left="284" w:right="-1"/>
        <w:contextualSpacing/>
        <w:jc w:val="both"/>
        <w:rPr>
          <w:i/>
          <w:sz w:val="18"/>
          <w:szCs w:val="16"/>
        </w:rPr>
      </w:pPr>
      <w:r w:rsidRPr="00E07F00">
        <w:rPr>
          <w:rFonts w:cs="Arial"/>
          <w:b/>
          <w:bCs/>
        </w:rPr>
        <w:t>“Acuerdo por el que se reforma el Clasificador por Rubros de Ingresos”. “</w:t>
      </w:r>
      <w:r w:rsidRPr="00E07F00">
        <w:rPr>
          <w:i/>
          <w:sz w:val="18"/>
          <w:szCs w:val="16"/>
        </w:rPr>
        <w:t>Se reforman el párrafo sexto de antecedentes y el párrafo catorce del punto A. ASPECTOS GENERALES”.</w:t>
      </w:r>
    </w:p>
    <w:p w:rsidR="00F82DBE" w:rsidRPr="00E07F00" w:rsidRDefault="00F82DBE" w:rsidP="00F82DBE">
      <w:pPr>
        <w:autoSpaceDE w:val="0"/>
        <w:autoSpaceDN w:val="0"/>
        <w:adjustRightInd w:val="0"/>
        <w:spacing w:after="240" w:line="276" w:lineRule="auto"/>
        <w:ind w:left="284" w:right="-1"/>
        <w:contextualSpacing/>
        <w:jc w:val="both"/>
        <w:rPr>
          <w:rFonts w:cs="Arial"/>
          <w:b/>
          <w:bCs/>
        </w:rPr>
      </w:pPr>
    </w:p>
    <w:p w:rsidR="00F82DBE" w:rsidRPr="00E07F00" w:rsidRDefault="00F82DBE" w:rsidP="00F82DBE">
      <w:pPr>
        <w:spacing w:after="0" w:line="276" w:lineRule="auto"/>
        <w:ind w:right="-1"/>
        <w:jc w:val="both"/>
        <w:rPr>
          <w:rFonts w:cs="Arial"/>
        </w:rPr>
      </w:pPr>
      <w:r w:rsidRPr="00E07F00">
        <w:rPr>
          <w:rFonts w:cs="Arial"/>
        </w:rPr>
        <w:t>Adicionalmente se está realizando a partir de este ejercicio fiscal la actualización de la Plataforma del Sistema de Contabilidad Integral Gubernamental que se encuentra en proceso de instalación.</w:t>
      </w:r>
    </w:p>
    <w:p w:rsidR="00F82DBE" w:rsidRPr="00E07F00" w:rsidRDefault="00F82DBE" w:rsidP="00F82DBE">
      <w:pPr>
        <w:spacing w:after="0" w:line="276" w:lineRule="auto"/>
        <w:ind w:right="-1"/>
        <w:jc w:val="both"/>
        <w:rPr>
          <w:rFonts w:cs="Arial"/>
        </w:rPr>
      </w:pPr>
    </w:p>
    <w:p w:rsidR="00F82DBE" w:rsidRDefault="00F82DBE" w:rsidP="00F82DBE">
      <w:pPr>
        <w:spacing w:after="0" w:line="276" w:lineRule="auto"/>
        <w:ind w:right="-1"/>
        <w:jc w:val="both"/>
        <w:rPr>
          <w:rFonts w:cs="Arial"/>
        </w:rPr>
      </w:pPr>
      <w:r w:rsidRPr="00E07F00">
        <w:rPr>
          <w:rFonts w:cs="Arial"/>
        </w:rPr>
        <w:t>Cabe mencionar que, en cumplimiento a los acuerdos referidos anteriormente, a partir de marzo de 2019, se envía la información en pesos, con la finalidad de facilitar la fiscalización de los activos, pasivos, ingresos, egresos y, en general, que posibilite medir la eficacia del gasto público y contener las medidas de control interno que permitan verificar el registro de la totalidad de las operaciones financieras.</w:t>
      </w:r>
    </w:p>
    <w:p w:rsidR="00F82DBE" w:rsidRDefault="00F82DBE" w:rsidP="00F82DBE">
      <w:pPr>
        <w:spacing w:after="0" w:line="276" w:lineRule="auto"/>
        <w:ind w:right="-1"/>
        <w:jc w:val="both"/>
        <w:rPr>
          <w:rFonts w:cs="Arial"/>
        </w:rPr>
      </w:pPr>
    </w:p>
    <w:p w:rsidR="00F82DBE" w:rsidRDefault="00F82DBE" w:rsidP="00F82DBE">
      <w:pPr>
        <w:spacing w:after="0" w:line="276" w:lineRule="auto"/>
        <w:ind w:right="-1"/>
        <w:jc w:val="both"/>
        <w:rPr>
          <w:rFonts w:cs="Arial"/>
        </w:rPr>
      </w:pPr>
    </w:p>
    <w:p w:rsidR="00F82DBE" w:rsidRDefault="00F82DBE" w:rsidP="00F82DBE">
      <w:pPr>
        <w:spacing w:after="0" w:line="276" w:lineRule="auto"/>
        <w:ind w:right="-1"/>
        <w:jc w:val="both"/>
        <w:rPr>
          <w:rFonts w:cs="Arial"/>
        </w:rPr>
      </w:pPr>
    </w:p>
    <w:p w:rsidR="00F82DBE" w:rsidRPr="00E07F00" w:rsidRDefault="00F82DBE" w:rsidP="00F82DBE">
      <w:pPr>
        <w:spacing w:after="0" w:line="276" w:lineRule="auto"/>
        <w:ind w:right="-1"/>
        <w:jc w:val="both"/>
        <w:rPr>
          <w:rFonts w:cs="Arial"/>
        </w:rPr>
      </w:pPr>
    </w:p>
    <w:p w:rsidR="00F82DBE" w:rsidRDefault="00F82DBE" w:rsidP="00F82DBE">
      <w:pPr>
        <w:autoSpaceDE w:val="0"/>
        <w:autoSpaceDN w:val="0"/>
        <w:adjustRightInd w:val="0"/>
        <w:spacing w:line="276" w:lineRule="auto"/>
        <w:ind w:right="-1"/>
        <w:jc w:val="both"/>
        <w:rPr>
          <w:sz w:val="8"/>
        </w:rPr>
      </w:pPr>
    </w:p>
    <w:p w:rsidR="00F82DBE" w:rsidRDefault="00F82DBE" w:rsidP="00F82DBE">
      <w:pPr>
        <w:autoSpaceDE w:val="0"/>
        <w:autoSpaceDN w:val="0"/>
        <w:adjustRightInd w:val="0"/>
        <w:spacing w:line="276" w:lineRule="auto"/>
        <w:ind w:right="-1"/>
        <w:jc w:val="both"/>
        <w:rPr>
          <w:sz w:val="8"/>
        </w:rPr>
      </w:pPr>
    </w:p>
    <w:p w:rsidR="00F82DBE" w:rsidRPr="00E07F00" w:rsidRDefault="00F82DBE" w:rsidP="00F82DBE">
      <w:pPr>
        <w:numPr>
          <w:ilvl w:val="0"/>
          <w:numId w:val="10"/>
        </w:numPr>
        <w:autoSpaceDE w:val="0"/>
        <w:autoSpaceDN w:val="0"/>
        <w:adjustRightInd w:val="0"/>
        <w:spacing w:after="240" w:line="276" w:lineRule="auto"/>
        <w:ind w:left="284" w:right="-1" w:firstLine="0"/>
        <w:contextualSpacing/>
        <w:jc w:val="both"/>
        <w:rPr>
          <w:rFonts w:eastAsia="Times New Roman" w:cs="Times New Roman"/>
          <w:lang w:eastAsia="es-MX"/>
        </w:rPr>
      </w:pPr>
      <w:r w:rsidRPr="00E07F00">
        <w:rPr>
          <w:rFonts w:eastAsia="Times New Roman" w:cs="Times New Roman"/>
          <w:b/>
          <w:lang w:eastAsia="es-MX"/>
        </w:rPr>
        <w:t>Políticas de Contabilidad Significativas.</w:t>
      </w:r>
    </w:p>
    <w:p w:rsidR="00F82DBE" w:rsidRPr="00E07F00" w:rsidRDefault="00F82DBE" w:rsidP="00F82DBE">
      <w:pPr>
        <w:autoSpaceDE w:val="0"/>
        <w:autoSpaceDN w:val="0"/>
        <w:adjustRightInd w:val="0"/>
        <w:spacing w:after="240" w:line="276" w:lineRule="auto"/>
        <w:ind w:left="284" w:right="-1"/>
        <w:contextualSpacing/>
        <w:jc w:val="both"/>
        <w:rPr>
          <w:rFonts w:eastAsia="Times New Roman" w:cs="Times New Roman"/>
          <w:lang w:eastAsia="es-MX"/>
        </w:rPr>
      </w:pPr>
    </w:p>
    <w:p w:rsidR="00F82DBE" w:rsidRPr="00E07F00" w:rsidRDefault="00F82DBE" w:rsidP="00F82DBE">
      <w:pPr>
        <w:numPr>
          <w:ilvl w:val="0"/>
          <w:numId w:val="24"/>
        </w:numPr>
        <w:spacing w:before="240" w:line="276" w:lineRule="auto"/>
        <w:jc w:val="both"/>
        <w:rPr>
          <w:rFonts w:cs="Arial"/>
        </w:rPr>
      </w:pPr>
      <w:r w:rsidRPr="00E07F00">
        <w:rPr>
          <w:rFonts w:cs="Arial"/>
        </w:rPr>
        <w:t>Los Estados Financieros se preparan tomando como base los Postulados Básicos de Contabilidad Gubernamental.</w:t>
      </w:r>
    </w:p>
    <w:p w:rsidR="00F82DBE" w:rsidRPr="00E07F00" w:rsidRDefault="00F82DBE" w:rsidP="00F82DBE">
      <w:pPr>
        <w:numPr>
          <w:ilvl w:val="0"/>
          <w:numId w:val="24"/>
        </w:numPr>
        <w:spacing w:line="259" w:lineRule="auto"/>
        <w:ind w:right="-1"/>
        <w:jc w:val="both"/>
        <w:rPr>
          <w:rFonts w:cs="Arial"/>
        </w:rPr>
      </w:pPr>
      <w:r w:rsidRPr="00E07F00">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rsidR="00F82DBE" w:rsidRPr="00E07F00" w:rsidRDefault="00F82DBE" w:rsidP="00F82DBE">
      <w:pPr>
        <w:numPr>
          <w:ilvl w:val="0"/>
          <w:numId w:val="24"/>
        </w:numPr>
        <w:spacing w:line="276" w:lineRule="auto"/>
        <w:ind w:right="-1"/>
        <w:jc w:val="both"/>
        <w:rPr>
          <w:rFonts w:cs="Arial"/>
        </w:rPr>
      </w:pPr>
      <w:r w:rsidRPr="00E07F00">
        <w:rPr>
          <w:rFonts w:cs="Arial"/>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F82DBE" w:rsidRPr="00E07F00" w:rsidRDefault="00F82DBE" w:rsidP="00F82DBE">
      <w:pPr>
        <w:numPr>
          <w:ilvl w:val="0"/>
          <w:numId w:val="24"/>
        </w:numPr>
        <w:spacing w:line="276" w:lineRule="auto"/>
        <w:ind w:right="-1"/>
        <w:jc w:val="both"/>
        <w:rPr>
          <w:rFonts w:cs="Arial"/>
        </w:rPr>
      </w:pPr>
      <w:r w:rsidRPr="00E07F00">
        <w:rPr>
          <w:rFonts w:cs="Arial"/>
        </w:rPr>
        <w:t>La información de obra pública se clasifica en Obras en Proceso y Gasto Ejercido; y Obras Concluidas y su Costo. Así como la información de la nómina: Plantilla de personal.</w:t>
      </w:r>
    </w:p>
    <w:p w:rsidR="00F82DBE" w:rsidRPr="00E07F00" w:rsidRDefault="00F82DBE" w:rsidP="00F82DBE">
      <w:pPr>
        <w:numPr>
          <w:ilvl w:val="0"/>
          <w:numId w:val="24"/>
        </w:numPr>
        <w:spacing w:line="276" w:lineRule="auto"/>
        <w:ind w:right="-1"/>
        <w:jc w:val="both"/>
        <w:rPr>
          <w:rFonts w:cs="Arial"/>
        </w:rPr>
      </w:pPr>
      <w:r w:rsidRPr="00E07F00">
        <w:rPr>
          <w:rFonts w:cs="Arial"/>
        </w:rPr>
        <w:t>Respecto a la clasificación del pasivo, se considerará a corto plazo el que vence dentro del ejercicio fiscal correspondiente y, a largo plazo el que venza en ejercicios fiscales posteriores al que corresponda la información.</w:t>
      </w:r>
    </w:p>
    <w:p w:rsidR="00F82DBE" w:rsidRPr="00E07F00" w:rsidRDefault="00F82DBE" w:rsidP="00F82DBE">
      <w:pPr>
        <w:numPr>
          <w:ilvl w:val="0"/>
          <w:numId w:val="24"/>
        </w:numPr>
        <w:spacing w:line="276" w:lineRule="auto"/>
        <w:ind w:right="-1"/>
        <w:jc w:val="both"/>
        <w:rPr>
          <w:rFonts w:cs="Arial"/>
        </w:rPr>
      </w:pPr>
      <w:r w:rsidRPr="00E07F00">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rsidR="00F82DBE" w:rsidRPr="00E07F00" w:rsidRDefault="00F82DBE" w:rsidP="00F82DBE">
      <w:pPr>
        <w:numPr>
          <w:ilvl w:val="0"/>
          <w:numId w:val="24"/>
        </w:numPr>
        <w:spacing w:line="276" w:lineRule="auto"/>
        <w:ind w:right="-1"/>
        <w:jc w:val="both"/>
        <w:rPr>
          <w:rFonts w:cs="Arial"/>
        </w:rPr>
      </w:pPr>
      <w:r w:rsidRPr="00E07F00">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rsidR="00F82DBE" w:rsidRPr="00E07F00" w:rsidRDefault="00F82DBE" w:rsidP="00F82DBE">
      <w:pPr>
        <w:numPr>
          <w:ilvl w:val="0"/>
          <w:numId w:val="24"/>
        </w:numPr>
        <w:spacing w:line="276" w:lineRule="auto"/>
        <w:ind w:right="-1"/>
        <w:jc w:val="both"/>
        <w:rPr>
          <w:rFonts w:cs="Arial"/>
        </w:rPr>
      </w:pPr>
      <w:r w:rsidRPr="00E07F00">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F82DBE" w:rsidRPr="00E07F00" w:rsidRDefault="00F82DBE" w:rsidP="00F82DBE">
      <w:pPr>
        <w:numPr>
          <w:ilvl w:val="0"/>
          <w:numId w:val="24"/>
        </w:numPr>
        <w:spacing w:line="276" w:lineRule="auto"/>
        <w:ind w:right="-1"/>
        <w:jc w:val="both"/>
        <w:rPr>
          <w:rFonts w:cs="Arial"/>
        </w:rPr>
      </w:pPr>
      <w:r w:rsidRPr="00E07F00">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rsidR="00F82DBE" w:rsidRPr="00E07F00" w:rsidRDefault="00F82DBE" w:rsidP="00F82DBE">
      <w:pPr>
        <w:spacing w:line="276" w:lineRule="auto"/>
        <w:ind w:right="-1"/>
        <w:jc w:val="both"/>
        <w:rPr>
          <w:rFonts w:cs="Arial"/>
        </w:rPr>
      </w:pPr>
      <w:r w:rsidRPr="00E07F00">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FB5F59" w:rsidRPr="00E07F00" w:rsidRDefault="00FB5F59" w:rsidP="00FB5F59">
      <w:pPr>
        <w:spacing w:after="0" w:line="276" w:lineRule="auto"/>
        <w:ind w:right="-1"/>
        <w:jc w:val="both"/>
        <w:rPr>
          <w:rFonts w:cs="Arial"/>
        </w:rPr>
      </w:pPr>
    </w:p>
    <w:p w:rsidR="00591062" w:rsidRPr="00B05C27" w:rsidRDefault="00591062" w:rsidP="00591062">
      <w:pPr>
        <w:pStyle w:val="Prrafodelista"/>
        <w:numPr>
          <w:ilvl w:val="0"/>
          <w:numId w:val="12"/>
        </w:numPr>
        <w:spacing w:after="240" w:line="276" w:lineRule="auto"/>
        <w:ind w:right="-1"/>
        <w:jc w:val="both"/>
        <w:rPr>
          <w:rFonts w:ascii="HelveticaNeueLT Std" w:hAnsi="HelveticaNeueLT Std"/>
          <w:b/>
          <w:sz w:val="20"/>
          <w:szCs w:val="20"/>
        </w:rPr>
      </w:pPr>
      <w:r w:rsidRPr="00B05C27">
        <w:rPr>
          <w:rFonts w:ascii="HelveticaNeueLT Std" w:hAnsi="HelveticaNeueLT Std"/>
          <w:b/>
          <w:sz w:val="20"/>
          <w:szCs w:val="20"/>
        </w:rPr>
        <w:t>Posición en Moneda Extranjera y Protección por Riesgo Cambiario</w:t>
      </w:r>
    </w:p>
    <w:p w:rsidR="00591062" w:rsidRPr="00B05C27" w:rsidRDefault="00591062" w:rsidP="00591062">
      <w:pPr>
        <w:pStyle w:val="Texto"/>
        <w:spacing w:line="276" w:lineRule="auto"/>
        <w:ind w:right="-1" w:firstLine="0"/>
        <w:rPr>
          <w:rFonts w:ascii="HelveticaNeueLT Std" w:hAnsi="HelveticaNeueLT Std"/>
          <w:sz w:val="20"/>
        </w:rPr>
      </w:pPr>
      <w:r w:rsidRPr="00B05C27">
        <w:rPr>
          <w:rFonts w:ascii="HelveticaNeueLT Std" w:hAnsi="HelveticaNeueLT Std"/>
          <w:sz w:val="20"/>
        </w:rPr>
        <w:t>Los estados financieros antes mencionados se presentan en moneda de informe peso mexicano, que es igual a la moneda de registro y a su moneda funcional, por lo tanto, este punto no es aplicable para la entidad</w:t>
      </w:r>
      <w:r>
        <w:rPr>
          <w:rFonts w:ascii="HelveticaNeueLT Std" w:hAnsi="HelveticaNeueLT Std"/>
          <w:sz w:val="20"/>
        </w:rPr>
        <w:t>.</w:t>
      </w:r>
    </w:p>
    <w:p w:rsidR="00591062" w:rsidRPr="00B05C27" w:rsidRDefault="00591062" w:rsidP="00591062">
      <w:pPr>
        <w:pStyle w:val="Prrafodelista"/>
        <w:numPr>
          <w:ilvl w:val="0"/>
          <w:numId w:val="12"/>
        </w:numPr>
        <w:spacing w:after="101" w:line="276" w:lineRule="auto"/>
        <w:ind w:right="-1"/>
        <w:jc w:val="both"/>
        <w:rPr>
          <w:rFonts w:ascii="HelveticaNeueLT Std" w:hAnsi="HelveticaNeueLT Std"/>
          <w:b/>
          <w:sz w:val="20"/>
          <w:szCs w:val="20"/>
        </w:rPr>
      </w:pPr>
      <w:r w:rsidRPr="00B05C27">
        <w:rPr>
          <w:rFonts w:ascii="HelveticaNeueLT Std" w:hAnsi="HelveticaNeueLT Std"/>
          <w:b/>
          <w:sz w:val="20"/>
          <w:szCs w:val="20"/>
        </w:rPr>
        <w:t>Reporte Analítico del Activo</w:t>
      </w:r>
    </w:p>
    <w:p w:rsidR="00591062" w:rsidRPr="006C38BA" w:rsidRDefault="00591062" w:rsidP="00591062">
      <w:pPr>
        <w:pStyle w:val="Texto"/>
        <w:spacing w:after="0" w:line="240" w:lineRule="exact"/>
        <w:ind w:left="644" w:firstLine="0"/>
        <w:rPr>
          <w:rFonts w:ascii="HelveticaNeueLT Std" w:hAnsi="HelveticaNeueLT Std"/>
          <w:sz w:val="20"/>
          <w:lang w:val="es-MX"/>
        </w:rPr>
      </w:pPr>
      <w:r w:rsidRPr="00B05C27">
        <w:rPr>
          <w:rFonts w:ascii="HelveticaNeueLT Std" w:hAnsi="HelveticaNeueLT Std"/>
          <w:noProof/>
          <w:sz w:val="20"/>
          <w:lang w:val="es-MX" w:eastAsia="es-MX"/>
        </w:rPr>
        <mc:AlternateContent>
          <mc:Choice Requires="wpc">
            <w:drawing>
              <wp:anchor distT="0" distB="0" distL="114300" distR="114300" simplePos="0" relativeHeight="251658240" behindDoc="0" locked="0" layoutInCell="1" allowOverlap="1" wp14:anchorId="7C0043D8" wp14:editId="3137A56A">
                <wp:simplePos x="0" y="0"/>
                <wp:positionH relativeFrom="column">
                  <wp:posOffset>-692150</wp:posOffset>
                </wp:positionH>
                <wp:positionV relativeFrom="paragraph">
                  <wp:posOffset>-7432040</wp:posOffset>
                </wp:positionV>
                <wp:extent cx="6467475" cy="1924685"/>
                <wp:effectExtent l="0" t="0" r="0" b="18415"/>
                <wp:wrapNone/>
                <wp:docPr id="516"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6"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C8E9BF" id="Lienzo 480" o:spid="_x0000_s1026" editas="canvas" style="position:absolute;margin-left:-54.5pt;margin-top:-585.2pt;width:509.25pt;height:151.55pt;z-index:251658240"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r8UA&#10;AADcAAAADwAAAGRycy9kb3ducmV2LnhtbESPzWrDMBCE74W8g9hCL6WRWxqTulZCKAmkt+bnARZr&#10;Y9mxVkZSEidPXxUKOQ4z8w1TzgfbiTP50DhW8DrOQBBXTjdcK9jvVi9TECEia+wck4IrBZjPRg8l&#10;FtpdeEPnbaxFgnAoUIGJsS+kDJUhi2HseuLkHZy3GJP0tdQeLwluO/mWZbm02HBaMNjTl6HquD1Z&#10;BbL90Y3sl7lvD89H/WG+J3ibKPX0OCw+QUQa4j38315rBe/T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9OvxQAAANwAAAAPAAAAAAAAAAAAAAAAAJgCAABkcnMv&#10;ZG93bnJldi54bWxQSwUGAAAAAAQABAD1AAAAigM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YscMAAADcAAAADwAAAGRycy9kb3ducmV2LnhtbERPTWsCMRC9F/wPYQq9FM0qRWRrlNpa&#10;qSCIVvE6bsbdxc1kSaKu/npzEDw+3vdw3JhKnMn50rKCbicBQZxZXXKuYPP/2x6A8AFZY2WZFFzJ&#10;w3jUehliqu2FV3Reh1zEEPYpKihCqFMpfVaQQd+xNXHkDtYZDBG6XGqHlxhuKtlLkr40WHJsKLCm&#10;74Ky4/pkFOy68+y22rjJbLJ7X/zwfjndyoNSb6/N1yeIQE14ih/uP63gYxD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BGLHDAAAA3AAAAA8AAAAAAAAAAAAA&#10;AAAAoQIAAGRycy9kb3ducmV2LnhtbFBLBQYAAAAABAAEAPkAAACRAw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H3cQA&#10;AADcAAAADwAAAGRycy9kb3ducmV2LnhtbESP0WoCMRRE3wv+Q7hCX4pmLVV0NYqIQvtWVz/gsrlu&#10;Vjc3SxJ17dc3hYKPw8ycYRarzjbiRj7UjhWMhhkI4tLpmisFx8NuMAURIrLGxjEpeFCA1bL3ssBc&#10;uzvv6VbESiQIhxwVmBjbXMpQGrIYhq4lTt7JeYsxSV9J7fGe4LaR71k2kRZrTgsGW9oYKi/F1SqQ&#10;529dy3Y78efT20XPzNcYf8ZKvfa79RxEpC4+w//tT63gYzq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R93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6CasUAAADcAAAADwAAAGRycy9kb3ducmV2LnhtbERPW2vCMBR+H+w/hDPYi8zUMWTrjDIv&#10;EwVh1Au+njXHtqw5KUnU6q83D8IeP777YNSaWpzI+cqygl43AUGcW11xoWC7+X55B+EDssbaMim4&#10;kIfR8PFhgKm2Z87otA6FiCHsU1RQhtCkUvq8JIO+axviyB2sMxgidIXUDs8x3NTyNUn60mDFsaHE&#10;hiYl5X/ro1Gw7y3za7Z14/l431lN+fdntpMHpZ6f2q9PEIHa8C++uxdawdtH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6CasUAAADcAAAADwAAAAAAAAAA&#10;AAAAAAChAgAAZHJzL2Rvd25yZXYueG1sUEsFBgAAAAAEAAQA+QAAAJMDA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BsQA&#10;AADcAAAADwAAAGRycy9kb3ducmV2LnhtbESP0WoCMRRE34X+Q7gFX0SzShVdN0opFupba/2Ay+bu&#10;ZnVzsyRRt/36Rij4OMzMGabY9rYVV/KhcaxgOslAEJdON1wrOH6/j5cgQkTW2DomBT8UYLt5GhSY&#10;a3fjL7oeYi0ShEOOCkyMXS5lKA1ZDBPXESevct5iTNLXUnu8Jbht5SzLFtJiw2nBYEdvhsrz4WIV&#10;yNOnbmS3W/hTNTrrldnP8Xeu1PC5f12DiNTHR/i//aEVvKym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3Qb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5hscAAADcAAAADwAAAGRycy9kb3ducmV2LnhtbESP3WoCMRSE7wu+QziCN0WzSim6GkVb&#10;LS0UxD+8PW6Ou4ubkyWJuu3TN4VCL4eZ+YaZzBpTiRs5X1pW0O8lIIgzq0vOFex3q+4QhA/IGivL&#10;pOCLPMymrYcJptreeUO3bchFhLBPUUERQp1K6bOCDPqerYmjd7bOYIjS5VI7vEe4qeQgSZ6lwZLj&#10;QoE1vRSUXbZXo+DY/8i+N3u3eFscHz9f+bReHuRZqU67mY9BBGrCf/iv/a4VPI0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cLmG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m6sUA&#10;AADcAAAADwAAAGRycy9kb3ducmV2LnhtbESP3WoCMRSE74W+QziF3kjNtv7Q3RqlSIV6Z20f4LA5&#10;u1ndnCxJ1K1PbwqCl8PMfMPMl71txYl8aBwreBllIIhLpxuuFfz+rJ/fQISIrLF1TAr+KMBy8TCY&#10;Y6Hdmb/ptIu1SBAOBSowMXaFlKE0ZDGMXEecvMp5izFJX0vt8ZzgtpWvWTaTFhtOCwY7WhkqD7uj&#10;VSD3W93I7nPm99XwoHOzmeJlqtTTY//xDiJSH+/hW/tLK5jkY/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ebqxQAAANwAAAAPAAAAAAAAAAAAAAAAAJgCAABkcnMv&#10;ZG93bnJldi54bWxQSwUGAAAAAAQABAD1AAAAigM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EaccAAADcAAAADwAAAGRycy9kb3ducmV2LnhtbESPW2sCMRSE3wv9D+EUfBHNKlJ0axRv&#10;LS0UxBu+nm6Ou4ubkyWJuu2vbwpCH4eZ+YYZTxtTiSs5X1pW0OsmIIgzq0vOFex3r50hCB+QNVaW&#10;ScE3eZhOHh/GmGp74w1dtyEXEcI+RQVFCHUqpc8KMui7tiaO3sk6gyFKl0vt8BbhppL9JHmWBkuO&#10;CwXWtCgoO28vRsGx95H9bPZu/jY/tj+X/LVeHeRJqdZTM3sBEagJ/+F7+10rGIw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YRpxwAAANwAAAAPAAAAAAAA&#10;AAAAAAAAAKECAABkcnMvZG93bnJldi54bWxQSwUGAAAAAAQABAD5AAAAlQM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bBcMA&#10;AADcAAAADwAAAGRycy9kb3ducmV2LnhtbESP0WoCMRRE34X+Q7iCL6JZxRVdjVKkhfpmbT/gsrlu&#10;Vjc3S5Lqtl9vBKGPw8ycYdbbzjbiSj7UjhVMxhkI4tLpmisF31/vowWIEJE1No5JwS8F2G5eemss&#10;tLvxJ12PsRIJwqFABSbGtpAylIYshrFriZN3ct5iTNJXUnu8Jbht5DTL5tJizWnBYEs7Q+Xl+GMV&#10;yPNB17J9m/vzaXjRS7PP8S9XatDvXlcgInXxP/xsf2gFs2U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bBc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hccAAADcAAAADwAAAGRycy9kb3ducmV2LnhtbESPW2sCMRSE34X+h3AKvhTNKkV0axRv&#10;LS0UxBu+nm6Ou4ubkyWJuu2vbwoFH4eZ+YYZTxtTiSs5X1pW0OsmIIgzq0vOFex3r50hCB+QNVaW&#10;ScE3eZhOHlpjTLW98Yau25CLCGGfooIihDqV0mcFGfRdWxNH72SdwRCly6V2eItwU8l+kgykwZLj&#10;QoE1LQrKztuLUXDsfWQ/m72bv82PT59L/lqvDvKkVPuxmb2ACNSEe/i//a4VPI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S7+FxwAAANwAAAAPAAAAAAAA&#10;AAAAAAAAAKECAABkcnMvZG93bnJldi54bWxQSwUGAAAAAAQABAD5AAAAlQM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g6cQA&#10;AADcAAAADwAAAGRycy9kb3ducmV2LnhtbESP0WoCMRRE34X+Q7iCL6VmK9XqahQRBftmrR9w2Vw3&#10;q5ubJYm69utNoeDjMDNnmNmitbW4kg+VYwXv/QwEceF0xaWCw8/mbQwiRGSNtWNScKcAi/lLZ4a5&#10;djf+pus+liJBOOSowMTY5FKGwpDF0HcNcfKOzluMSfpSao+3BLe1HGTZSFqsOC0YbGhlqDjvL1aB&#10;PO10JZv1yJ+Or2c9MV9D/B0q1eu2yymISG18hv/bW63gY/I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4On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ObMUAAADcAAAADwAAAGRycy9kb3ducmV2LnhtbERPW2vCMBR+H+w/hDPYi8zUMWTrjDIv&#10;EwVh1Au+njXHtqw5KUnU6q83D8IeP777YNSaWpzI+cqygl43AUGcW11xoWC7+X55B+EDssbaMim4&#10;kIfR8PFhgKm2Z87otA6FiCHsU1RQhtCkUvq8JIO+axviyB2sMxgidIXUDs8x3NTyNUn60mDFsaHE&#10;hiYl5X/ro1Gw7y3za7Z14/l431lN+fdntpMHpZ6f2q9PEIHa8C++uxdawdtH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iObMUAAADcAAAADwAAAAAAAAAA&#10;AAAAAAChAgAAZHJzL2Rvd25yZXYueG1sUEsFBgAAAAAEAAQA+QAAAJMDA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RAMQA&#10;AADcAAAADwAAAGRycy9kb3ducmV2LnhtbESP3WoCMRSE7wu+QziF3pSabanS3RpFioK9qz8PcNgc&#10;N/uTkyWJuvr0TaHg5TAz3zCzxWA7cSYfascKXscZCOLS6ZorBYf9+uUDRIjIGjvHpOBKARbz0cMM&#10;C+0uvKXzLlYiQTgUqMDE2BdShtKQxTB2PXHyjs5bjEn6SmqPlwS3nXzLsqm0WHNaMNjTl6Gy3Z2s&#10;Atn86Fr2q6lvjs+tzs33BG8TpZ4eh+UniEhDvIf/2xut4D3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0QD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UYcMMAAADcAAAADwAAAGRycy9kb3ducmV2LnhtbERPy2oCMRTdC/2HcAvdiGYsWMpoFK0P&#10;LAjFF26vk+vM0MnNkEQd+/XNQnB5OO/huDGVuJLzpWUFvW4CgjizuuRcwX636HyC8AFZY2WZFNzJ&#10;w3j00hpiqu2NN3TdhlzEEPYpKihCqFMpfVaQQd+1NXHkztYZDBG6XGqHtxhuKvmeJB/SYMmxocCa&#10;vgrKfrcXo+DY+87+Nns3XU6P7fWMTz/zgzwr9fbaTAYgAjXhKX64V1pBP4nz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FGHDDAAAA3AAAAA8AAAAAAAAAAAAA&#10;AAAAoQIAAGRycy9kb3ducmV2LnhtbFBLBQYAAAAABAAEAPkAAACRAw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HHMMA&#10;AADcAAAADwAAAGRycy9kb3ducmV2LnhtbESP3WoCMRSE74W+QziCN6JZhZW6GqWUFuqdP32Aw+a4&#10;Wd2cLEmqW5/eCIKXw8x8wyzXnW3EhXyoHSuYjDMQxKXTNVcKfg/fo3cQISJrbByTgn8KsF699ZZY&#10;aHflHV32sRIJwqFABSbGtpAylIYshrFriZN3dN5iTNJXUnu8Jrht5DTLZtJizWnBYEufhsrz/s8q&#10;kKetrmX7NfOn4/Cs52aT4y1XatDvPhYgInXxFX62f7SCPJv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HHMMAAADcAAAADwAAAAAAAAAAAAAAAACYAgAAZHJzL2Rv&#10;d25yZXYueG1sUEsFBgAAAAAEAAQA9QAAAIgDA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jnMcAAADcAAAADwAAAGRycy9kb3ducmV2LnhtbESPW2sCMRSE3wv9D+EUfCmaVaiU1Sj1&#10;ViwIxUvx9XRz3F26OVmSqKu/3hQEH4eZ+YYZjhtTiRM5X1pW0O0kIIgzq0vOFey2i/Y7CB+QNVaW&#10;ScGFPIxHz09DTLU985pOm5CLCGGfooIihDqV0mcFGfQdWxNH72CdwRCly6V2eI5wU8lekvSlwZLj&#10;QoE1TQvK/jZHo2Df/cqu652bfE72r6sZ/37Pf+RBqdZL8zEAEagJj/C9vdQK3pIe/J+JR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yOc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88MQA&#10;AADcAAAADwAAAGRycy9kb3ducmV2LnhtbESPUWvCMBSF3wX/Q7jCXmSmblS22igiDra3qfsBl+a2&#10;qTY3JYna7dcvg4GPh3POdzjlerCduJIPrWMF81kGgrhyuuVGwdfx7fEFRIjIGjvHpOCbAqxX41GJ&#10;hXY33tP1EBuRIBwKVGBi7AspQ2XIYpi5njh5tfMWY5K+kdrjLcFtJ5+ybCEttpwWDPa0NVSdDxer&#10;QJ4+dSv73cKf6ulZv5qPHH9ypR4mw2YJItIQ7+H/9rtWkGf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6fPD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4ec8cAAADcAAAADwAAAGRycy9kb3ducmV2LnhtbESP3WoCMRSE7wu+QziCN0WzllZkNYq2&#10;WioI4h/eHjfH3aWbkyWJuu3TN4VCL4eZ+YYZTxtTiRs5X1pW0O8lIIgzq0vOFRz2y+4QhA/IGivL&#10;pOCLPEwnrYcxptreeUu3XchFhLBPUUERQp1K6bOCDPqerYmjd7HOYIjS5VI7vEe4qeRTkgykwZLj&#10;QoE1vRaUfe6uRsGpv8q+twc3f5+fHtdvfN4sjvKiVKfdzEYgAjXhP/zX/tAKXpJn+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Ph5zxwAAANwAAAAPAAAAAAAA&#10;AAAAAAAAAKECAABkcnMvZG93bnJldi54bWxQSwUGAAAAAAQABAD5AAAAlQM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BH8MA&#10;AADcAAAADwAAAGRycy9kb3ducmV2LnhtbESP0WoCMRRE3wX/IVyhL6LZFlbqahQRhfZNrR9w2Vw3&#10;q5ubJUl169ebguDjMDNnmPmys424kg+1YwXv4wwEcel0zZWC48929AkiRGSNjWNS8EcBlot+b46F&#10;djfe0/UQK5EgHApUYGJsCylDachiGLuWOHkn5y3GJH0ltcdbgttGfmTZRFqsOS0YbGltqLwcfq0C&#10;ed7pWrabiT+fhhc9Nd853nOl3gbdagYiUhdf4Wf7SyvIsxz+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9BH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ln8YAAADcAAAADwAAAGRycy9kb3ducmV2LnhtbESPQWsCMRSE7wX/Q3hCL6VmFRTZGkVb&#10;WywIolW8PjfP3cXNy5KkuvrrjVDocZiZb5jRpDGVOJPzpWUF3U4CgjizuuRcwfbn83UIwgdkjZVl&#10;UnAlD5Nx62mEqbYXXtN5E3IRIexTVFCEUKdS+qwgg75ja+LoHa0zGKJ0udQOLxFuKtlLkoE0WHJc&#10;KLCm94Ky0+bXKNh3v7PbeutmX7P9y/KDD6v5Th6Vem430zcQgZrwH/5rL7SCfjKAx5l4BO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JZ/GAAAA3AAAAA8AAAAAAAAA&#10;AAAAAAAAoQIAAGRycy9kb3ducmV2LnhtbFBLBQYAAAAABAAEAPkAAACUAw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688QA&#10;AADcAAAADwAAAGRycy9kb3ducmV2LnhtbESPUWvCMBSF34X9h3AHvshMJ9RtXaOM4UDf1O0HXJrb&#10;ptrclCRq5683g4GPh3POdzjlcrCdOJMPrWMFz9MMBHHldMuNgp/vr6dXECEia+wck4JfCrBcPIxK&#10;LLS78I7O+9iIBOFQoAITY19IGSpDFsPU9cTJq523GJP0jdQeLwluOznLsrm02HJaMNjTp6HquD9Z&#10;BfKw1a3sV3N/qCdH/WY2OV5zpcaPw8c7iEhDvIf/22utIM9e4O9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evP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UdsMAAADcAAAADwAAAGRycy9kb3ducmV2LnhtbERPy2oCMRTdC/2HcAvdiGYsWMpoFK0P&#10;LAjFF26vk+vM0MnNkEQd+/XNQnB5OO/huDGVuJLzpWUFvW4CgjizuuRcwX636HyC8AFZY2WZFNzJ&#10;w3j00hpiqu2NN3TdhlzEEPYpKihCqFMpfVaQQd+1NXHkztYZDBG6XGqHtxhuKvmeJB/SYMmxocCa&#10;vgrKfrcXo+DY+87+Nns3XU6P7fWMTz/zgzwr9fbaTAYgAjXhKX64V1pBP4lr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zFHbDAAAA3AAAAA8AAAAAAAAAAAAA&#10;AAAAoQIAAGRycy9kb3ducmV2LnhtbFBLBQYAAAAABAAEAPkAAACRAw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LGsMA&#10;AADcAAAADwAAAGRycy9kb3ducmV2LnhtbESP3WoCMRSE7wu+QzhCb4pmW1jR1SgiCvau/jzAYXPc&#10;rG5OliTV1ac3hYKXw8x8w8wWnW3ElXyoHSv4HGYgiEuna64UHA+bwRhEiMgaG8ek4E4BFvPe2wwL&#10;7W68o+s+ViJBOBSowMTYFlKG0pDFMHQtcfJOzluMSfpKao+3BLeN/MqykbRYc1ow2NLKUHnZ/1oF&#10;8vyja9muR/58+rjoifnO8ZEr9d7vllMQkbr4Cv+3t1pBnk3g7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LGsMAAADcAAAADwAAAAAAAAAAAAAAAACYAgAAZHJzL2Rv&#10;d25yZXYueG1sUEsFBgAAAAAEAAQA9QAAAIgDA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OrcQAAADcAAAADwAAAGRycy9kb3ducmV2LnhtbERPXWvCMBR9F/Yfwh34IjOtoIzOKHM6&#10;mSCMOoevd821LWtuSpJp5683D4KPh/M9nXemESdyvrasIB0mIIgLq2suFey/3p+eQfiArLGxTAr+&#10;ycN89tCbYqbtmXM67UIpYgj7DBVUIbSZlL6oyKAf2pY4ckfrDIYIXSm1w3MMN40cJclEGqw5NlTY&#10;0ltFxe/uzyg4pJviku/dYr04DLZL/vlcfcujUv3H7vUFRKAu3MU394dWME7j/H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I6txAAAANwAAAAPAAAAAAAAAAAA&#10;AAAAAKECAABkcnMvZG93bnJldi54bWxQSwUGAAAAAAQABAD5AAAAkg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RwcQA&#10;AADcAAAADwAAAGRycy9kb3ducmV2LnhtbESP3WoCMRSE74W+QzhCb6Rmt7BiV6MUUWjv6s8DHDbH&#10;zermZEmibn16Uyh4OczMN8x82dtWXMmHxrGCfJyBIK6cbrhWcNhv3qYgQkTW2DomBb8UYLl4Gcyx&#10;1O7GW7ruYi0ShEOJCkyMXSllqAxZDGPXESfv6LzFmKSvpfZ4S3Dbyvcsm0iLDacFgx2tDFXn3cUq&#10;kKcf3chuPfGn4+isP8x3gfdCqddh/zkDEamPz/B/+0srKPIc/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90cH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1QccAAADcAAAADwAAAGRycy9kb3ducmV2LnhtbESP3WoCMRSE7wu+QzhCb0rNrlApq1G0&#10;rcWCUPwp3p5ujruLm5Mlibr69KYg9HKYmW+Y0aQ1tTiR85VlBWkvAUGcW11xoWC7mT+/gvABWWNt&#10;mRRcyMNk3HkYYabtmVd0WodCRAj7DBWUITSZlD4vyaDv2YY4envrDIYoXSG1w3OEm1r2k2QgDVYc&#10;F0ps6K2k/LA+GgW79Cu/rrZu9jnbPS3f+ff740fulXrsttMhiEBt+A/f2wut4CXtw9+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rVB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qLcQA&#10;AADcAAAADwAAAGRycy9kb3ducmV2LnhtbESP3WoCMRSE74W+QziF3kjN2rJSV6OIVGjvrPoAh81x&#10;sz85WZJU1z59UxB6OczMN8xyPdhOXMiH2rGC6SQDQVw6XXOl4HTcPb+BCBFZY+eYFNwowHr1MFpi&#10;od2Vv+hyiJVIEA4FKjAx9oWUoTRkMUxcT5y8s/MWY5K+ktrjNcFtJ1+ybCYt1pwWDPa0NVS2h2+r&#10;QDZ7Xcv+feab87jVc/OZ40+u1NPjsFmAiDTE//C9/aEV5NNX+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j6i3EAAAA3AAAAA8AAAAAAAAAAAAAAAAAmAIAAGRycy9k&#10;b3ducmV2LnhtbFBLBQYAAAAABAAEAPUAAACJAw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IrsgAAADcAAAADwAAAGRycy9kb3ducmV2LnhtbESP3WoCMRSE7wt9h3AEb4pmt1QpW6PU&#10;VqWCUPwp3h43x92lm5Mlibrt0xuh0MthZr5hRpPW1OJMzleWFaT9BARxbnXFhYLddt57BuEDssba&#10;Min4IQ+T8f3dCDNtL7ym8yYUIkLYZ6igDKHJpPR5SQZ93zbE0TtaZzBE6QqpHV4i3NTyMUmG0mDF&#10;caHEht5Kyr83J6Ngny7z3/XOTRfT/cPqnQ+fsy95VKrbaV9fQARqw3/4r/2hFQzS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eIrsgAAADcAAAADwAAAAAA&#10;AAAAAAAAAAChAgAAZHJzL2Rvd25yZXYueG1sUEsFBgAAAAAEAAQA+QAAAJY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XwsMA&#10;AADcAAAADwAAAGRycy9kb3ducmV2LnhtbESP3WoCMRSE7wu+QzhCb4pmLazoahQpCvau/jzAYXPc&#10;rG5OliTV1ac3hYKXw8x8w8yXnW3ElXyoHSsYDTMQxKXTNVcKjofNYAIiRGSNjWNScKcAy0XvbY6F&#10;djfe0XUfK5EgHApUYGJsCylDachiGLqWOHkn5y3GJH0ltcdbgttGfmbZWFqsOS0YbOnLUHnZ/1oF&#10;8vyja9mux/58+rjoqfnO8ZEr9d7vVjMQkbr4Cv+3t1pBPsrh7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bXwsMAAADcAAAADwAAAAAAAAAAAAAAAACYAgAAZHJzL2Rv&#10;d25yZXYueG1sUEsFBgAAAAAEAAQA9QAAAIgDAAAAAA==&#10;" fillcolor="#d4d4d4" stroked="f"/>
              </v:group>
            </w:pict>
          </mc:Fallback>
        </mc:AlternateContent>
      </w:r>
      <w:r w:rsidRPr="00B05C27">
        <w:rPr>
          <w:rFonts w:ascii="HelveticaNeueLT Std" w:hAnsi="HelveticaNeueLT Std"/>
          <w:sz w:val="20"/>
          <w:lang w:val="es-MX"/>
        </w:rPr>
        <w:t>En el “</w:t>
      </w:r>
      <w:r w:rsidRPr="00B05C27">
        <w:rPr>
          <w:rFonts w:ascii="HelveticaNeueLT Std" w:hAnsi="HelveticaNeueLT Std"/>
          <w:b/>
          <w:sz w:val="20"/>
          <w:lang w:val="es-MX"/>
        </w:rPr>
        <w:t xml:space="preserve">Estado Analítico del Activo”, </w:t>
      </w:r>
      <w:r w:rsidRPr="00B05C27">
        <w:rPr>
          <w:rFonts w:ascii="HelveticaNeueLT Std" w:hAnsi="HelveticaNeueLT Std"/>
          <w:sz w:val="20"/>
          <w:lang w:val="es-MX"/>
        </w:rPr>
        <w:t>se observa el comportamiento de los fondos, valores y bienes identificados y cuantificados en términos monetarios, que dispone el Instituto para realizar sus actividades, los cuales fueron comentados en párrafos anteriores y los</w:t>
      </w:r>
      <w:r w:rsidRPr="00B05C27">
        <w:rPr>
          <w:rFonts w:ascii="HelveticaNeueLT Std" w:hAnsi="HelveticaNeueLT Std"/>
          <w:b/>
          <w:sz w:val="20"/>
          <w:lang w:val="es-MX"/>
        </w:rPr>
        <w:t xml:space="preserve"> bienes muebles e inmuebles, </w:t>
      </w:r>
      <w:r w:rsidRPr="00B05C27">
        <w:rPr>
          <w:rFonts w:ascii="HelveticaNeueLT Std" w:hAnsi="HelveticaNeueLT Std"/>
          <w:sz w:val="20"/>
          <w:lang w:val="es-MX"/>
        </w:rPr>
        <w:t>como</w:t>
      </w:r>
      <w:r w:rsidRPr="00B05C27">
        <w:rPr>
          <w:rFonts w:ascii="HelveticaNeueLT Std" w:hAnsi="HelveticaNeueLT Std"/>
          <w:b/>
          <w:sz w:val="20"/>
          <w:lang w:val="es-MX"/>
        </w:rPr>
        <w:t xml:space="preserve"> </w:t>
      </w:r>
      <w:r w:rsidRPr="00B05C27">
        <w:rPr>
          <w:rFonts w:ascii="HelveticaNeueLT Std" w:hAnsi="HelveticaNeueLT Std"/>
          <w:sz w:val="20"/>
          <w:lang w:val="es-MX"/>
        </w:rPr>
        <w:t>se detallan a continuación:</w:t>
      </w:r>
    </w:p>
    <w:p w:rsidR="00591062" w:rsidRPr="00B05C27" w:rsidRDefault="00591062" w:rsidP="00591062">
      <w:pPr>
        <w:pStyle w:val="Prrafodelista"/>
        <w:spacing w:after="101" w:line="276" w:lineRule="auto"/>
        <w:ind w:left="644" w:right="-1"/>
        <w:jc w:val="center"/>
        <w:rPr>
          <w:rFonts w:ascii="HelveticaNeueLT Std" w:hAnsi="HelveticaNeueLT Std"/>
          <w:b/>
          <w:sz w:val="20"/>
          <w:szCs w:val="20"/>
        </w:rPr>
      </w:pPr>
    </w:p>
    <w:p w:rsidR="00591062" w:rsidRPr="00B05C27" w:rsidRDefault="00591062" w:rsidP="00591062">
      <w:pPr>
        <w:pStyle w:val="Prrafodelista"/>
        <w:spacing w:after="101" w:line="276" w:lineRule="auto"/>
        <w:ind w:left="644" w:right="-1"/>
        <w:jc w:val="center"/>
        <w:rPr>
          <w:rFonts w:ascii="HelveticaNeueLT Std" w:hAnsi="HelveticaNeueLT Std"/>
          <w:b/>
          <w:sz w:val="20"/>
          <w:szCs w:val="20"/>
        </w:rPr>
      </w:pPr>
      <w:r w:rsidRPr="00B85C67">
        <w:rPr>
          <w:noProof/>
        </w:rPr>
        <w:drawing>
          <wp:inline distT="0" distB="0" distL="0" distR="0" wp14:anchorId="3ED1955F" wp14:editId="095C2A64">
            <wp:extent cx="5505450" cy="1905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5450" cy="1905000"/>
                    </a:xfrm>
                    <a:prstGeom prst="rect">
                      <a:avLst/>
                    </a:prstGeom>
                    <a:noFill/>
                    <a:ln>
                      <a:noFill/>
                    </a:ln>
                  </pic:spPr>
                </pic:pic>
              </a:graphicData>
            </a:graphic>
          </wp:inline>
        </w:drawing>
      </w:r>
    </w:p>
    <w:p w:rsidR="00591062" w:rsidRPr="00B05C27" w:rsidRDefault="00591062" w:rsidP="00591062">
      <w:pPr>
        <w:pStyle w:val="Prrafodelista"/>
        <w:spacing w:after="101" w:line="276" w:lineRule="auto"/>
        <w:ind w:left="644" w:right="-1"/>
        <w:rPr>
          <w:rFonts w:ascii="HelveticaNeueLT Std" w:hAnsi="HelveticaNeueLT Std"/>
          <w:b/>
          <w:sz w:val="20"/>
          <w:szCs w:val="20"/>
        </w:rPr>
      </w:pPr>
    </w:p>
    <w:p w:rsidR="00591062" w:rsidRPr="00B05C27" w:rsidRDefault="00591062" w:rsidP="00591062">
      <w:pPr>
        <w:pStyle w:val="Texto"/>
        <w:spacing w:line="276" w:lineRule="auto"/>
        <w:ind w:right="-1" w:firstLine="0"/>
        <w:rPr>
          <w:rFonts w:ascii="HelveticaNeueLT Std" w:hAnsi="HelveticaNeueLT Std"/>
          <w:sz w:val="20"/>
          <w:lang w:val="es-MX"/>
        </w:rPr>
      </w:pPr>
      <w:r w:rsidRPr="00B05C27">
        <w:rPr>
          <w:rFonts w:ascii="HelveticaNeueLT Std" w:hAnsi="HelveticaNeueLT Std"/>
          <w:b/>
          <w:sz w:val="20"/>
          <w:lang w:val="es-MX"/>
        </w:rPr>
        <w:t xml:space="preserve">Depreciación. - </w:t>
      </w:r>
      <w:r w:rsidRPr="00B05C27">
        <w:rPr>
          <w:rFonts w:ascii="HelveticaNeueLT Std" w:hAnsi="HelveticaNeueLT Std"/>
          <w:sz w:val="20"/>
          <w:lang w:val="es-MX"/>
        </w:rPr>
        <w:t xml:space="preserve">Se calcula por el método de línea recta </w:t>
      </w:r>
      <w:r w:rsidRPr="00AE0997">
        <w:rPr>
          <w:rFonts w:ascii="HelveticaNeueLT Std" w:hAnsi="HelveticaNeueLT Std"/>
          <w:sz w:val="20"/>
          <w:lang w:val="es-MX"/>
        </w:rPr>
        <w:t>a partir del mes siguiente al de su adquisición, aplicando los porcentajes siguientes:</w:t>
      </w:r>
    </w:p>
    <w:tbl>
      <w:tblPr>
        <w:tblStyle w:val="Tablaconcuadrcula"/>
        <w:tblW w:w="0" w:type="auto"/>
        <w:tblInd w:w="1134" w:type="dxa"/>
        <w:tblLook w:val="04A0" w:firstRow="1" w:lastRow="0" w:firstColumn="1" w:lastColumn="0" w:noHBand="0" w:noVBand="1"/>
      </w:tblPr>
      <w:tblGrid>
        <w:gridCol w:w="5041"/>
        <w:gridCol w:w="3000"/>
      </w:tblGrid>
      <w:tr w:rsidR="00591062" w:rsidRPr="00B05C27" w:rsidTr="007C417F">
        <w:trPr>
          <w:trHeight w:val="1153"/>
        </w:trPr>
        <w:tc>
          <w:tcPr>
            <w:tcW w:w="5041" w:type="dxa"/>
          </w:tcPr>
          <w:p w:rsidR="00591062" w:rsidRPr="00B05C27" w:rsidRDefault="00591062" w:rsidP="007C417F">
            <w:pPr>
              <w:spacing w:line="276" w:lineRule="auto"/>
              <w:ind w:right="-1"/>
              <w:jc w:val="both"/>
              <w:rPr>
                <w:rFonts w:ascii="HelveticaNeueLT Std" w:eastAsia="Times New Roman" w:hAnsi="HelveticaNeueLT Std"/>
                <w:b/>
                <w:color w:val="000000"/>
                <w:u w:val="single"/>
              </w:rPr>
            </w:pPr>
            <w:r w:rsidRPr="00B05C27">
              <w:rPr>
                <w:rFonts w:ascii="HelveticaNeueLT Std" w:eastAsia="Times New Roman" w:hAnsi="HelveticaNeueLT Std"/>
                <w:b/>
                <w:color w:val="000000"/>
                <w:u w:val="single"/>
              </w:rPr>
              <w:t>Concepto</w:t>
            </w:r>
          </w:p>
          <w:p w:rsidR="00591062" w:rsidRPr="00B05C27" w:rsidRDefault="00591062" w:rsidP="007C417F">
            <w:pPr>
              <w:spacing w:line="276" w:lineRule="auto"/>
              <w:ind w:right="-1"/>
              <w:jc w:val="both"/>
              <w:rPr>
                <w:rFonts w:ascii="HelveticaNeueLT Std" w:eastAsia="Times New Roman" w:hAnsi="HelveticaNeueLT Std"/>
                <w:color w:val="000000"/>
              </w:rPr>
            </w:pPr>
          </w:p>
          <w:p w:rsidR="00591062" w:rsidRPr="00B05C27" w:rsidRDefault="00591062" w:rsidP="007C417F">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Edificio</w:t>
            </w:r>
            <w:r>
              <w:rPr>
                <w:rFonts w:ascii="HelveticaNeueLT Std" w:eastAsia="Times New Roman" w:hAnsi="HelveticaNeueLT Std"/>
                <w:color w:val="000000"/>
              </w:rPr>
              <w:t xml:space="preserve">s </w:t>
            </w:r>
          </w:p>
          <w:p w:rsidR="00591062" w:rsidRPr="00B05C27" w:rsidRDefault="00591062" w:rsidP="007C417F">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Equipo de cómputo</w:t>
            </w:r>
            <w:r w:rsidRPr="00B05C27">
              <w:rPr>
                <w:rFonts w:ascii="HelveticaNeueLT Std" w:eastAsia="Times New Roman" w:hAnsi="HelveticaNeueLT Std"/>
                <w:color w:val="000000"/>
              </w:rPr>
              <w:tab/>
            </w:r>
          </w:p>
          <w:p w:rsidR="00591062" w:rsidRPr="00B05C27" w:rsidRDefault="00591062" w:rsidP="007C417F">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Mobiliario y equipo de oficina</w:t>
            </w:r>
          </w:p>
          <w:p w:rsidR="00591062" w:rsidRPr="00B05C27" w:rsidRDefault="00591062" w:rsidP="007C417F">
            <w:pPr>
              <w:spacing w:line="276" w:lineRule="auto"/>
              <w:ind w:right="-1"/>
              <w:rPr>
                <w:rFonts w:ascii="HelveticaNeueLT Std" w:eastAsia="Times New Roman" w:hAnsi="HelveticaNeueLT Std"/>
                <w:color w:val="000000"/>
              </w:rPr>
            </w:pPr>
            <w:r w:rsidRPr="00B05C27">
              <w:rPr>
                <w:rFonts w:ascii="HelveticaNeueLT Std" w:eastAsia="Times New Roman" w:hAnsi="HelveticaNeueLT Std"/>
                <w:color w:val="000000"/>
              </w:rPr>
              <w:t>Maquinaria</w:t>
            </w:r>
            <w:r w:rsidRPr="00B05C27">
              <w:rPr>
                <w:rFonts w:ascii="HelveticaNeueLT Std" w:eastAsia="Times New Roman" w:hAnsi="HelveticaNeueLT Std"/>
                <w:color w:val="000000"/>
              </w:rPr>
              <w:tab/>
            </w:r>
          </w:p>
          <w:p w:rsidR="00591062" w:rsidRPr="00B05C27" w:rsidRDefault="00591062" w:rsidP="007C417F">
            <w:pPr>
              <w:spacing w:line="276" w:lineRule="auto"/>
              <w:ind w:right="-1"/>
              <w:rPr>
                <w:rFonts w:ascii="HelveticaNeueLT Std" w:eastAsia="Times New Roman" w:hAnsi="HelveticaNeueLT Std"/>
              </w:rPr>
            </w:pPr>
            <w:r w:rsidRPr="00AE0997">
              <w:rPr>
                <w:rFonts w:ascii="HelveticaNeueLT Std" w:eastAsia="Times New Roman" w:hAnsi="HelveticaNeueLT Std"/>
                <w:color w:val="000000"/>
              </w:rPr>
              <w:t>Vehículos</w:t>
            </w:r>
          </w:p>
        </w:tc>
        <w:tc>
          <w:tcPr>
            <w:tcW w:w="3000" w:type="dxa"/>
          </w:tcPr>
          <w:p w:rsidR="00591062" w:rsidRPr="00B05C27" w:rsidRDefault="00591062" w:rsidP="007C417F">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Tasa</w:t>
            </w:r>
          </w:p>
          <w:p w:rsidR="00591062" w:rsidRPr="00B05C27" w:rsidRDefault="00591062" w:rsidP="007C417F">
            <w:pPr>
              <w:spacing w:line="276" w:lineRule="auto"/>
              <w:ind w:right="-1"/>
              <w:jc w:val="center"/>
              <w:rPr>
                <w:rFonts w:ascii="HelveticaNeueLT Std" w:eastAsia="Times New Roman" w:hAnsi="HelveticaNeueLT Std"/>
                <w:color w:val="000000"/>
              </w:rPr>
            </w:pPr>
          </w:p>
          <w:p w:rsidR="00591062" w:rsidRPr="00B05C27" w:rsidRDefault="00591062" w:rsidP="007C417F">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2%</w:t>
            </w:r>
          </w:p>
          <w:p w:rsidR="00591062" w:rsidRPr="00B05C27" w:rsidRDefault="00591062" w:rsidP="007C417F">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20%</w:t>
            </w:r>
          </w:p>
          <w:p w:rsidR="00591062" w:rsidRPr="00B05C27" w:rsidRDefault="00591062" w:rsidP="007C417F">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3%</w:t>
            </w:r>
          </w:p>
          <w:p w:rsidR="00591062" w:rsidRPr="00B05C27" w:rsidRDefault="00591062" w:rsidP="007C417F">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10%</w:t>
            </w:r>
          </w:p>
          <w:p w:rsidR="00591062" w:rsidRPr="00B05C27" w:rsidRDefault="00591062" w:rsidP="007C417F">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10%</w:t>
            </w:r>
          </w:p>
          <w:p w:rsidR="00591062" w:rsidRPr="00B05C27" w:rsidRDefault="00591062" w:rsidP="007C417F">
            <w:pPr>
              <w:spacing w:line="276" w:lineRule="auto"/>
              <w:ind w:right="-1"/>
              <w:jc w:val="both"/>
              <w:rPr>
                <w:rFonts w:ascii="HelveticaNeueLT Std" w:eastAsia="Times New Roman" w:hAnsi="HelveticaNeueLT Std"/>
              </w:rPr>
            </w:pPr>
          </w:p>
        </w:tc>
      </w:tr>
    </w:tbl>
    <w:p w:rsidR="00591062" w:rsidRPr="00B05C27" w:rsidRDefault="00591062" w:rsidP="00591062">
      <w:pPr>
        <w:pStyle w:val="Texto"/>
        <w:tabs>
          <w:tab w:val="left" w:pos="1803"/>
        </w:tabs>
        <w:spacing w:line="276" w:lineRule="auto"/>
        <w:ind w:right="-1" w:firstLine="0"/>
        <w:rPr>
          <w:rFonts w:ascii="HelveticaNeueLT Std" w:hAnsi="HelveticaNeueLT Std"/>
          <w:b/>
          <w:sz w:val="20"/>
          <w:lang w:val="es-MX"/>
        </w:rPr>
      </w:pPr>
    </w:p>
    <w:p w:rsidR="00591062" w:rsidRDefault="00591062" w:rsidP="00591062">
      <w:pPr>
        <w:tabs>
          <w:tab w:val="left" w:pos="1803"/>
        </w:tabs>
        <w:spacing w:after="101" w:line="276" w:lineRule="auto"/>
        <w:ind w:right="-1"/>
        <w:jc w:val="both"/>
        <w:rPr>
          <w:rFonts w:eastAsia="Times New Roman" w:cs="Arial"/>
          <w:color w:val="000000"/>
          <w:lang w:eastAsia="es-ES"/>
        </w:rPr>
      </w:pPr>
      <w:r w:rsidRPr="00B05C27">
        <w:rPr>
          <w:rFonts w:eastAsia="Times New Roman" w:cs="Arial"/>
          <w:b/>
          <w:lang w:eastAsia="es-ES"/>
        </w:rPr>
        <w:t>Depreciación, Deterioro y Amortización Acumulada de Bienes</w:t>
      </w:r>
      <w:r w:rsidRPr="00B05C27">
        <w:rPr>
          <w:rFonts w:eastAsia="Times New Roman" w:cs="Arial"/>
          <w:lang w:eastAsia="es-ES"/>
        </w:rPr>
        <w:t xml:space="preserve">. - El saldo de </w:t>
      </w:r>
      <w:r w:rsidRPr="008769F8">
        <w:rPr>
          <w:rFonts w:eastAsia="Times New Roman" w:cs="Arial"/>
          <w:lang w:eastAsia="es-ES"/>
        </w:rPr>
        <w:t xml:space="preserve"> </w:t>
      </w:r>
      <w:r>
        <w:rPr>
          <w:rFonts w:eastAsia="Times New Roman" w:cs="Arial"/>
          <w:lang w:eastAsia="es-ES"/>
        </w:rPr>
        <w:t xml:space="preserve"> 133, 204,121.66</w:t>
      </w:r>
      <w:r w:rsidRPr="00D35326">
        <w:rPr>
          <w:rFonts w:eastAsia="Times New Roman" w:cs="Arial"/>
          <w:lang w:eastAsia="es-ES"/>
        </w:rPr>
        <w:t xml:space="preserve"> </w:t>
      </w:r>
      <w:r w:rsidRPr="008769F8">
        <w:rPr>
          <w:rFonts w:eastAsia="Times New Roman" w:cs="Arial"/>
          <w:lang w:eastAsia="es-ES"/>
        </w:rPr>
        <w:t xml:space="preserve">se integra con las siguientes cuentas, dando un total neto en el rubro de activo fijo </w:t>
      </w:r>
      <w:r w:rsidRPr="008769F8">
        <w:rPr>
          <w:rFonts w:eastAsia="Times New Roman" w:cs="Arial"/>
          <w:color w:val="000000"/>
          <w:lang w:eastAsia="es-ES"/>
        </w:rPr>
        <w:t xml:space="preserve">de </w:t>
      </w:r>
      <w:r w:rsidRPr="00440F0A">
        <w:rPr>
          <w:rFonts w:eastAsia="Times New Roman" w:cs="Arial"/>
          <w:color w:val="000000"/>
          <w:lang w:eastAsia="es-ES"/>
        </w:rPr>
        <w:t>169, 250,171.51</w:t>
      </w:r>
    </w:p>
    <w:p w:rsidR="00591062" w:rsidRPr="00D20C3D" w:rsidRDefault="00591062" w:rsidP="00591062">
      <w:pPr>
        <w:spacing w:after="101" w:line="276" w:lineRule="auto"/>
        <w:ind w:right="-1"/>
        <w:jc w:val="both"/>
        <w:rPr>
          <w:rFonts w:eastAsia="Times New Roman" w:cs="Arial"/>
          <w:lang w:eastAsia="es-ES"/>
        </w:rPr>
      </w:pPr>
      <w:r w:rsidRPr="00B05C27">
        <w:rPr>
          <w:rFonts w:eastAsia="Times New Roman" w:cs="Arial"/>
          <w:b/>
          <w:lang w:eastAsia="es-ES"/>
        </w:rPr>
        <w:t>Depreciación Acumulada de Bienes Inmuebles. -</w:t>
      </w:r>
      <w:r>
        <w:rPr>
          <w:rFonts w:eastAsia="Times New Roman" w:cs="Arial"/>
          <w:lang w:eastAsia="es-ES"/>
        </w:rPr>
        <w:t xml:space="preserve"> </w:t>
      </w:r>
      <w:r w:rsidRPr="00D20C3D">
        <w:rPr>
          <w:rFonts w:eastAsia="Times New Roman" w:cs="Arial"/>
          <w:lang w:eastAsia="es-ES"/>
        </w:rPr>
        <w:t xml:space="preserve">El saldo de </w:t>
      </w:r>
      <w:r>
        <w:rPr>
          <w:rFonts w:eastAsia="Times New Roman" w:cs="Arial"/>
          <w:lang w:eastAsia="es-ES"/>
        </w:rPr>
        <w:t xml:space="preserve">6, 439,274.79 </w:t>
      </w:r>
      <w:r w:rsidRPr="00D20C3D">
        <w:rPr>
          <w:rFonts w:eastAsia="Times New Roman" w:cs="Arial"/>
          <w:lang w:eastAsia="es-ES"/>
        </w:rPr>
        <w:t xml:space="preserve">es el importe de la disminución a valores históricos de los bienes inmuebles del Instituto, el total neto en la cuenta de Edificios No Habitacionales es por </w:t>
      </w:r>
      <w:r>
        <w:rPr>
          <w:rFonts w:eastAsia="Times New Roman" w:cs="Arial"/>
          <w:lang w:eastAsia="es-ES"/>
        </w:rPr>
        <w:t>48, 754,508.92</w:t>
      </w:r>
    </w:p>
    <w:p w:rsidR="00591062" w:rsidRDefault="00591062" w:rsidP="00591062">
      <w:pPr>
        <w:spacing w:after="101" w:line="276" w:lineRule="auto"/>
        <w:ind w:right="-1"/>
        <w:jc w:val="both"/>
        <w:rPr>
          <w:rFonts w:eastAsia="Times New Roman" w:cs="Arial"/>
          <w:lang w:eastAsia="es-ES"/>
        </w:rPr>
      </w:pPr>
      <w:r w:rsidRPr="00EA3E01">
        <w:rPr>
          <w:rFonts w:eastAsia="Times New Roman" w:cs="Arial"/>
          <w:b/>
          <w:lang w:eastAsia="es-ES"/>
        </w:rPr>
        <w:t>Depreciación Acumulada de Bienes Muebles. -</w:t>
      </w:r>
      <w:r w:rsidRPr="00EA3E01">
        <w:rPr>
          <w:rFonts w:eastAsia="Times New Roman" w:cs="Arial"/>
          <w:lang w:eastAsia="es-ES"/>
        </w:rPr>
        <w:t xml:space="preserve"> El saldo de  </w:t>
      </w:r>
      <w:r w:rsidRPr="00D35326">
        <w:rPr>
          <w:rFonts w:eastAsia="Times New Roman" w:cs="Arial"/>
          <w:lang w:eastAsia="es-ES"/>
        </w:rPr>
        <w:t xml:space="preserve"> </w:t>
      </w:r>
      <w:r>
        <w:rPr>
          <w:rFonts w:eastAsia="Times New Roman" w:cs="Arial"/>
          <w:lang w:eastAsia="es-ES"/>
        </w:rPr>
        <w:t xml:space="preserve">126, 764,846.87 </w:t>
      </w:r>
      <w:r w:rsidRPr="00EA3E01">
        <w:rPr>
          <w:rFonts w:eastAsia="Times New Roman" w:cs="Arial"/>
          <w:lang w:eastAsia="es-ES"/>
        </w:rPr>
        <w:t xml:space="preserve">es el importe de la disminución a valores históricos de los bienes muebles del Instituto, dando un total neto en este rubro por  </w:t>
      </w:r>
      <w:r w:rsidRPr="00D35326">
        <w:rPr>
          <w:rFonts w:eastAsia="Times New Roman" w:cs="Arial"/>
          <w:lang w:eastAsia="es-ES"/>
        </w:rPr>
        <w:t xml:space="preserve"> </w:t>
      </w:r>
      <w:r>
        <w:rPr>
          <w:rFonts w:eastAsia="Times New Roman" w:cs="Arial"/>
          <w:lang w:eastAsia="es-ES"/>
        </w:rPr>
        <w:t>89, 363,711.11</w:t>
      </w:r>
    </w:p>
    <w:p w:rsidR="00591062" w:rsidRDefault="00591062" w:rsidP="00591062">
      <w:pPr>
        <w:spacing w:after="101" w:line="276" w:lineRule="auto"/>
        <w:ind w:right="-1"/>
        <w:jc w:val="both"/>
        <w:rPr>
          <w:rFonts w:eastAsia="Times New Roman" w:cs="Arial"/>
          <w:lang w:eastAsia="es-ES"/>
        </w:rPr>
      </w:pPr>
    </w:p>
    <w:p w:rsidR="00591062" w:rsidRPr="00B05C27" w:rsidRDefault="00591062" w:rsidP="00591062">
      <w:pPr>
        <w:pStyle w:val="Prrafodelista"/>
        <w:numPr>
          <w:ilvl w:val="0"/>
          <w:numId w:val="12"/>
        </w:numPr>
        <w:spacing w:after="240" w:line="276" w:lineRule="auto"/>
        <w:ind w:right="-1"/>
        <w:jc w:val="both"/>
        <w:rPr>
          <w:rFonts w:ascii="HelveticaNeueLT Std" w:hAnsi="HelveticaNeueLT Std"/>
          <w:b/>
          <w:sz w:val="20"/>
          <w:szCs w:val="20"/>
        </w:rPr>
      </w:pPr>
      <w:r w:rsidRPr="00B05C27">
        <w:rPr>
          <w:rFonts w:ascii="HelveticaNeueLT Std" w:hAnsi="HelveticaNeueLT Std"/>
          <w:b/>
          <w:sz w:val="20"/>
          <w:szCs w:val="20"/>
        </w:rPr>
        <w:t>Fideicomisos, Mandatos y Análogos</w:t>
      </w:r>
    </w:p>
    <w:p w:rsidR="00591062" w:rsidRPr="00B05C27" w:rsidRDefault="00591062" w:rsidP="00591062">
      <w:pPr>
        <w:numPr>
          <w:ilvl w:val="0"/>
          <w:numId w:val="13"/>
        </w:numPr>
        <w:spacing w:after="240" w:line="276" w:lineRule="auto"/>
        <w:ind w:right="-1"/>
        <w:jc w:val="both"/>
        <w:rPr>
          <w:rFonts w:cs="Arial"/>
        </w:rPr>
      </w:pPr>
      <w:r w:rsidRPr="00B05C27">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591062" w:rsidRPr="00B05C27" w:rsidRDefault="00591062" w:rsidP="00591062">
      <w:pPr>
        <w:numPr>
          <w:ilvl w:val="0"/>
          <w:numId w:val="13"/>
        </w:numPr>
        <w:spacing w:after="240" w:line="276" w:lineRule="auto"/>
        <w:ind w:right="-1"/>
        <w:jc w:val="both"/>
        <w:rPr>
          <w:rFonts w:cs="Arial"/>
        </w:rPr>
      </w:pPr>
      <w:r w:rsidRPr="00B05C27">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591062" w:rsidRPr="00B05C27" w:rsidRDefault="00591062" w:rsidP="00591062">
      <w:pPr>
        <w:numPr>
          <w:ilvl w:val="0"/>
          <w:numId w:val="13"/>
        </w:numPr>
        <w:spacing w:after="240" w:line="276" w:lineRule="auto"/>
        <w:ind w:right="-1"/>
        <w:jc w:val="both"/>
        <w:rPr>
          <w:rFonts w:cs="Arial"/>
        </w:rPr>
      </w:pPr>
      <w:r w:rsidRPr="00B05C27">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rsidR="00591062" w:rsidRPr="00B05C27" w:rsidRDefault="00591062" w:rsidP="00591062">
      <w:pPr>
        <w:numPr>
          <w:ilvl w:val="0"/>
          <w:numId w:val="13"/>
        </w:numPr>
        <w:spacing w:after="240" w:line="276" w:lineRule="auto"/>
        <w:ind w:right="-1"/>
        <w:jc w:val="both"/>
        <w:rPr>
          <w:rFonts w:cs="Arial"/>
        </w:rPr>
      </w:pPr>
      <w:r w:rsidRPr="00B05C27">
        <w:rPr>
          <w:rFonts w:cs="Arial"/>
        </w:rPr>
        <w:t>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Invex, S.A., Institución de Banca Múltiple Invex Grupo Financiero y Monex Casa de Bolsa, S.A. de C.V., como “Fiduciarios” representantes comunes de los tenedores de los Certificados Bursátiles Fiduciarios Series “A” y “B”.</w:t>
      </w:r>
    </w:p>
    <w:p w:rsidR="00591062" w:rsidRPr="00440F0A" w:rsidRDefault="00591062" w:rsidP="00591062">
      <w:pPr>
        <w:numPr>
          <w:ilvl w:val="0"/>
          <w:numId w:val="13"/>
        </w:numPr>
        <w:spacing w:line="276" w:lineRule="auto"/>
        <w:ind w:right="-1"/>
        <w:jc w:val="both"/>
        <w:rPr>
          <w:rFonts w:cs="Arial"/>
        </w:rPr>
      </w:pPr>
      <w:r w:rsidRPr="00B05C27">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w:t>
      </w:r>
    </w:p>
    <w:p w:rsidR="00591062" w:rsidRPr="006351E0" w:rsidRDefault="00591062" w:rsidP="00591062">
      <w:pPr>
        <w:spacing w:line="276" w:lineRule="auto"/>
        <w:ind w:left="786" w:right="-1"/>
        <w:jc w:val="both"/>
        <w:rPr>
          <w:rFonts w:cs="Arial"/>
        </w:rPr>
      </w:pPr>
      <w:r w:rsidRPr="006351E0">
        <w:rPr>
          <w:rFonts w:cs="Arial"/>
        </w:rPr>
        <w:t>The Bank of New York Mellon, S.A., Institución de Banca Múltiple como mandatario del Garante “A” y del Garante “B”.</w:t>
      </w:r>
    </w:p>
    <w:p w:rsidR="00591062" w:rsidRPr="00B05C27" w:rsidRDefault="00591062" w:rsidP="00591062">
      <w:pPr>
        <w:numPr>
          <w:ilvl w:val="0"/>
          <w:numId w:val="13"/>
        </w:numPr>
        <w:spacing w:line="276" w:lineRule="auto"/>
        <w:ind w:right="-1"/>
        <w:jc w:val="both"/>
        <w:rPr>
          <w:rFonts w:cs="Arial"/>
        </w:rPr>
      </w:pPr>
      <w:r w:rsidRPr="00B05C27">
        <w:rPr>
          <w:rFonts w:cs="Arial"/>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rsidR="00591062" w:rsidRPr="00B05C27" w:rsidRDefault="00591062" w:rsidP="00591062">
      <w:pPr>
        <w:numPr>
          <w:ilvl w:val="0"/>
          <w:numId w:val="13"/>
        </w:numPr>
        <w:spacing w:line="276" w:lineRule="auto"/>
        <w:ind w:right="-1"/>
        <w:jc w:val="both"/>
        <w:rPr>
          <w:rFonts w:cs="Arial"/>
        </w:rPr>
      </w:pPr>
      <w:r w:rsidRPr="00B05C27">
        <w:rPr>
          <w:rFonts w:cs="Arial"/>
        </w:rPr>
        <w:t>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Treasury Cost,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rsidR="00591062" w:rsidRPr="00B05C27" w:rsidRDefault="00591062" w:rsidP="00591062">
      <w:pPr>
        <w:numPr>
          <w:ilvl w:val="0"/>
          <w:numId w:val="13"/>
        </w:numPr>
        <w:spacing w:line="276" w:lineRule="auto"/>
        <w:ind w:right="-1"/>
        <w:jc w:val="both"/>
        <w:rPr>
          <w:rFonts w:cs="Arial"/>
        </w:rPr>
      </w:pPr>
      <w:r w:rsidRPr="00B05C27">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rsidR="00591062" w:rsidRPr="00B05C27" w:rsidRDefault="00591062" w:rsidP="00591062">
      <w:pPr>
        <w:numPr>
          <w:ilvl w:val="0"/>
          <w:numId w:val="13"/>
        </w:numPr>
        <w:spacing w:after="240" w:line="276" w:lineRule="auto"/>
        <w:ind w:right="-1"/>
        <w:jc w:val="both"/>
        <w:rPr>
          <w:rFonts w:cs="Arial"/>
        </w:rPr>
      </w:pPr>
      <w:r w:rsidRPr="00B05C27">
        <w:rPr>
          <w:rFonts w:cs="Arial"/>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por ciento del saldo insoluto.</w:t>
      </w:r>
    </w:p>
    <w:p w:rsidR="00591062" w:rsidRDefault="00591062" w:rsidP="00591062">
      <w:pPr>
        <w:numPr>
          <w:ilvl w:val="0"/>
          <w:numId w:val="13"/>
        </w:numPr>
        <w:spacing w:line="276" w:lineRule="auto"/>
        <w:ind w:right="-1"/>
        <w:jc w:val="both"/>
        <w:rPr>
          <w:rFonts w:cs="Arial"/>
        </w:rPr>
      </w:pPr>
      <w:r w:rsidRPr="00B05C27">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591062" w:rsidRPr="00211916" w:rsidRDefault="00591062" w:rsidP="00591062">
      <w:pPr>
        <w:spacing w:line="276" w:lineRule="auto"/>
        <w:ind w:left="786" w:right="-1"/>
        <w:jc w:val="both"/>
        <w:rPr>
          <w:rFonts w:cs="Arial"/>
        </w:rPr>
      </w:pPr>
    </w:p>
    <w:p w:rsidR="00591062" w:rsidRPr="00B05C27" w:rsidRDefault="00591062" w:rsidP="00591062">
      <w:pPr>
        <w:numPr>
          <w:ilvl w:val="0"/>
          <w:numId w:val="13"/>
        </w:numPr>
        <w:spacing w:line="276" w:lineRule="auto"/>
        <w:ind w:right="-1"/>
        <w:jc w:val="both"/>
        <w:rPr>
          <w:rFonts w:cs="Arial"/>
        </w:rPr>
      </w:pPr>
      <w:r w:rsidRPr="00B05C27">
        <w:rPr>
          <w:rFonts w:cs="Arial"/>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591062" w:rsidRPr="00B05C27" w:rsidRDefault="00591062" w:rsidP="00591062">
      <w:pPr>
        <w:numPr>
          <w:ilvl w:val="0"/>
          <w:numId w:val="13"/>
        </w:numPr>
        <w:spacing w:line="276" w:lineRule="auto"/>
        <w:ind w:right="-1"/>
        <w:jc w:val="both"/>
        <w:rPr>
          <w:rFonts w:cs="Arial"/>
        </w:rPr>
      </w:pPr>
      <w:r w:rsidRPr="00B05C27">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rsidR="00591062" w:rsidRDefault="00591062" w:rsidP="00591062">
      <w:pPr>
        <w:numPr>
          <w:ilvl w:val="0"/>
          <w:numId w:val="13"/>
        </w:numPr>
        <w:spacing w:line="276" w:lineRule="auto"/>
        <w:ind w:right="-1"/>
        <w:jc w:val="both"/>
        <w:rPr>
          <w:rFonts w:cs="Arial"/>
        </w:rPr>
      </w:pPr>
      <w:r w:rsidRPr="00B05C27">
        <w:rPr>
          <w:rFonts w:cs="Arial"/>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rsidR="00843E0A" w:rsidRPr="00B53B61" w:rsidRDefault="00843E0A" w:rsidP="00843E0A">
      <w:pPr>
        <w:spacing w:line="276" w:lineRule="auto"/>
        <w:ind w:right="-1"/>
        <w:jc w:val="both"/>
        <w:rPr>
          <w:rFonts w:cs="Arial"/>
        </w:rPr>
      </w:pPr>
    </w:p>
    <w:p w:rsidR="00591062" w:rsidRDefault="00591062" w:rsidP="00591062">
      <w:pPr>
        <w:pStyle w:val="Prrafodelista"/>
        <w:numPr>
          <w:ilvl w:val="0"/>
          <w:numId w:val="12"/>
        </w:numPr>
        <w:spacing w:line="276" w:lineRule="auto"/>
        <w:ind w:right="-1"/>
        <w:rPr>
          <w:rFonts w:cs="Arial"/>
          <w:b/>
        </w:rPr>
      </w:pPr>
      <w:r w:rsidRPr="0094283C">
        <w:rPr>
          <w:rFonts w:cs="Arial"/>
          <w:b/>
        </w:rPr>
        <w:t xml:space="preserve">Reporte de la Recaudación: </w:t>
      </w:r>
    </w:p>
    <w:p w:rsidR="00591062" w:rsidRPr="0094283C" w:rsidRDefault="00591062" w:rsidP="00591062">
      <w:pPr>
        <w:pStyle w:val="Prrafodelista"/>
        <w:spacing w:line="276" w:lineRule="auto"/>
        <w:ind w:left="644" w:right="-1"/>
        <w:rPr>
          <w:rFonts w:cs="Arial"/>
          <w:b/>
        </w:rPr>
      </w:pPr>
    </w:p>
    <w:p w:rsidR="00591062" w:rsidRDefault="00591062" w:rsidP="00591062">
      <w:pPr>
        <w:spacing w:line="276" w:lineRule="auto"/>
        <w:ind w:right="-1"/>
        <w:rPr>
          <w:sz w:val="19"/>
          <w:szCs w:val="19"/>
        </w:rPr>
      </w:pPr>
      <w:r w:rsidRPr="00B85C67">
        <w:rPr>
          <w:noProof/>
          <w:lang w:eastAsia="es-MX"/>
        </w:rPr>
        <w:drawing>
          <wp:inline distT="0" distB="0" distL="0" distR="0" wp14:anchorId="2FD2FFBE" wp14:editId="4CA9E574">
            <wp:extent cx="6388615" cy="3276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0915" cy="3277780"/>
                    </a:xfrm>
                    <a:prstGeom prst="rect">
                      <a:avLst/>
                    </a:prstGeom>
                    <a:noFill/>
                    <a:ln>
                      <a:noFill/>
                    </a:ln>
                  </pic:spPr>
                </pic:pic>
              </a:graphicData>
            </a:graphic>
          </wp:inline>
        </w:drawing>
      </w:r>
    </w:p>
    <w:p w:rsidR="00591062" w:rsidRPr="00D8149A" w:rsidRDefault="00591062" w:rsidP="00591062">
      <w:pPr>
        <w:pStyle w:val="Sinespaciado"/>
        <w:jc w:val="both"/>
        <w:rPr>
          <w:rFonts w:ascii="Helvetica" w:hAnsi="Helvetica"/>
        </w:rPr>
      </w:pPr>
    </w:p>
    <w:p w:rsidR="00591062" w:rsidRPr="00D30E52" w:rsidRDefault="00591062" w:rsidP="00591062">
      <w:pPr>
        <w:pStyle w:val="Sinespaciado"/>
        <w:jc w:val="both"/>
        <w:rPr>
          <w:rFonts w:cs="Arial"/>
          <w:b/>
        </w:rPr>
      </w:pPr>
      <w:r w:rsidRPr="00D30E52">
        <w:rPr>
          <w:rFonts w:cs="Arial"/>
          <w:b/>
        </w:rPr>
        <w:t>INGRESOS.</w:t>
      </w:r>
    </w:p>
    <w:p w:rsidR="00591062" w:rsidRPr="00C6754B" w:rsidRDefault="00591062" w:rsidP="00591062">
      <w:pPr>
        <w:pStyle w:val="Sinespaciado"/>
        <w:jc w:val="both"/>
        <w:rPr>
          <w:rFonts w:ascii="Helvetica" w:hAnsi="Helvetica"/>
          <w:highlight w:val="cyan"/>
        </w:rPr>
      </w:pPr>
    </w:p>
    <w:p w:rsidR="00591062" w:rsidRPr="000B7DB7" w:rsidRDefault="00591062" w:rsidP="00591062">
      <w:pPr>
        <w:pStyle w:val="Sinespaciado"/>
        <w:jc w:val="both"/>
        <w:rPr>
          <w:rFonts w:cs="Arial"/>
        </w:rPr>
      </w:pPr>
      <w:r w:rsidRPr="000B7DB7">
        <w:rPr>
          <w:rFonts w:cs="Arial"/>
        </w:rPr>
        <w:t>Inicialmente se previó recaudar en la Ley de Ingresos Estimada la cantidad de 1,919,229,732.00, se dio una asignación en el Capítulo de Inversión Pública por 34,568,177.69 que corresponden al Programa Acciones para el Desarrollo (PAD), denominado “Regularización de Tenencia de la Tierra, provenientes del Gobierno del Estado de México (GEM), cuya fuente de financiamiento son recursos estales, dando un total autorizado de 1,953,797,909.69. Se han realizado ampliaciones al presupuesto por un total de 1</w:t>
      </w:r>
      <w:r>
        <w:rPr>
          <w:rFonts w:cs="Arial"/>
        </w:rPr>
        <w:t>77</w:t>
      </w:r>
      <w:r w:rsidRPr="000B7DB7">
        <w:rPr>
          <w:rFonts w:cs="Arial"/>
        </w:rPr>
        <w:t>,</w:t>
      </w:r>
      <w:r>
        <w:rPr>
          <w:rFonts w:cs="Arial"/>
        </w:rPr>
        <w:t>099</w:t>
      </w:r>
      <w:r w:rsidRPr="000B7DB7">
        <w:rPr>
          <w:rFonts w:cs="Arial"/>
        </w:rPr>
        <w:t>,</w:t>
      </w:r>
      <w:r>
        <w:rPr>
          <w:rFonts w:cs="Arial"/>
        </w:rPr>
        <w:t>691</w:t>
      </w:r>
      <w:r w:rsidRPr="000B7DB7">
        <w:rPr>
          <w:rFonts w:cs="Arial"/>
        </w:rPr>
        <w:t>.</w:t>
      </w:r>
      <w:r>
        <w:rPr>
          <w:rFonts w:cs="Arial"/>
        </w:rPr>
        <w:t>50</w:t>
      </w:r>
    </w:p>
    <w:p w:rsidR="00591062" w:rsidRPr="000B7DB7" w:rsidRDefault="00591062" w:rsidP="00591062">
      <w:pPr>
        <w:pStyle w:val="Sinespaciado"/>
        <w:jc w:val="both"/>
        <w:rPr>
          <w:rFonts w:cs="Arial"/>
          <w:color w:val="C00000"/>
        </w:rPr>
      </w:pPr>
    </w:p>
    <w:p w:rsidR="00591062" w:rsidRPr="000B7DB7" w:rsidRDefault="00591062" w:rsidP="00591062">
      <w:pPr>
        <w:pStyle w:val="Sinespaciado"/>
        <w:jc w:val="both"/>
        <w:rPr>
          <w:rFonts w:cs="Arial"/>
        </w:rPr>
      </w:pPr>
      <w:r w:rsidRPr="000B7DB7">
        <w:rPr>
          <w:rFonts w:cs="Arial"/>
        </w:rPr>
        <w:t xml:space="preserve">El importe total recaudado al mes que se analiza fue de </w:t>
      </w:r>
      <w:r w:rsidRPr="00677FB7">
        <w:rPr>
          <w:rFonts w:cs="Arial"/>
        </w:rPr>
        <w:t>1,</w:t>
      </w:r>
      <w:r>
        <w:rPr>
          <w:rFonts w:cs="Arial"/>
        </w:rPr>
        <w:t>403</w:t>
      </w:r>
      <w:r w:rsidRPr="00677FB7">
        <w:rPr>
          <w:rFonts w:cs="Arial"/>
        </w:rPr>
        <w:t>,</w:t>
      </w:r>
      <w:r>
        <w:rPr>
          <w:rFonts w:cs="Arial"/>
        </w:rPr>
        <w:t>402</w:t>
      </w:r>
      <w:r w:rsidRPr="00677FB7">
        <w:rPr>
          <w:rFonts w:cs="Arial"/>
        </w:rPr>
        <w:t>,</w:t>
      </w:r>
      <w:r>
        <w:rPr>
          <w:rFonts w:cs="Arial"/>
        </w:rPr>
        <w:t>439</w:t>
      </w:r>
      <w:r w:rsidRPr="00677FB7">
        <w:rPr>
          <w:rFonts w:cs="Arial"/>
        </w:rPr>
        <w:t>.</w:t>
      </w:r>
      <w:r>
        <w:rPr>
          <w:rFonts w:cs="Arial"/>
        </w:rPr>
        <w:t>4</w:t>
      </w:r>
      <w:r w:rsidRPr="00677FB7">
        <w:rPr>
          <w:rFonts w:cs="Arial"/>
        </w:rPr>
        <w:t>3</w:t>
      </w:r>
      <w:r w:rsidRPr="000B7DB7">
        <w:rPr>
          <w:rFonts w:cs="Arial"/>
        </w:rPr>
        <w:t xml:space="preserve">, que representa el </w:t>
      </w:r>
      <w:r>
        <w:rPr>
          <w:rFonts w:cs="Arial"/>
        </w:rPr>
        <w:t>65</w:t>
      </w:r>
      <w:r w:rsidRPr="00677FB7">
        <w:rPr>
          <w:rFonts w:cs="Arial"/>
        </w:rPr>
        <w:t>.</w:t>
      </w:r>
      <w:r>
        <w:rPr>
          <w:rFonts w:cs="Arial"/>
        </w:rPr>
        <w:t>8</w:t>
      </w:r>
      <w:r w:rsidRPr="00677FB7">
        <w:rPr>
          <w:rFonts w:cs="Arial"/>
        </w:rPr>
        <w:t>6</w:t>
      </w:r>
      <w:r w:rsidRPr="000B7DB7">
        <w:rPr>
          <w:rFonts w:cs="Arial"/>
        </w:rPr>
        <w:t xml:space="preserve"> por ciento de</w:t>
      </w:r>
      <w:r>
        <w:rPr>
          <w:rFonts w:cs="Arial"/>
        </w:rPr>
        <w:t>l total autorizado</w:t>
      </w:r>
      <w:r w:rsidRPr="000B7DB7">
        <w:rPr>
          <w:rFonts w:cs="Arial"/>
        </w:rPr>
        <w:t>.</w:t>
      </w:r>
    </w:p>
    <w:p w:rsidR="00591062" w:rsidRPr="00C6754B" w:rsidRDefault="00591062" w:rsidP="00591062">
      <w:pPr>
        <w:pStyle w:val="Sinespaciado"/>
        <w:spacing w:line="276" w:lineRule="auto"/>
        <w:jc w:val="both"/>
        <w:rPr>
          <w:rFonts w:cs="Arial"/>
          <w:highlight w:val="cyan"/>
        </w:rPr>
      </w:pPr>
    </w:p>
    <w:p w:rsidR="00591062" w:rsidRPr="003740AF" w:rsidRDefault="00591062" w:rsidP="00591062">
      <w:pPr>
        <w:pStyle w:val="Sinespaciado"/>
        <w:jc w:val="both"/>
        <w:rPr>
          <w:rFonts w:cs="Arial"/>
          <w:b/>
        </w:rPr>
      </w:pPr>
      <w:r w:rsidRPr="003740AF">
        <w:rPr>
          <w:rFonts w:cs="Arial"/>
          <w:b/>
        </w:rPr>
        <w:t>INGRESOS DE GESTIÓN.</w:t>
      </w:r>
    </w:p>
    <w:p w:rsidR="00591062" w:rsidRPr="003740AF" w:rsidRDefault="00591062" w:rsidP="00591062">
      <w:pPr>
        <w:pStyle w:val="Sinespaciado"/>
        <w:jc w:val="both"/>
        <w:rPr>
          <w:rFonts w:cs="Arial"/>
        </w:rPr>
      </w:pPr>
    </w:p>
    <w:p w:rsidR="00591062" w:rsidRPr="003740AF" w:rsidRDefault="00591062" w:rsidP="00591062">
      <w:pPr>
        <w:pStyle w:val="Sinespaciado"/>
        <w:jc w:val="both"/>
        <w:rPr>
          <w:rFonts w:cs="Arial"/>
        </w:rPr>
      </w:pPr>
      <w:r w:rsidRPr="003740AF">
        <w:rPr>
          <w:rFonts w:cs="Arial"/>
        </w:rPr>
        <w:t xml:space="preserve">Inicialmente se previó recaudar ingresos por concepto de derechos del Registro Público de la Propiedad y Comercio por 1,112,468,344.00. Se han realizado una ampliación no liquida al presupuesto por 21,501,311.00 por necesidades del Instituto. Se han recaudado por los derechos de los servicios que presta el Instituto </w:t>
      </w:r>
      <w:r>
        <w:rPr>
          <w:rFonts w:cs="Arial"/>
        </w:rPr>
        <w:t>682,631,163.00</w:t>
      </w:r>
      <w:r w:rsidRPr="003740AF">
        <w:rPr>
          <w:rFonts w:cs="Arial"/>
        </w:rPr>
        <w:t xml:space="preserve">, por lo tanto, falta por recaudar el </w:t>
      </w:r>
      <w:r>
        <w:rPr>
          <w:rFonts w:cs="Arial"/>
        </w:rPr>
        <w:t>39</w:t>
      </w:r>
      <w:r w:rsidRPr="003740AF">
        <w:rPr>
          <w:rFonts w:cs="Arial"/>
        </w:rPr>
        <w:t>.</w:t>
      </w:r>
      <w:r>
        <w:rPr>
          <w:rFonts w:cs="Arial"/>
        </w:rPr>
        <w:t>80</w:t>
      </w:r>
      <w:r w:rsidRPr="003740AF">
        <w:rPr>
          <w:rFonts w:cs="Arial"/>
        </w:rPr>
        <w:t xml:space="preserve"> por ciento de lo proyectado. </w:t>
      </w:r>
    </w:p>
    <w:p w:rsidR="00591062" w:rsidRPr="003740AF" w:rsidRDefault="00591062" w:rsidP="00591062">
      <w:pPr>
        <w:pStyle w:val="Sinespaciado"/>
        <w:jc w:val="both"/>
        <w:rPr>
          <w:rFonts w:cs="Arial"/>
        </w:rPr>
      </w:pPr>
    </w:p>
    <w:p w:rsidR="00591062" w:rsidRPr="00C6754B" w:rsidRDefault="00591062" w:rsidP="00591062">
      <w:pPr>
        <w:pStyle w:val="Sinespaciado"/>
        <w:spacing w:line="276" w:lineRule="auto"/>
        <w:jc w:val="both"/>
        <w:rPr>
          <w:rFonts w:cs="Arial"/>
          <w:highlight w:val="cyan"/>
        </w:rPr>
      </w:pPr>
      <w:r w:rsidRPr="00C6754B">
        <w:rPr>
          <w:rFonts w:cs="Arial"/>
          <w:highlight w:val="cyan"/>
        </w:rPr>
        <w:t xml:space="preserve"> </w:t>
      </w:r>
    </w:p>
    <w:p w:rsidR="00591062" w:rsidRDefault="00591062" w:rsidP="00591062">
      <w:pPr>
        <w:pStyle w:val="Sinespaciado"/>
        <w:jc w:val="both"/>
        <w:rPr>
          <w:rFonts w:cs="Arial"/>
          <w:b/>
        </w:rPr>
      </w:pPr>
      <w:r w:rsidRPr="00F6076C">
        <w:rPr>
          <w:rFonts w:cs="Arial"/>
          <w:b/>
        </w:rPr>
        <w:t>PARTICIPACIONES, APORTACIONES, TRANSFERENCIAS, ASIGNACIONES, SUBSIDIOS Y OTRAS AYUDAS.</w:t>
      </w:r>
    </w:p>
    <w:p w:rsidR="00591062" w:rsidRPr="00F6076C" w:rsidRDefault="00591062" w:rsidP="00591062">
      <w:pPr>
        <w:pStyle w:val="Sinespaciado"/>
        <w:jc w:val="both"/>
        <w:rPr>
          <w:rFonts w:cs="Arial"/>
          <w:b/>
        </w:rPr>
      </w:pPr>
    </w:p>
    <w:p w:rsidR="00591062" w:rsidRPr="000B7DB7" w:rsidRDefault="00591062" w:rsidP="00591062">
      <w:pPr>
        <w:pStyle w:val="Sinespaciado"/>
        <w:jc w:val="both"/>
        <w:rPr>
          <w:rFonts w:cs="Arial"/>
          <w:color w:val="7030A0"/>
        </w:rPr>
      </w:pPr>
    </w:p>
    <w:p w:rsidR="00591062" w:rsidRDefault="00591062" w:rsidP="00591062">
      <w:pPr>
        <w:pStyle w:val="Sinespaciado"/>
        <w:jc w:val="both"/>
        <w:rPr>
          <w:rFonts w:cs="Arial"/>
        </w:rPr>
      </w:pPr>
      <w:r w:rsidRPr="003740AF">
        <w:rPr>
          <w:rFonts w:cs="Arial"/>
        </w:rPr>
        <w:t xml:space="preserve">Se tiene autorizada la asignación presupuestal de los proyectos denominados “Regularización de Tenencia de la Tierra” por 34,568,177.69, este importe se refleja en el rubro del Programa de Acciones para el Desarrollo (PAD) y se encuentra ejercido en el comprometido y devengado en su totalidad, y se va recaudando con los depósitos que realiza mensualmente el GEM. </w:t>
      </w:r>
    </w:p>
    <w:p w:rsidR="00591062" w:rsidRPr="003740AF" w:rsidRDefault="00591062" w:rsidP="00591062">
      <w:pPr>
        <w:pStyle w:val="Sinespaciado"/>
        <w:jc w:val="both"/>
        <w:rPr>
          <w:rFonts w:cs="Arial"/>
        </w:rPr>
      </w:pPr>
    </w:p>
    <w:p w:rsidR="00591062" w:rsidRPr="00F6076C" w:rsidRDefault="00591062" w:rsidP="00591062">
      <w:pPr>
        <w:pStyle w:val="Sinespaciado"/>
        <w:jc w:val="both"/>
        <w:rPr>
          <w:rFonts w:cs="Arial"/>
          <w:b/>
        </w:rPr>
      </w:pPr>
      <w:r w:rsidRPr="00F6076C">
        <w:rPr>
          <w:rFonts w:cs="Arial"/>
          <w:b/>
        </w:rPr>
        <w:t>OTROS INGRESOS Y BENEFICIOS.</w:t>
      </w:r>
    </w:p>
    <w:p w:rsidR="00591062" w:rsidRPr="000B53E2" w:rsidRDefault="00591062" w:rsidP="00591062">
      <w:pPr>
        <w:pStyle w:val="Sinespaciado"/>
        <w:jc w:val="both"/>
        <w:rPr>
          <w:rFonts w:cs="Arial"/>
        </w:rPr>
      </w:pPr>
    </w:p>
    <w:p w:rsidR="00591062" w:rsidRPr="000B53E2" w:rsidRDefault="00591062" w:rsidP="00591062">
      <w:pPr>
        <w:pStyle w:val="Sinespaciado"/>
        <w:jc w:val="both"/>
        <w:rPr>
          <w:rFonts w:cs="Arial"/>
        </w:rPr>
      </w:pPr>
      <w:r w:rsidRPr="00E95451">
        <w:rPr>
          <w:rFonts w:cs="Arial"/>
        </w:rPr>
        <w:t xml:space="preserve">Se previeron recaudar ingresos por </w:t>
      </w:r>
      <w:r>
        <w:rPr>
          <w:rFonts w:cs="Arial"/>
        </w:rPr>
        <w:t>806,761,388.00</w:t>
      </w:r>
      <w:r w:rsidRPr="00E95451">
        <w:rPr>
          <w:rFonts w:cs="Arial"/>
        </w:rPr>
        <w:t xml:space="preserve">, integrados de la siguiente forma: </w:t>
      </w:r>
      <w:r>
        <w:rPr>
          <w:rFonts w:cs="Arial"/>
        </w:rPr>
        <w:t>248,195,766.35</w:t>
      </w:r>
      <w:r w:rsidRPr="00E95451">
        <w:rPr>
          <w:rFonts w:cs="Arial"/>
        </w:rPr>
        <w:t xml:space="preserve"> de “Otros Ingresos Financieros”, de los cuales </w:t>
      </w:r>
      <w:r>
        <w:rPr>
          <w:rFonts w:cs="Arial"/>
        </w:rPr>
        <w:t>232,917,854.00 para pago a la</w:t>
      </w:r>
      <w:r w:rsidRPr="00E95451">
        <w:rPr>
          <w:rFonts w:cs="Arial"/>
        </w:rPr>
        <w:t xml:space="preserve"> fiduciaria (bonos)</w:t>
      </w:r>
      <w:r>
        <w:rPr>
          <w:rFonts w:cs="Arial"/>
        </w:rPr>
        <w:t xml:space="preserve"> por</w:t>
      </w:r>
      <w:r w:rsidRPr="00E95451">
        <w:rPr>
          <w:rFonts w:cs="Arial"/>
        </w:rPr>
        <w:t xml:space="preserve"> intereses del Fideicomiso de Cobranza, más </w:t>
      </w:r>
      <w:r>
        <w:rPr>
          <w:rFonts w:cs="Arial"/>
        </w:rPr>
        <w:t>15,277,912.35</w:t>
      </w:r>
      <w:r w:rsidRPr="00E95451">
        <w:rPr>
          <w:rFonts w:cs="Arial"/>
        </w:rPr>
        <w:t xml:space="preserve"> de “Productos Financieros de Tipo Corriente”</w:t>
      </w:r>
      <w:r>
        <w:rPr>
          <w:rFonts w:cs="Arial"/>
        </w:rPr>
        <w:t>. D</w:t>
      </w:r>
      <w:r w:rsidRPr="00E95451">
        <w:rPr>
          <w:rFonts w:cs="Arial"/>
        </w:rPr>
        <w:t xml:space="preserve">e “Otros Ingresos” </w:t>
      </w:r>
      <w:r>
        <w:rPr>
          <w:rFonts w:cs="Arial"/>
        </w:rPr>
        <w:t>por 558,565,621.65,</w:t>
      </w:r>
      <w:r w:rsidRPr="00E95451">
        <w:rPr>
          <w:rFonts w:cs="Arial"/>
        </w:rPr>
        <w:t xml:space="preserve"> </w:t>
      </w:r>
      <w:r>
        <w:rPr>
          <w:rFonts w:cs="Arial"/>
        </w:rPr>
        <w:t xml:space="preserve">de los cuales 134,926,467.00 son </w:t>
      </w:r>
      <w:r w:rsidRPr="00E95451">
        <w:rPr>
          <w:rFonts w:cs="Arial"/>
        </w:rPr>
        <w:t>para los pagos de amortización de capital y suficiencia presupuestal</w:t>
      </w:r>
      <w:r>
        <w:rPr>
          <w:rFonts w:cs="Arial"/>
        </w:rPr>
        <w:t>,</w:t>
      </w:r>
      <w:r w:rsidRPr="00E95451">
        <w:rPr>
          <w:rFonts w:cs="Arial"/>
        </w:rPr>
        <w:t xml:space="preserve"> así como </w:t>
      </w:r>
      <w:r>
        <w:rPr>
          <w:rFonts w:cs="Arial"/>
        </w:rPr>
        <w:t>423,639,154.65 pesos</w:t>
      </w:r>
      <w:r w:rsidRPr="00E95451">
        <w:rPr>
          <w:rFonts w:cs="Arial"/>
        </w:rPr>
        <w:t xml:space="preserve"> para “Otros Ingresos Diversos”.</w:t>
      </w:r>
    </w:p>
    <w:p w:rsidR="00591062" w:rsidRPr="000B53E2" w:rsidRDefault="00591062" w:rsidP="00591062">
      <w:pPr>
        <w:pStyle w:val="Sinespaciado"/>
        <w:jc w:val="both"/>
        <w:rPr>
          <w:rFonts w:cs="Arial"/>
        </w:rPr>
      </w:pPr>
    </w:p>
    <w:p w:rsidR="00591062" w:rsidRDefault="00591062" w:rsidP="00591062">
      <w:pPr>
        <w:pStyle w:val="Sinespaciado"/>
        <w:jc w:val="both"/>
        <w:rPr>
          <w:rFonts w:cs="Arial"/>
        </w:rPr>
      </w:pPr>
      <w:r w:rsidRPr="007463B0">
        <w:rPr>
          <w:rFonts w:cs="Arial"/>
        </w:rPr>
        <w:t>De lo anterior se han realizado amp</w:t>
      </w:r>
      <w:r>
        <w:rPr>
          <w:rFonts w:cs="Arial"/>
        </w:rPr>
        <w:t>liaciones presupuestales por 66,</w:t>
      </w:r>
      <w:r w:rsidRPr="007463B0">
        <w:rPr>
          <w:rFonts w:cs="Arial"/>
        </w:rPr>
        <w:t>037</w:t>
      </w:r>
      <w:r>
        <w:rPr>
          <w:rFonts w:cs="Arial"/>
        </w:rPr>
        <w:t>,</w:t>
      </w:r>
      <w:r w:rsidRPr="007463B0">
        <w:rPr>
          <w:rFonts w:cs="Arial"/>
        </w:rPr>
        <w:t xml:space="preserve">650.13 </w:t>
      </w:r>
      <w:r>
        <w:rPr>
          <w:rFonts w:cs="Arial"/>
        </w:rPr>
        <w:t>p</w:t>
      </w:r>
      <w:r w:rsidRPr="007463B0">
        <w:rPr>
          <w:rFonts w:cs="Arial"/>
        </w:rPr>
        <w:t>ara Pago de (Bonos) Amortización de Capital</w:t>
      </w:r>
      <w:r>
        <w:rPr>
          <w:rFonts w:cs="Arial"/>
        </w:rPr>
        <w:t xml:space="preserve"> e </w:t>
      </w:r>
      <w:r w:rsidRPr="007463B0">
        <w:rPr>
          <w:rFonts w:cs="Arial"/>
        </w:rPr>
        <w:t xml:space="preserve">intereses; </w:t>
      </w:r>
      <w:r>
        <w:rPr>
          <w:rFonts w:cs="Arial"/>
        </w:rPr>
        <w:t xml:space="preserve">16,232,262.11 para el pago de adeudos de ejercicios fiscales anteriores (ADEFAS) 2018; 73,328,468.26 para  remanentes e intereses del fideicomiso de cobranza principalmente: </w:t>
      </w:r>
      <w:r w:rsidRPr="007463B0">
        <w:rPr>
          <w:rFonts w:cs="Arial"/>
        </w:rPr>
        <w:t>así como ampliaciones internas para dar suficiencia presupuestal a los otros ingresos por intereses generados en las cuentas bancarias</w:t>
      </w:r>
      <w:r>
        <w:rPr>
          <w:rFonts w:cs="Arial"/>
        </w:rPr>
        <w:t xml:space="preserve"> y</w:t>
      </w:r>
      <w:r w:rsidRPr="007463B0">
        <w:rPr>
          <w:rFonts w:cs="Arial"/>
        </w:rPr>
        <w:t xml:space="preserve"> para rendimientos de la remesa de ingresos por RPC (Registro Público de Comercio) principalmente</w:t>
      </w:r>
      <w:r>
        <w:rPr>
          <w:rFonts w:cs="Arial"/>
        </w:rPr>
        <w:t>.</w:t>
      </w:r>
    </w:p>
    <w:p w:rsidR="00591062" w:rsidRDefault="00591062" w:rsidP="00591062">
      <w:pPr>
        <w:pStyle w:val="Sinespaciado"/>
        <w:jc w:val="both"/>
        <w:rPr>
          <w:rFonts w:cs="Arial"/>
        </w:rPr>
      </w:pPr>
    </w:p>
    <w:p w:rsidR="00591062" w:rsidRDefault="00591062" w:rsidP="00591062">
      <w:pPr>
        <w:pStyle w:val="Sinespaciado"/>
        <w:jc w:val="both"/>
        <w:rPr>
          <w:rFonts w:cs="Arial"/>
        </w:rPr>
      </w:pPr>
      <w:r w:rsidRPr="00F6076C">
        <w:rPr>
          <w:rFonts w:cs="Arial"/>
          <w:b/>
        </w:rPr>
        <w:t>Otros Ingresos Financieros. -</w:t>
      </w:r>
      <w:r w:rsidRPr="000B53E2">
        <w:rPr>
          <w:rFonts w:cs="Arial"/>
        </w:rPr>
        <w:t xml:space="preserve"> Se </w:t>
      </w:r>
      <w:r w:rsidRPr="00025F2E">
        <w:rPr>
          <w:rFonts w:cs="Arial"/>
        </w:rPr>
        <w:t xml:space="preserve">tiene recaudado la cantidad de </w:t>
      </w:r>
      <w:r>
        <w:rPr>
          <w:rFonts w:cs="Arial"/>
        </w:rPr>
        <w:t>249,898,571.41</w:t>
      </w:r>
      <w:r w:rsidRPr="00025F2E">
        <w:rPr>
          <w:rFonts w:cs="Arial"/>
        </w:rPr>
        <w:t xml:space="preserve">, de los cuales </w:t>
      </w:r>
      <w:r w:rsidRPr="00025F2E">
        <w:t>242</w:t>
      </w:r>
      <w:r>
        <w:t>,</w:t>
      </w:r>
      <w:r w:rsidRPr="00025F2E">
        <w:t>127</w:t>
      </w:r>
      <w:r>
        <w:t>,</w:t>
      </w:r>
      <w:r w:rsidRPr="00025F2E">
        <w:t>870.36 corresponden a los ingresos</w:t>
      </w:r>
      <w:r w:rsidRPr="005B7A43">
        <w:t xml:space="preserve"> del Fideicomiso de Cobranza para los pagos de intereses de los bonos correspondientes al ejercicio y </w:t>
      </w:r>
      <w:r>
        <w:t>7,770,701.05</w:t>
      </w:r>
      <w:r w:rsidRPr="005B7A43">
        <w:t xml:space="preserve">, se derivan de rendimientos </w:t>
      </w:r>
      <w:r w:rsidRPr="005B7A43">
        <w:rPr>
          <w:rFonts w:cs="Arial"/>
        </w:rPr>
        <w:t>por intereses financieros generados p</w:t>
      </w:r>
      <w:r w:rsidRPr="000B53E2">
        <w:rPr>
          <w:rFonts w:cs="Arial"/>
        </w:rPr>
        <w:t>or las inversiones de las Institucio</w:t>
      </w:r>
      <w:r>
        <w:rPr>
          <w:rFonts w:cs="Arial"/>
        </w:rPr>
        <w:t>nes Bancarias de este Instituto.</w:t>
      </w:r>
    </w:p>
    <w:p w:rsidR="00591062" w:rsidRPr="000B53E2" w:rsidRDefault="00591062" w:rsidP="00591062">
      <w:pPr>
        <w:pStyle w:val="Sinespaciado"/>
        <w:jc w:val="both"/>
        <w:rPr>
          <w:rFonts w:cs="Arial"/>
        </w:rPr>
      </w:pPr>
    </w:p>
    <w:p w:rsidR="00591062" w:rsidRDefault="00591062" w:rsidP="00591062">
      <w:pPr>
        <w:pStyle w:val="Sinespaciado"/>
        <w:jc w:val="both"/>
        <w:rPr>
          <w:rFonts w:cs="Arial"/>
        </w:rPr>
      </w:pPr>
      <w:r w:rsidRPr="00F6076C">
        <w:rPr>
          <w:rFonts w:cs="Arial"/>
          <w:b/>
        </w:rPr>
        <w:t xml:space="preserve">Otros Ingresos Extraordinarios. </w:t>
      </w:r>
      <w:r>
        <w:rPr>
          <w:rFonts w:cs="Arial"/>
          <w:b/>
        </w:rPr>
        <w:t>–</w:t>
      </w:r>
      <w:r w:rsidRPr="000B53E2">
        <w:rPr>
          <w:rFonts w:cs="Arial"/>
        </w:rPr>
        <w:t xml:space="preserve"> </w:t>
      </w:r>
      <w:r>
        <w:rPr>
          <w:rFonts w:cs="Arial"/>
        </w:rPr>
        <w:t>Se registran otros ingresos extraordinarios recaudados por 452,802,715.15</w:t>
      </w:r>
      <w:r w:rsidRPr="00AE0EAC">
        <w:rPr>
          <w:rFonts w:cs="Arial"/>
        </w:rPr>
        <w:t xml:space="preserve"> </w:t>
      </w:r>
      <w:r w:rsidRPr="00AE0EAC">
        <w:t>los cuales se componen principalm</w:t>
      </w:r>
      <w:r>
        <w:t>ente de la siguiente forma: 156,</w:t>
      </w:r>
      <w:r w:rsidRPr="00AE0EAC">
        <w:t>258</w:t>
      </w:r>
      <w:r>
        <w:t>,174.86</w:t>
      </w:r>
      <w:r w:rsidRPr="004D14C1">
        <w:t xml:space="preserve"> para pagos de amortización de capital de las series “A y “B” y subordinada “C” por la emisión de los Cert</w:t>
      </w:r>
      <w:r>
        <w:t>ificados Bursátiles Fiduciarios;</w:t>
      </w:r>
      <w:r w:rsidRPr="00AE0EAC">
        <w:t xml:space="preserve"> </w:t>
      </w:r>
      <w:r>
        <w:t xml:space="preserve">70,617.02 </w:t>
      </w:r>
      <w:r>
        <w:rPr>
          <w:rFonts w:cs="Arial"/>
        </w:rPr>
        <w:t>de los intereses generados por las transferencias de los depósitos del Registro Público de Comercio (RPC) y 296,473,923.27 de remanentes e intereses del fideicomiso de cobranza.</w:t>
      </w:r>
    </w:p>
    <w:p w:rsidR="00591062" w:rsidRDefault="00591062" w:rsidP="00591062">
      <w:pPr>
        <w:pStyle w:val="Sinespaciado"/>
        <w:jc w:val="both"/>
        <w:rPr>
          <w:rFonts w:cs="Arial"/>
        </w:rPr>
      </w:pPr>
    </w:p>
    <w:p w:rsidR="00591062" w:rsidRDefault="00591062" w:rsidP="00591062">
      <w:pPr>
        <w:pStyle w:val="Sinespaciado"/>
        <w:jc w:val="both"/>
        <w:rPr>
          <w:rFonts w:cs="Arial"/>
        </w:rPr>
      </w:pPr>
      <w:r w:rsidRPr="0035738A">
        <w:rPr>
          <w:rFonts w:cs="Arial"/>
          <w:b/>
        </w:rPr>
        <w:t xml:space="preserve">Otros Ingresos Diversos. - </w:t>
      </w:r>
      <w:r>
        <w:rPr>
          <w:rFonts w:cs="Arial"/>
        </w:rPr>
        <w:t>Se ha recaudado 787,263.95 de ingresos varios (cancelación de cuentas por pagar, venta de bases para concurso, depósitos en efectivo no referenciados y llamadas telefónicas no oficiales, entre otros).</w:t>
      </w:r>
    </w:p>
    <w:p w:rsidR="00591062" w:rsidRDefault="00591062" w:rsidP="00591062">
      <w:pPr>
        <w:pStyle w:val="Sinespaciado"/>
        <w:jc w:val="both"/>
        <w:rPr>
          <w:rFonts w:cs="Arial"/>
        </w:rPr>
      </w:pPr>
    </w:p>
    <w:p w:rsidR="00843E0A" w:rsidRDefault="00843E0A" w:rsidP="00591062">
      <w:pPr>
        <w:pStyle w:val="Sinespaciado"/>
        <w:jc w:val="both"/>
        <w:rPr>
          <w:rFonts w:cs="Arial"/>
        </w:rPr>
      </w:pPr>
    </w:p>
    <w:p w:rsidR="00591062" w:rsidRDefault="00591062" w:rsidP="00591062">
      <w:pPr>
        <w:pStyle w:val="Prrafodelista"/>
        <w:numPr>
          <w:ilvl w:val="0"/>
          <w:numId w:val="12"/>
        </w:numPr>
        <w:spacing w:line="276" w:lineRule="auto"/>
        <w:ind w:right="-1"/>
        <w:rPr>
          <w:rFonts w:cs="Arial"/>
          <w:b/>
        </w:rPr>
      </w:pPr>
      <w:r w:rsidRPr="00714AEE">
        <w:rPr>
          <w:rFonts w:ascii="HelveticaNeueLT Std" w:hAnsi="HelveticaNeueLT Std" w:cs="Arial"/>
          <w:b/>
          <w:sz w:val="20"/>
          <w:szCs w:val="20"/>
        </w:rPr>
        <w:t>Información sobre la Deuda y el Reporte Analítico de la Deuda</w:t>
      </w:r>
      <w:r>
        <w:rPr>
          <w:rFonts w:ascii="HelveticaNeueLT Std" w:hAnsi="HelveticaNeueLT Std" w:cs="Arial"/>
          <w:b/>
          <w:sz w:val="20"/>
          <w:szCs w:val="20"/>
        </w:rPr>
        <w:t>.</w:t>
      </w:r>
    </w:p>
    <w:p w:rsidR="00591062" w:rsidRDefault="00591062" w:rsidP="00591062">
      <w:pPr>
        <w:spacing w:line="276" w:lineRule="auto"/>
        <w:ind w:right="-1"/>
        <w:jc w:val="both"/>
        <w:rPr>
          <w:rFonts w:cs="Arial"/>
        </w:rPr>
      </w:pPr>
    </w:p>
    <w:p w:rsidR="00591062" w:rsidRPr="00B05C27" w:rsidRDefault="00591062" w:rsidP="00591062">
      <w:pPr>
        <w:spacing w:line="276" w:lineRule="auto"/>
        <w:ind w:right="-1"/>
        <w:jc w:val="both"/>
        <w:rPr>
          <w:rFonts w:cs="Arial"/>
        </w:rPr>
      </w:pPr>
      <w:r w:rsidRPr="00B05C27">
        <w:rPr>
          <w:rFonts w:cs="Arial"/>
        </w:rPr>
        <w:t>Al mes actual el análisis de la deuda se integra de la siguiente manera:</w:t>
      </w:r>
    </w:p>
    <w:p w:rsidR="00591062" w:rsidRPr="007F0765" w:rsidRDefault="00591062" w:rsidP="00591062">
      <w:pPr>
        <w:spacing w:line="276" w:lineRule="auto"/>
        <w:ind w:right="-1"/>
        <w:rPr>
          <w:noProof/>
          <w:lang w:eastAsia="es-MX"/>
        </w:rPr>
      </w:pPr>
      <w:r w:rsidRPr="00B05C27">
        <w:rPr>
          <w:rFonts w:cs="Arial"/>
        </w:rPr>
        <w:t>Mensual:</w:t>
      </w:r>
      <w:r w:rsidRPr="006A225B">
        <w:rPr>
          <w:rFonts w:cs="Arial"/>
        </w:rPr>
        <w:t xml:space="preserve"> </w:t>
      </w:r>
    </w:p>
    <w:p w:rsidR="00591062" w:rsidRPr="00AB2962" w:rsidRDefault="00591062" w:rsidP="00591062">
      <w:pPr>
        <w:spacing w:line="276" w:lineRule="auto"/>
        <w:ind w:right="-1"/>
        <w:jc w:val="both"/>
        <w:rPr>
          <w:rFonts w:cs="Arial"/>
          <w:b/>
        </w:rPr>
      </w:pPr>
    </w:p>
    <w:p w:rsidR="00591062" w:rsidRDefault="00591062" w:rsidP="00591062">
      <w:pPr>
        <w:spacing w:line="276" w:lineRule="auto"/>
        <w:ind w:right="-1"/>
        <w:rPr>
          <w:rFonts w:cs="Arial"/>
          <w:b/>
        </w:rPr>
      </w:pPr>
      <w:r w:rsidRPr="009E1FFC">
        <w:rPr>
          <w:noProof/>
          <w:lang w:eastAsia="es-MX"/>
        </w:rPr>
        <w:drawing>
          <wp:inline distT="0" distB="0" distL="0" distR="0" wp14:anchorId="2CD46D48" wp14:editId="6C712A56">
            <wp:extent cx="6389370" cy="20574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9370" cy="2057400"/>
                    </a:xfrm>
                    <a:prstGeom prst="rect">
                      <a:avLst/>
                    </a:prstGeom>
                    <a:noFill/>
                    <a:ln>
                      <a:noFill/>
                    </a:ln>
                  </pic:spPr>
                </pic:pic>
              </a:graphicData>
            </a:graphic>
          </wp:inline>
        </w:drawing>
      </w:r>
    </w:p>
    <w:p w:rsidR="00591062" w:rsidRDefault="00591062" w:rsidP="00591062">
      <w:pPr>
        <w:spacing w:line="276" w:lineRule="auto"/>
        <w:ind w:right="-1"/>
        <w:jc w:val="center"/>
        <w:rPr>
          <w:rFonts w:cs="Arial"/>
        </w:rPr>
      </w:pPr>
    </w:p>
    <w:p w:rsidR="00843E0A" w:rsidRDefault="00843E0A" w:rsidP="00591062">
      <w:pPr>
        <w:spacing w:line="276" w:lineRule="auto"/>
        <w:ind w:right="-1"/>
        <w:jc w:val="center"/>
        <w:rPr>
          <w:rFonts w:cs="Arial"/>
        </w:rPr>
      </w:pPr>
    </w:p>
    <w:p w:rsidR="00843E0A" w:rsidRDefault="00843E0A" w:rsidP="00591062">
      <w:pPr>
        <w:spacing w:line="276" w:lineRule="auto"/>
        <w:ind w:right="-1"/>
        <w:jc w:val="center"/>
        <w:rPr>
          <w:rFonts w:cs="Arial"/>
        </w:rPr>
      </w:pPr>
    </w:p>
    <w:p w:rsidR="00843E0A" w:rsidRDefault="00843E0A" w:rsidP="00591062">
      <w:pPr>
        <w:spacing w:line="276" w:lineRule="auto"/>
        <w:ind w:right="-1"/>
        <w:jc w:val="center"/>
        <w:rPr>
          <w:rFonts w:cs="Arial"/>
        </w:rPr>
      </w:pPr>
    </w:p>
    <w:p w:rsidR="00843E0A" w:rsidRDefault="00843E0A" w:rsidP="00591062">
      <w:pPr>
        <w:spacing w:line="276" w:lineRule="auto"/>
        <w:ind w:right="-1"/>
        <w:jc w:val="center"/>
        <w:rPr>
          <w:rFonts w:cs="Arial"/>
        </w:rPr>
      </w:pPr>
    </w:p>
    <w:p w:rsidR="00843E0A" w:rsidRDefault="00843E0A" w:rsidP="00591062">
      <w:pPr>
        <w:spacing w:line="276" w:lineRule="auto"/>
        <w:ind w:right="-1"/>
        <w:jc w:val="center"/>
        <w:rPr>
          <w:rFonts w:cs="Arial"/>
        </w:rPr>
      </w:pPr>
    </w:p>
    <w:p w:rsidR="00843E0A" w:rsidRDefault="00843E0A" w:rsidP="00591062">
      <w:pPr>
        <w:spacing w:line="276" w:lineRule="auto"/>
        <w:ind w:right="-1"/>
        <w:jc w:val="center"/>
        <w:rPr>
          <w:rFonts w:cs="Arial"/>
        </w:rPr>
      </w:pPr>
    </w:p>
    <w:p w:rsidR="00843E0A" w:rsidRDefault="00843E0A" w:rsidP="00591062">
      <w:pPr>
        <w:spacing w:line="276" w:lineRule="auto"/>
        <w:ind w:right="-1"/>
        <w:jc w:val="center"/>
        <w:rPr>
          <w:rFonts w:cs="Arial"/>
        </w:rPr>
      </w:pPr>
    </w:p>
    <w:p w:rsidR="00591062" w:rsidRDefault="00591062" w:rsidP="00591062">
      <w:pPr>
        <w:spacing w:line="276" w:lineRule="auto"/>
        <w:ind w:right="-1"/>
        <w:rPr>
          <w:rFonts w:cs="Arial"/>
        </w:rPr>
      </w:pPr>
      <w:r>
        <w:rPr>
          <w:rFonts w:cs="Arial"/>
        </w:rPr>
        <w:t>Acumulada:</w:t>
      </w:r>
    </w:p>
    <w:p w:rsidR="00591062" w:rsidRPr="00AB2962" w:rsidRDefault="00591062" w:rsidP="00591062">
      <w:pPr>
        <w:spacing w:line="276" w:lineRule="auto"/>
        <w:ind w:right="-1"/>
        <w:rPr>
          <w:rFonts w:cs="Arial"/>
          <w:b/>
        </w:rPr>
      </w:pPr>
    </w:p>
    <w:p w:rsidR="00591062" w:rsidRDefault="00591062" w:rsidP="00591062">
      <w:pPr>
        <w:spacing w:line="276" w:lineRule="auto"/>
        <w:ind w:right="-1"/>
        <w:jc w:val="both"/>
        <w:rPr>
          <w:rFonts w:cs="Arial"/>
          <w:lang w:eastAsia="es-ES"/>
        </w:rPr>
      </w:pPr>
      <w:r w:rsidRPr="009E1FFC">
        <w:rPr>
          <w:noProof/>
          <w:lang w:eastAsia="es-MX"/>
        </w:rPr>
        <w:drawing>
          <wp:inline distT="0" distB="0" distL="0" distR="0" wp14:anchorId="4C721483" wp14:editId="4F89B563">
            <wp:extent cx="6389370" cy="19494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9370" cy="1949450"/>
                    </a:xfrm>
                    <a:prstGeom prst="rect">
                      <a:avLst/>
                    </a:prstGeom>
                    <a:noFill/>
                    <a:ln>
                      <a:noFill/>
                    </a:ln>
                  </pic:spPr>
                </pic:pic>
              </a:graphicData>
            </a:graphic>
          </wp:inline>
        </w:drawing>
      </w:r>
    </w:p>
    <w:p w:rsidR="00591062" w:rsidRDefault="00591062" w:rsidP="00591062">
      <w:pPr>
        <w:spacing w:line="276" w:lineRule="auto"/>
        <w:ind w:right="-1"/>
        <w:jc w:val="both"/>
        <w:rPr>
          <w:rFonts w:cs="Arial"/>
          <w:lang w:eastAsia="es-ES"/>
        </w:rPr>
      </w:pPr>
    </w:p>
    <w:p w:rsidR="00591062" w:rsidRDefault="00591062" w:rsidP="00591062">
      <w:pPr>
        <w:spacing w:line="276" w:lineRule="auto"/>
        <w:ind w:right="-1"/>
        <w:jc w:val="both"/>
        <w:rPr>
          <w:rFonts w:cs="Arial"/>
          <w:lang w:eastAsia="es-ES"/>
        </w:rPr>
      </w:pPr>
      <w:r>
        <w:rPr>
          <w:rFonts w:cs="Arial"/>
          <w:lang w:eastAsia="es-ES"/>
        </w:rPr>
        <w:t>L</w:t>
      </w:r>
      <w:r w:rsidRPr="007729F8">
        <w:rPr>
          <w:rFonts w:cs="Arial"/>
          <w:lang w:eastAsia="es-ES"/>
        </w:rPr>
        <w:t>a operación del Fideicomiso de Cobranza se ha comportado de la siguiente forma:</w:t>
      </w:r>
    </w:p>
    <w:p w:rsidR="00591062" w:rsidRDefault="00591062" w:rsidP="00591062">
      <w:pPr>
        <w:spacing w:line="276" w:lineRule="auto"/>
        <w:ind w:right="-1"/>
        <w:jc w:val="center"/>
        <w:rPr>
          <w:rFonts w:cs="Arial"/>
          <w:lang w:eastAsia="es-ES"/>
        </w:rPr>
      </w:pPr>
      <w:r w:rsidRPr="009E1FFC">
        <w:rPr>
          <w:noProof/>
          <w:lang w:eastAsia="es-MX"/>
        </w:rPr>
        <w:drawing>
          <wp:inline distT="0" distB="0" distL="0" distR="0" wp14:anchorId="710081F6" wp14:editId="3B86A2E5">
            <wp:extent cx="6389370" cy="210226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9370" cy="2102260"/>
                    </a:xfrm>
                    <a:prstGeom prst="rect">
                      <a:avLst/>
                    </a:prstGeom>
                    <a:noFill/>
                    <a:ln>
                      <a:noFill/>
                    </a:ln>
                  </pic:spPr>
                </pic:pic>
              </a:graphicData>
            </a:graphic>
          </wp:inline>
        </w:drawing>
      </w:r>
    </w:p>
    <w:p w:rsidR="00591062" w:rsidRDefault="00591062" w:rsidP="00591062">
      <w:pPr>
        <w:spacing w:before="240" w:line="276" w:lineRule="auto"/>
        <w:ind w:right="-1"/>
        <w:jc w:val="both"/>
        <w:rPr>
          <w:rFonts w:cs="Arial"/>
        </w:rPr>
      </w:pPr>
      <w:r w:rsidRPr="00DA5FD6">
        <w:rPr>
          <w:rFonts w:cs="Arial"/>
        </w:rPr>
        <w:t xml:space="preserve">El saldo de la cuenta 2221 “Documentos Comerciales Por </w:t>
      </w:r>
      <w:r>
        <w:rPr>
          <w:rFonts w:cs="Arial"/>
        </w:rPr>
        <w:t>Pagar a Largo Plazo es de 5,400,136,268.56</w:t>
      </w:r>
      <w:r w:rsidRPr="00DA5FD6">
        <w:rPr>
          <w:rFonts w:cs="Arial"/>
        </w:rPr>
        <w:t xml:space="preserve"> que se componen de; los CBFS de la Serie “</w:t>
      </w:r>
      <w:r w:rsidRPr="00DA5FD6">
        <w:rPr>
          <w:rFonts w:cs="Arial"/>
          <w:b/>
        </w:rPr>
        <w:t>A</w:t>
      </w:r>
      <w:r w:rsidRPr="00DA5FD6">
        <w:rPr>
          <w:rFonts w:cs="Arial"/>
        </w:rPr>
        <w:t xml:space="preserve">”, </w:t>
      </w:r>
      <w:r>
        <w:rPr>
          <w:rFonts w:cs="Arial"/>
        </w:rPr>
        <w:t>2,150,128,618.05</w:t>
      </w:r>
      <w:r w:rsidRPr="00DA5FD6">
        <w:rPr>
          <w:rFonts w:cs="Arial"/>
        </w:rPr>
        <w:t>, para los CBFS de la Serie “</w:t>
      </w:r>
      <w:r w:rsidRPr="00DA5FD6">
        <w:rPr>
          <w:rFonts w:cs="Arial"/>
          <w:b/>
        </w:rPr>
        <w:t>B</w:t>
      </w:r>
      <w:r w:rsidRPr="00DA5FD6">
        <w:rPr>
          <w:rFonts w:cs="Arial"/>
        </w:rPr>
        <w:t xml:space="preserve">”, </w:t>
      </w:r>
      <w:r>
        <w:rPr>
          <w:rFonts w:cs="Arial"/>
        </w:rPr>
        <w:t>1,010,910,381</w:t>
      </w:r>
      <w:r w:rsidRPr="00DA5FD6">
        <w:rPr>
          <w:rFonts w:cs="Arial"/>
        </w:rPr>
        <w:t>, y para los CBFS Subordinados de la Serie “</w:t>
      </w:r>
      <w:r w:rsidRPr="00DA5FD6">
        <w:rPr>
          <w:rFonts w:cs="Arial"/>
          <w:b/>
        </w:rPr>
        <w:t>C</w:t>
      </w:r>
      <w:r w:rsidRPr="00DA5FD6">
        <w:rPr>
          <w:rFonts w:cs="Arial"/>
        </w:rPr>
        <w:t xml:space="preserve">”, </w:t>
      </w:r>
      <w:r>
        <w:rPr>
          <w:rFonts w:cs="Arial"/>
        </w:rPr>
        <w:t>2,239,097,269.51</w:t>
      </w:r>
      <w:r w:rsidRPr="00DA5FD6">
        <w:rPr>
          <w:rFonts w:cs="Arial"/>
        </w:rPr>
        <w:t xml:space="preserve"> Cabe mencionar que la serie subordinada “C” se encuentra en UDIS, por lo tanto, el Saldo Capital es de 539, 240,491.25; y para la amortización de capital fue de 11, 693,495.19 y para los intereses pagados fue de 16,454.024.84 UDIS.</w:t>
      </w:r>
    </w:p>
    <w:p w:rsidR="00591062" w:rsidRDefault="00591062" w:rsidP="00591062">
      <w:pPr>
        <w:spacing w:before="240" w:line="276" w:lineRule="auto"/>
        <w:ind w:right="-1"/>
        <w:jc w:val="both"/>
        <w:rPr>
          <w:rFonts w:cs="Arial"/>
        </w:rPr>
      </w:pPr>
      <w:r>
        <w:rPr>
          <w:rFonts w:cs="Arial"/>
        </w:rPr>
        <w:t>En relaci</w:t>
      </w:r>
      <w:r w:rsidR="0061703A">
        <w:rPr>
          <w:rFonts w:cs="Arial"/>
        </w:rPr>
        <w:t>ón a este cuadro informativo</w:t>
      </w:r>
      <w:bookmarkStart w:id="0" w:name="_GoBack"/>
      <w:bookmarkEnd w:id="0"/>
      <w:r>
        <w:rPr>
          <w:rFonts w:cs="Arial"/>
        </w:rPr>
        <w:t xml:space="preserve"> se detectó </w:t>
      </w:r>
      <w:r w:rsidR="0061703A">
        <w:rPr>
          <w:rFonts w:cs="Arial"/>
        </w:rPr>
        <w:t>que,</w:t>
      </w:r>
      <w:r>
        <w:rPr>
          <w:rFonts w:cs="Arial"/>
        </w:rPr>
        <w:t xml:space="preserve"> en el mes de marzo de 2019, el saldo en la operación del Fideicomiso de Cobranza dice 5,712,652.6 miles de pesos y debe decir 5,400,136.2 miles de pesos, cabe mencionar que en la descripción al calce de dicho cuadro y en los estados financieros el saldo es correcto. De esta situación se realizaron las acciones de mejora de acuerdo con la norma ISO 9001-2015.</w:t>
      </w:r>
    </w:p>
    <w:p w:rsidR="00591062" w:rsidRPr="00DA5FD6" w:rsidRDefault="00591062" w:rsidP="00591062">
      <w:pPr>
        <w:spacing w:before="240" w:line="276" w:lineRule="auto"/>
        <w:ind w:right="-1"/>
        <w:jc w:val="both"/>
        <w:rPr>
          <w:rFonts w:cs="Arial"/>
        </w:rPr>
      </w:pPr>
      <w:r w:rsidRPr="00DA5FD6">
        <w:rPr>
          <w:rFonts w:cs="Arial"/>
        </w:rPr>
        <w:t>Los intereses pagados más la amortización de capital por los cupones programados se observan en el siguiente cuadro:</w:t>
      </w:r>
    </w:p>
    <w:p w:rsidR="00591062" w:rsidRDefault="00591062" w:rsidP="00591062">
      <w:pPr>
        <w:spacing w:line="276" w:lineRule="auto"/>
        <w:ind w:right="-1"/>
        <w:jc w:val="center"/>
        <w:rPr>
          <w:rFonts w:cs="Arial"/>
          <w:lang w:eastAsia="es-ES"/>
        </w:rPr>
      </w:pPr>
      <w:r w:rsidRPr="009E1FFC">
        <w:rPr>
          <w:noProof/>
          <w:lang w:eastAsia="es-MX"/>
        </w:rPr>
        <w:drawing>
          <wp:inline distT="0" distB="0" distL="0" distR="0" wp14:anchorId="3723EDA7" wp14:editId="7860FDED">
            <wp:extent cx="6563405" cy="2095500"/>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11080" cy="2110721"/>
                    </a:xfrm>
                    <a:prstGeom prst="rect">
                      <a:avLst/>
                    </a:prstGeom>
                    <a:noFill/>
                    <a:ln>
                      <a:noFill/>
                    </a:ln>
                  </pic:spPr>
                </pic:pic>
              </a:graphicData>
            </a:graphic>
          </wp:inline>
        </w:drawing>
      </w:r>
    </w:p>
    <w:p w:rsidR="00843E0A" w:rsidRDefault="00843E0A" w:rsidP="00591062">
      <w:pPr>
        <w:spacing w:line="276" w:lineRule="auto"/>
        <w:ind w:right="-1"/>
        <w:jc w:val="both"/>
        <w:rPr>
          <w:rFonts w:cs="Arial"/>
        </w:rPr>
      </w:pPr>
    </w:p>
    <w:p w:rsidR="00591062" w:rsidRPr="00DA5FD6" w:rsidRDefault="00591062" w:rsidP="00591062">
      <w:pPr>
        <w:spacing w:line="276" w:lineRule="auto"/>
        <w:ind w:right="-1"/>
        <w:jc w:val="both"/>
        <w:rPr>
          <w:rFonts w:cs="Arial"/>
        </w:rPr>
      </w:pPr>
      <w:r w:rsidRPr="00DA5FD6">
        <w:rPr>
          <w:rFonts w:cs="Arial"/>
        </w:rPr>
        <w:t>Las transferencias al Gobierno del Estado de México de los remanentes del Fideicomiso de Cobranza, más los intereses generados, se destinan a la inversión productiva de acuerdo a lo establecido en el contrato irrevocable No. 80615</w:t>
      </w:r>
      <w:r>
        <w:rPr>
          <w:rFonts w:cs="Arial"/>
        </w:rPr>
        <w:t xml:space="preserve"> y</w:t>
      </w:r>
      <w:r w:rsidRPr="00DA5FD6">
        <w:rPr>
          <w:rFonts w:cs="Arial"/>
        </w:rPr>
        <w:t xml:space="preserve"> se han llevado a cabo como sigue:</w:t>
      </w:r>
    </w:p>
    <w:p w:rsidR="00591062" w:rsidRDefault="00591062" w:rsidP="00591062">
      <w:pPr>
        <w:spacing w:line="276" w:lineRule="auto"/>
        <w:ind w:right="-1"/>
        <w:jc w:val="center"/>
        <w:rPr>
          <w:rFonts w:cs="Arial"/>
        </w:rPr>
      </w:pPr>
      <w:r w:rsidRPr="00094EB9">
        <w:rPr>
          <w:noProof/>
          <w:lang w:eastAsia="es-MX"/>
        </w:rPr>
        <w:drawing>
          <wp:inline distT="0" distB="0" distL="0" distR="0" wp14:anchorId="3BFA5A45" wp14:editId="0E65D592">
            <wp:extent cx="5153025" cy="3168015"/>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4258" cy="3168773"/>
                    </a:xfrm>
                    <a:prstGeom prst="rect">
                      <a:avLst/>
                    </a:prstGeom>
                    <a:noFill/>
                    <a:ln>
                      <a:noFill/>
                    </a:ln>
                  </pic:spPr>
                </pic:pic>
              </a:graphicData>
            </a:graphic>
          </wp:inline>
        </w:drawing>
      </w:r>
    </w:p>
    <w:p w:rsidR="00843E0A" w:rsidRDefault="00843E0A" w:rsidP="00591062">
      <w:pPr>
        <w:spacing w:line="276" w:lineRule="auto"/>
        <w:ind w:right="-1"/>
        <w:jc w:val="center"/>
        <w:rPr>
          <w:rFonts w:cs="Arial"/>
        </w:rPr>
      </w:pPr>
    </w:p>
    <w:p w:rsidR="00843E0A" w:rsidRDefault="00843E0A" w:rsidP="00591062">
      <w:pPr>
        <w:spacing w:line="276" w:lineRule="auto"/>
        <w:ind w:right="-1"/>
        <w:jc w:val="center"/>
        <w:rPr>
          <w:rFonts w:cs="Arial"/>
        </w:rPr>
      </w:pPr>
    </w:p>
    <w:p w:rsidR="00591062" w:rsidRPr="006351E0" w:rsidRDefault="00591062" w:rsidP="00591062">
      <w:pPr>
        <w:spacing w:line="276" w:lineRule="auto"/>
        <w:ind w:right="-1"/>
        <w:contextualSpacing/>
        <w:jc w:val="both"/>
        <w:rPr>
          <w:rFonts w:eastAsia="Times New Roman" w:cs="Arial"/>
          <w:b/>
          <w:sz w:val="2"/>
          <w:lang w:eastAsia="es-MX"/>
        </w:rPr>
      </w:pPr>
    </w:p>
    <w:p w:rsidR="00591062" w:rsidRDefault="00591062" w:rsidP="00591062">
      <w:pPr>
        <w:numPr>
          <w:ilvl w:val="0"/>
          <w:numId w:val="12"/>
        </w:numPr>
        <w:spacing w:line="276" w:lineRule="auto"/>
        <w:ind w:left="567" w:right="-1" w:hanging="567"/>
        <w:contextualSpacing/>
        <w:jc w:val="both"/>
        <w:rPr>
          <w:rFonts w:eastAsia="Times New Roman" w:cs="Arial"/>
          <w:b/>
          <w:lang w:eastAsia="es-MX"/>
        </w:rPr>
      </w:pPr>
      <w:r w:rsidRPr="00B05C27">
        <w:rPr>
          <w:rFonts w:eastAsia="Times New Roman" w:cs="Arial"/>
          <w:b/>
          <w:lang w:eastAsia="es-MX"/>
        </w:rPr>
        <w:t>Calificaciones otorgadas:</w:t>
      </w:r>
    </w:p>
    <w:p w:rsidR="00591062" w:rsidRDefault="00591062" w:rsidP="00591062">
      <w:pPr>
        <w:spacing w:line="276" w:lineRule="auto"/>
        <w:ind w:left="567" w:right="-1"/>
        <w:contextualSpacing/>
        <w:jc w:val="both"/>
        <w:rPr>
          <w:rFonts w:eastAsia="Times New Roman" w:cs="Arial"/>
          <w:b/>
          <w:lang w:eastAsia="es-MX"/>
        </w:rPr>
      </w:pPr>
    </w:p>
    <w:p w:rsidR="00591062" w:rsidRPr="00343555" w:rsidRDefault="00591062" w:rsidP="00591062">
      <w:pPr>
        <w:numPr>
          <w:ilvl w:val="1"/>
          <w:numId w:val="1"/>
        </w:numPr>
        <w:spacing w:before="240" w:line="276" w:lineRule="auto"/>
        <w:ind w:right="-1"/>
        <w:contextualSpacing/>
        <w:jc w:val="both"/>
        <w:rPr>
          <w:rFonts w:eastAsia="Times New Roman" w:cs="Arial"/>
          <w:lang w:eastAsia="es-MX"/>
        </w:rPr>
      </w:pPr>
      <w:r>
        <w:rPr>
          <w:i/>
        </w:rPr>
        <w:t>“</w:t>
      </w:r>
      <w:r w:rsidRPr="00DE4911">
        <w:rPr>
          <w:i/>
        </w:rPr>
        <w:t>Fitch Ratifica en ‘AAA(mex)vra’ la Calificación del Crédito Banobras 11 de IFREM, Tras Reestructura</w:t>
      </w:r>
      <w:r>
        <w:rPr>
          <w:i/>
        </w:rPr>
        <w:t>”</w:t>
      </w:r>
      <w:r w:rsidRPr="00830279">
        <w:rPr>
          <w:i/>
        </w:rPr>
        <w:t xml:space="preserve">. </w:t>
      </w:r>
      <w:r>
        <w:rPr>
          <w:i/>
        </w:rPr>
        <w:t>Diciembre</w:t>
      </w:r>
      <w:r>
        <w:rPr>
          <w:rFonts w:eastAsia="Times New Roman" w:cs="Arial"/>
          <w:i/>
          <w:lang w:eastAsia="es-MX"/>
        </w:rPr>
        <w:t xml:space="preserve"> 07</w:t>
      </w:r>
      <w:r w:rsidRPr="00830279">
        <w:rPr>
          <w:rFonts w:eastAsia="Times New Roman" w:cs="Arial"/>
          <w:i/>
          <w:lang w:eastAsia="es-MX"/>
        </w:rPr>
        <w:t>, 2018.</w:t>
      </w:r>
      <w:r w:rsidRPr="008F34D9">
        <w:t xml:space="preserve"> </w:t>
      </w:r>
    </w:p>
    <w:p w:rsidR="00591062" w:rsidRDefault="0061703A" w:rsidP="00591062">
      <w:pPr>
        <w:spacing w:before="240" w:line="276" w:lineRule="auto"/>
        <w:ind w:left="720" w:right="-1"/>
        <w:contextualSpacing/>
        <w:jc w:val="both"/>
        <w:rPr>
          <w:rStyle w:val="Hipervnculo"/>
        </w:rPr>
      </w:pPr>
      <w:hyperlink r:id="rId30" w:history="1">
        <w:r w:rsidR="00591062" w:rsidRPr="00B75961">
          <w:rPr>
            <w:rStyle w:val="Hipervnculo"/>
          </w:rPr>
          <w:t>https://www.bmv.com.mx/docs-pub/eventoca/eventoca_881399_2.pdf</w:t>
        </w:r>
      </w:hyperlink>
    </w:p>
    <w:p w:rsidR="00591062" w:rsidRPr="008F34D9" w:rsidRDefault="00591062" w:rsidP="00591062">
      <w:pPr>
        <w:spacing w:before="240" w:line="276" w:lineRule="auto"/>
        <w:ind w:left="720" w:right="-1"/>
        <w:contextualSpacing/>
        <w:jc w:val="both"/>
        <w:rPr>
          <w:rFonts w:eastAsia="Times New Roman" w:cs="Arial"/>
          <w:lang w:eastAsia="es-MX"/>
        </w:rPr>
      </w:pPr>
    </w:p>
    <w:p w:rsidR="00591062" w:rsidRDefault="00591062" w:rsidP="00591062">
      <w:pPr>
        <w:spacing w:line="276" w:lineRule="auto"/>
        <w:ind w:right="-1"/>
        <w:jc w:val="both"/>
        <w:rPr>
          <w:i/>
        </w:rPr>
      </w:pPr>
      <w:r>
        <w:rPr>
          <w:i/>
        </w:rPr>
        <w:t>“</w:t>
      </w:r>
      <w:r w:rsidRPr="00DE4911">
        <w:rPr>
          <w:i/>
        </w:rPr>
        <w:t>Fitch Ratings ratificó en ‘AAA(mex)vra’ la calificación específica del crédito contratado por el Instituto de la Función Registral del Estado de México (IFREM) [AA-(mex)] con Banobras en 2011 (Banobras 11), por un monto inicial de 654.2 millones de Unidades de Inversión (Udis), saldo de 527.5 millones de Udis al 30 de noviembre de 2018. Lo anterior tras la firma del Convenio de Reestructura celebrado el 18 de octubre de 2018 entre el Estado de México [AA-(mex)] y Banobras, mediante el cual se modificó el contrato de apertura de crédito en cuenta corriente, irrevocable y contingente que se describe más adelante.</w:t>
      </w:r>
      <w:r>
        <w:rPr>
          <w:i/>
        </w:rPr>
        <w:t>”</w:t>
      </w:r>
    </w:p>
    <w:p w:rsidR="00591062" w:rsidRPr="006351E0" w:rsidRDefault="00591062" w:rsidP="00591062">
      <w:pPr>
        <w:spacing w:line="276" w:lineRule="auto"/>
        <w:ind w:right="-1"/>
        <w:jc w:val="both"/>
        <w:rPr>
          <w:i/>
          <w:sz w:val="2"/>
        </w:rPr>
      </w:pPr>
    </w:p>
    <w:p w:rsidR="00591062" w:rsidRDefault="00591062" w:rsidP="00591062">
      <w:pPr>
        <w:spacing w:line="276" w:lineRule="auto"/>
        <w:ind w:right="-1"/>
        <w:jc w:val="both"/>
        <w:rPr>
          <w:i/>
        </w:rPr>
      </w:pPr>
      <w:r w:rsidRPr="00DE4911">
        <w:rPr>
          <w:i/>
        </w:rPr>
        <w:t>… Las emisiones PROIN 10 [AAA(mex)vra] y PROIN 10-2 [AAA(mex)vra] están respaldadas por 100% de los ingresos de IFREM derivados de la recaudación de derechos por la prestación del servicio de registro público de la propiedad (ingresos de RPP). Los ingresos de RPP ingresan a un fideicomiso de cobranza por medio de depósitos que hacen los bancos recaudadores vía mandatos irrevocables girados por IFREM y se envían a un fideicomiso de pago</w:t>
      </w:r>
      <w:r>
        <w:rPr>
          <w:i/>
        </w:rPr>
        <w:t>.”</w:t>
      </w:r>
    </w:p>
    <w:p w:rsidR="00591062" w:rsidRPr="00B05C27" w:rsidRDefault="00591062" w:rsidP="00591062">
      <w:pPr>
        <w:numPr>
          <w:ilvl w:val="1"/>
          <w:numId w:val="1"/>
        </w:numPr>
        <w:spacing w:before="240" w:line="276" w:lineRule="auto"/>
        <w:ind w:right="-1"/>
        <w:contextualSpacing/>
        <w:jc w:val="both"/>
        <w:rPr>
          <w:rFonts w:eastAsia="Times New Roman" w:cs="Arial"/>
          <w:lang w:eastAsia="es-MX"/>
        </w:rPr>
      </w:pPr>
      <w:r>
        <w:rPr>
          <w:i/>
        </w:rPr>
        <w:t xml:space="preserve"> “</w:t>
      </w:r>
      <w:r w:rsidRPr="00B05C27">
        <w:rPr>
          <w:i/>
        </w:rPr>
        <w:t>S&amp;P Global Ratings confirma calificaciones de 'mxAAA' de los certificados PROIN 10, PROIN 10-2 y del crédito del IFREM con Banobras</w:t>
      </w:r>
      <w:r>
        <w:rPr>
          <w:i/>
        </w:rPr>
        <w:t>”</w:t>
      </w:r>
      <w:r w:rsidRPr="00B05C27">
        <w:rPr>
          <w:i/>
        </w:rPr>
        <w:t>.</w:t>
      </w:r>
      <w:r w:rsidRPr="00B05C27">
        <w:rPr>
          <w:rFonts w:eastAsia="Times New Roman" w:cs="Arial"/>
          <w:lang w:eastAsia="es-MX"/>
        </w:rPr>
        <w:t xml:space="preserve"> </w:t>
      </w:r>
      <w:r>
        <w:rPr>
          <w:rFonts w:eastAsia="Times New Roman" w:cs="Arial"/>
          <w:lang w:eastAsia="es-MX"/>
        </w:rPr>
        <w:t>30</w:t>
      </w:r>
      <w:r w:rsidRPr="00B05C27">
        <w:rPr>
          <w:rFonts w:eastAsia="Times New Roman" w:cs="Arial"/>
          <w:lang w:eastAsia="es-MX"/>
        </w:rPr>
        <w:t xml:space="preserve"> de Julio 201</w:t>
      </w:r>
      <w:r>
        <w:rPr>
          <w:rFonts w:eastAsia="Times New Roman" w:cs="Arial"/>
          <w:lang w:eastAsia="es-MX"/>
        </w:rPr>
        <w:t>8</w:t>
      </w:r>
      <w:r w:rsidRPr="00B05C27">
        <w:rPr>
          <w:rFonts w:eastAsia="Times New Roman" w:cs="Arial"/>
          <w:lang w:eastAsia="es-MX"/>
        </w:rPr>
        <w:t>.</w:t>
      </w:r>
    </w:p>
    <w:p w:rsidR="00591062" w:rsidRDefault="0061703A" w:rsidP="00591062">
      <w:pPr>
        <w:spacing w:line="276" w:lineRule="auto"/>
        <w:ind w:right="-1"/>
        <w:jc w:val="both"/>
      </w:pPr>
      <w:hyperlink r:id="rId31" w:history="1">
        <w:r w:rsidR="00591062" w:rsidRPr="00537BA9">
          <w:rPr>
            <w:rStyle w:val="Hipervnculo"/>
          </w:rPr>
          <w:t>https://www.bmv.com.mx/docs-pub/eventoca/eventoca_851313_1.pdf</w:t>
        </w:r>
      </w:hyperlink>
    </w:p>
    <w:p w:rsidR="00591062" w:rsidRDefault="00591062" w:rsidP="00591062">
      <w:pPr>
        <w:spacing w:line="276" w:lineRule="auto"/>
        <w:ind w:right="-1"/>
        <w:jc w:val="both"/>
        <w:rPr>
          <w:i/>
        </w:rPr>
      </w:pPr>
      <w:r w:rsidRPr="00B05C27">
        <w:rPr>
          <w:rFonts w:cs="Arial"/>
          <w:i/>
        </w:rPr>
        <w:t>“</w:t>
      </w:r>
      <w:r w:rsidRPr="00997782">
        <w:rPr>
          <w:i/>
        </w:rPr>
        <w:t>* Confirmamos nuestras calificaciones de deuda de 'mxAAA' de los certificados bursátiles Serie A (con clave de pizarra PROIN 10) y Serie B (con clave de pizarra PROIN 10-2), así como del crédito subordinado que contrató el IFREM con Banobras. * Las calificaciones toman como punto de partida la calificación crediticia de emisor del IFREM y del Estado de México (ambos con calificación crediticia de emisor de 'mxA+'). * La confirmación de las calificaciones refleja el análisis de los flujos disponibles en los fideicomisos e incorpora los mecanismos de respaldo crediticio adicional que son suficientes para mantener una calificación de deuda de 'mxAAA'. * Nuestro análisis incorpora los niveles de cobertura del servicio de la deuda proyectados bajo nuestros escenarios de estrés, los cuales son suficientes para respaldar la calificación</w:t>
      </w:r>
      <w:r>
        <w:rPr>
          <w:i/>
        </w:rPr>
        <w:t>.</w:t>
      </w:r>
    </w:p>
    <w:p w:rsidR="00591062" w:rsidRDefault="00591062" w:rsidP="00591062">
      <w:pPr>
        <w:spacing w:line="276" w:lineRule="auto"/>
        <w:ind w:right="-1"/>
        <w:jc w:val="both"/>
        <w:rPr>
          <w:i/>
        </w:rPr>
      </w:pPr>
    </w:p>
    <w:p w:rsidR="00591062" w:rsidRDefault="00591062" w:rsidP="00591062">
      <w:pPr>
        <w:spacing w:line="276" w:lineRule="auto"/>
        <w:ind w:right="-1"/>
        <w:jc w:val="both"/>
        <w:rPr>
          <w:i/>
        </w:rPr>
      </w:pPr>
      <w:r w:rsidRPr="00997782">
        <w:rPr>
          <w:i/>
        </w:rPr>
        <w:t>Acción de Calificación</w:t>
      </w:r>
    </w:p>
    <w:p w:rsidR="00591062" w:rsidRDefault="00591062" w:rsidP="00591062">
      <w:pPr>
        <w:spacing w:line="276" w:lineRule="auto"/>
        <w:ind w:right="-1"/>
        <w:jc w:val="both"/>
        <w:rPr>
          <w:rFonts w:cs="Arial"/>
          <w:i/>
        </w:rPr>
      </w:pPr>
      <w:r w:rsidRPr="00997782">
        <w:rPr>
          <w:i/>
        </w:rPr>
        <w:t xml:space="preserve"> Ciudad de México, 30 de julio de 2018 - S&amp;P Global Ratings confirmó hoy sus calificaciones de deuda de largo plazo en escala nacional -CaVal- de 'mxAAA' de los certificados bursátiles Serie A, con clave de pizarra PROIN 10, y Serie B, con clave de pizarra PROIN 10-2, así como de un crédito bancario que contrató el Instituto de la Función Registral del Estado de México (IFREM; mxA+/Estable/--) con el Banco Nacional de Obras y Servicios Públicos, S.N.C. (Banobras)</w:t>
      </w:r>
      <w:r w:rsidRPr="00B05C27">
        <w:rPr>
          <w:rFonts w:cs="Arial"/>
          <w:i/>
        </w:rPr>
        <w:t>”.</w:t>
      </w:r>
    </w:p>
    <w:p w:rsidR="00591062" w:rsidRDefault="00591062" w:rsidP="00591062">
      <w:pPr>
        <w:spacing w:line="276" w:lineRule="auto"/>
        <w:ind w:right="-1"/>
        <w:jc w:val="both"/>
        <w:rPr>
          <w:rFonts w:cs="Arial"/>
          <w:i/>
        </w:rPr>
      </w:pPr>
    </w:p>
    <w:p w:rsidR="00843E0A" w:rsidRDefault="00843E0A" w:rsidP="00591062">
      <w:pPr>
        <w:spacing w:line="276" w:lineRule="auto"/>
        <w:ind w:right="-1"/>
        <w:jc w:val="both"/>
        <w:rPr>
          <w:rFonts w:cs="Arial"/>
          <w:i/>
        </w:rPr>
      </w:pPr>
    </w:p>
    <w:p w:rsidR="00591062" w:rsidRPr="00B05C27" w:rsidRDefault="00591062" w:rsidP="00591062">
      <w:pPr>
        <w:numPr>
          <w:ilvl w:val="0"/>
          <w:numId w:val="12"/>
        </w:numPr>
        <w:spacing w:line="276" w:lineRule="auto"/>
        <w:ind w:left="567" w:right="-1" w:hanging="567"/>
        <w:contextualSpacing/>
        <w:jc w:val="both"/>
        <w:rPr>
          <w:rFonts w:eastAsia="Times New Roman"/>
          <w:b/>
          <w:lang w:eastAsia="es-MX"/>
        </w:rPr>
      </w:pPr>
      <w:r w:rsidRPr="00B05C27">
        <w:rPr>
          <w:rFonts w:eastAsia="Times New Roman"/>
          <w:b/>
          <w:lang w:eastAsia="es-MX"/>
        </w:rPr>
        <w:t>Proceso de Mejora:</w:t>
      </w:r>
    </w:p>
    <w:p w:rsidR="00591062" w:rsidRPr="00B05C27" w:rsidRDefault="00591062" w:rsidP="00591062">
      <w:pPr>
        <w:spacing w:before="240" w:line="276" w:lineRule="auto"/>
        <w:ind w:right="-1"/>
        <w:jc w:val="both"/>
      </w:pPr>
      <w:r w:rsidRPr="00B05C27">
        <w:t xml:space="preserve">El Instituto se certificó bajo la norma </w:t>
      </w:r>
      <w:r w:rsidRPr="00B05C27">
        <w:rPr>
          <w:b/>
        </w:rPr>
        <w:t>ISO 9001:2015</w:t>
      </w:r>
      <w:r w:rsidRPr="00B05C27">
        <w:t xml:space="preserve">, en el mes de noviembre </w:t>
      </w:r>
      <w:r w:rsidRPr="0094283C">
        <w:t>de 2017,</w:t>
      </w:r>
      <w:r w:rsidRPr="00B05C27">
        <w:t xml:space="preserve"> se encuentra inmerso en el proceso de mejora continua y sigue modernizando sus procesos.</w:t>
      </w:r>
    </w:p>
    <w:p w:rsidR="00591062" w:rsidRDefault="00591062" w:rsidP="00591062">
      <w:pPr>
        <w:spacing w:line="276" w:lineRule="auto"/>
        <w:ind w:right="-1"/>
        <w:jc w:val="both"/>
      </w:pPr>
      <w:r w:rsidRPr="00B05C27">
        <w:t xml:space="preserve">El Estado de México ha pasado a mostrar un avance sobresaliente en la clasificación </w:t>
      </w:r>
      <w:r w:rsidRPr="00B05C27">
        <w:rPr>
          <w:b/>
        </w:rPr>
        <w:t>Doing Business en México</w:t>
      </w:r>
      <w:r w:rsidRPr="00B05C27">
        <w:t xml:space="preserve"> de 16 posiciones con respecto al año 2012, habiéndose clasificado en ese periodo en el lugar décimo octavo de 32 entidades económicas. En 2016 logró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rsidR="00591062" w:rsidRDefault="00591062" w:rsidP="00591062">
      <w:pPr>
        <w:numPr>
          <w:ilvl w:val="0"/>
          <w:numId w:val="12"/>
        </w:numPr>
        <w:spacing w:after="0" w:line="276" w:lineRule="auto"/>
        <w:ind w:left="567" w:right="-1" w:hanging="567"/>
        <w:contextualSpacing/>
        <w:jc w:val="both"/>
        <w:rPr>
          <w:rFonts w:eastAsia="Times New Roman"/>
          <w:b/>
          <w:lang w:eastAsia="es-MX"/>
        </w:rPr>
      </w:pPr>
      <w:r w:rsidRPr="00B05C27">
        <w:rPr>
          <w:rFonts w:eastAsia="Times New Roman"/>
          <w:b/>
          <w:lang w:eastAsia="es-MX"/>
        </w:rPr>
        <w:t>Información por Segmentos</w:t>
      </w:r>
    </w:p>
    <w:p w:rsidR="00591062" w:rsidRPr="008E7569" w:rsidRDefault="00591062" w:rsidP="00591062">
      <w:pPr>
        <w:spacing w:after="0" w:line="276" w:lineRule="auto"/>
        <w:ind w:left="567" w:right="-1"/>
        <w:contextualSpacing/>
        <w:jc w:val="both"/>
        <w:rPr>
          <w:rFonts w:eastAsia="Times New Roman"/>
          <w:b/>
          <w:sz w:val="10"/>
          <w:lang w:eastAsia="es-MX"/>
        </w:rPr>
      </w:pPr>
    </w:p>
    <w:p w:rsidR="00591062" w:rsidRPr="00B05C27" w:rsidRDefault="00591062" w:rsidP="00591062">
      <w:pPr>
        <w:spacing w:line="276" w:lineRule="auto"/>
        <w:ind w:right="-1"/>
        <w:jc w:val="both"/>
        <w:rPr>
          <w:bCs/>
        </w:rPr>
      </w:pPr>
      <w:r w:rsidRPr="00B05C27">
        <w:rPr>
          <w:bCs/>
        </w:rPr>
        <w:t>El Instituto no cuenta con información por segmentos.</w:t>
      </w:r>
    </w:p>
    <w:p w:rsidR="00591062" w:rsidRDefault="00591062" w:rsidP="00591062">
      <w:pPr>
        <w:numPr>
          <w:ilvl w:val="0"/>
          <w:numId w:val="12"/>
        </w:numPr>
        <w:spacing w:after="0" w:line="276" w:lineRule="auto"/>
        <w:ind w:left="567" w:right="-1" w:hanging="567"/>
        <w:contextualSpacing/>
        <w:jc w:val="both"/>
        <w:rPr>
          <w:rFonts w:eastAsia="Times New Roman"/>
          <w:b/>
          <w:lang w:eastAsia="es-MX"/>
        </w:rPr>
      </w:pPr>
      <w:r w:rsidRPr="00B05C27">
        <w:rPr>
          <w:rFonts w:eastAsia="Times New Roman"/>
          <w:b/>
          <w:lang w:eastAsia="es-MX"/>
        </w:rPr>
        <w:t>Eventos Posteriores al Cierre</w:t>
      </w:r>
    </w:p>
    <w:p w:rsidR="00591062" w:rsidRPr="008E7569" w:rsidRDefault="00591062" w:rsidP="00591062">
      <w:pPr>
        <w:spacing w:after="0" w:line="276" w:lineRule="auto"/>
        <w:ind w:right="-1"/>
        <w:jc w:val="both"/>
        <w:rPr>
          <w:bCs/>
          <w:sz w:val="14"/>
        </w:rPr>
      </w:pPr>
    </w:p>
    <w:p w:rsidR="00591062" w:rsidRPr="00151600" w:rsidRDefault="00591062" w:rsidP="00591062">
      <w:pPr>
        <w:spacing w:line="276" w:lineRule="auto"/>
        <w:ind w:right="-1"/>
        <w:jc w:val="both"/>
      </w:pPr>
      <w:r w:rsidRPr="00B05C27">
        <w:t>El Instituto no presenta eventos posteriores al cierre que pudieran tener un efecto importante en su situación financiera y resultados de operación futuros.</w:t>
      </w:r>
    </w:p>
    <w:p w:rsidR="00591062" w:rsidRPr="00B05C27" w:rsidRDefault="00591062" w:rsidP="00591062">
      <w:pPr>
        <w:numPr>
          <w:ilvl w:val="0"/>
          <w:numId w:val="12"/>
        </w:numPr>
        <w:spacing w:after="0" w:line="276" w:lineRule="auto"/>
        <w:ind w:left="567" w:right="-1" w:hanging="567"/>
        <w:contextualSpacing/>
        <w:jc w:val="both"/>
        <w:rPr>
          <w:rFonts w:eastAsia="Times New Roman" w:cs="Arial"/>
          <w:lang w:eastAsia="es-MX"/>
        </w:rPr>
      </w:pPr>
      <w:r w:rsidRPr="00B05C27">
        <w:rPr>
          <w:rFonts w:eastAsia="Times New Roman" w:cs="Arial"/>
          <w:b/>
          <w:lang w:eastAsia="es-MX"/>
        </w:rPr>
        <w:t>Partes Relacionadas</w:t>
      </w:r>
    </w:p>
    <w:p w:rsidR="00591062" w:rsidRPr="008E7569" w:rsidRDefault="00591062" w:rsidP="00591062">
      <w:pPr>
        <w:spacing w:after="0" w:line="276" w:lineRule="auto"/>
        <w:ind w:right="-1"/>
        <w:jc w:val="both"/>
        <w:rPr>
          <w:bCs/>
          <w:sz w:val="16"/>
        </w:rPr>
      </w:pPr>
    </w:p>
    <w:p w:rsidR="00591062" w:rsidRPr="00B05C27" w:rsidRDefault="00591062" w:rsidP="00591062">
      <w:pPr>
        <w:spacing w:line="276" w:lineRule="auto"/>
        <w:ind w:right="-1"/>
        <w:jc w:val="both"/>
        <w:rPr>
          <w:rFonts w:cs="Arial"/>
        </w:rPr>
      </w:pPr>
      <w:r w:rsidRPr="00B05C27">
        <w:rPr>
          <w:rFonts w:cs="Arial"/>
        </w:rPr>
        <w:t>No existen partes relacionadas que pudieran ejercer influencia significativa sobre la toma de decisiones financieras y operativas en este Instituto.</w:t>
      </w:r>
    </w:p>
    <w:p w:rsidR="00591062" w:rsidRPr="00B05C27" w:rsidRDefault="00591062" w:rsidP="00591062">
      <w:pPr>
        <w:numPr>
          <w:ilvl w:val="0"/>
          <w:numId w:val="12"/>
        </w:numPr>
        <w:spacing w:after="0" w:line="276" w:lineRule="auto"/>
        <w:ind w:left="567" w:right="-1" w:hanging="567"/>
        <w:contextualSpacing/>
        <w:jc w:val="both"/>
        <w:rPr>
          <w:bCs/>
        </w:rPr>
      </w:pPr>
      <w:r w:rsidRPr="00B05C27">
        <w:rPr>
          <w:rFonts w:eastAsia="Times New Roman" w:cs="Arial"/>
          <w:b/>
          <w:lang w:eastAsia="es-MX"/>
        </w:rPr>
        <w:t>Responsabilidad Sobre la Presentación Razonable de los Estados Financieros</w:t>
      </w:r>
    </w:p>
    <w:p w:rsidR="00591062" w:rsidRDefault="00591062" w:rsidP="00591062">
      <w:pPr>
        <w:spacing w:line="276" w:lineRule="auto"/>
        <w:ind w:right="-1"/>
        <w:jc w:val="both"/>
        <w:rPr>
          <w:rFonts w:cs="Arial"/>
        </w:rPr>
      </w:pPr>
      <w:r w:rsidRPr="00B05C27">
        <w:rPr>
          <w:rFonts w:cs="Arial"/>
        </w:rPr>
        <w:t>“Bajo protesta de decir verdad declaramos que los Estados Financieros y sus Notas, son razonablemente correctos y son responsabilidad del emisor”.</w:t>
      </w:r>
    </w:p>
    <w:p w:rsidR="00591062" w:rsidRPr="008E7569" w:rsidRDefault="00591062" w:rsidP="00591062">
      <w:pPr>
        <w:spacing w:line="276" w:lineRule="auto"/>
        <w:ind w:right="-1"/>
        <w:jc w:val="both"/>
        <w:rPr>
          <w:rFonts w:cs="Arial"/>
          <w:sz w:val="2"/>
        </w:rPr>
      </w:pPr>
    </w:p>
    <w:p w:rsidR="00591062" w:rsidRPr="008E7569" w:rsidRDefault="00591062" w:rsidP="00591062">
      <w:pPr>
        <w:spacing w:line="276" w:lineRule="auto"/>
        <w:ind w:right="-1"/>
        <w:jc w:val="both"/>
        <w:rPr>
          <w:rFonts w:cs="Arial"/>
          <w:sz w:val="2"/>
        </w:rPr>
      </w:pPr>
    </w:p>
    <w:p w:rsidR="00591062" w:rsidRPr="00B05C27" w:rsidRDefault="00591062" w:rsidP="00591062">
      <w:pPr>
        <w:tabs>
          <w:tab w:val="left" w:pos="3994"/>
        </w:tabs>
        <w:spacing w:after="0" w:line="276" w:lineRule="auto"/>
        <w:ind w:right="-1"/>
        <w:contextualSpacing/>
        <w:jc w:val="center"/>
        <w:rPr>
          <w:rFonts w:eastAsia="Times New Roman" w:cs="Arial"/>
          <w:lang w:eastAsia="es-MX"/>
        </w:rPr>
      </w:pPr>
      <w:r w:rsidRPr="00B05C27">
        <w:rPr>
          <w:rFonts w:eastAsia="Times New Roman" w:cs="Arial"/>
          <w:b/>
          <w:lang w:eastAsia="es-MX"/>
        </w:rPr>
        <w:t>Firmas:</w:t>
      </w:r>
    </w:p>
    <w:tbl>
      <w:tblPr>
        <w:tblW w:w="10237" w:type="dxa"/>
        <w:jc w:val="center"/>
        <w:tblLook w:val="04A0" w:firstRow="1" w:lastRow="0" w:firstColumn="1" w:lastColumn="0" w:noHBand="0" w:noVBand="1"/>
      </w:tblPr>
      <w:tblGrid>
        <w:gridCol w:w="5611"/>
        <w:gridCol w:w="4626"/>
      </w:tblGrid>
      <w:tr w:rsidR="00591062" w:rsidRPr="00B05C27" w:rsidTr="00843E0A">
        <w:trPr>
          <w:trHeight w:val="988"/>
          <w:jc w:val="center"/>
        </w:trPr>
        <w:tc>
          <w:tcPr>
            <w:tcW w:w="5611" w:type="dxa"/>
            <w:shd w:val="clear" w:color="auto" w:fill="auto"/>
          </w:tcPr>
          <w:p w:rsidR="00591062" w:rsidRDefault="00591062" w:rsidP="007C417F">
            <w:pPr>
              <w:spacing w:line="276" w:lineRule="auto"/>
              <w:ind w:right="-1"/>
              <w:jc w:val="center"/>
              <w:rPr>
                <w:rFonts w:cs="Arial"/>
              </w:rPr>
            </w:pPr>
          </w:p>
          <w:p w:rsidR="00591062" w:rsidRPr="00B05C27" w:rsidRDefault="00591062" w:rsidP="007C417F">
            <w:pPr>
              <w:spacing w:line="276" w:lineRule="auto"/>
              <w:ind w:right="-1"/>
              <w:jc w:val="center"/>
              <w:rPr>
                <w:rFonts w:cs="Arial"/>
              </w:rPr>
            </w:pPr>
          </w:p>
          <w:p w:rsidR="00591062" w:rsidRPr="00B05C27" w:rsidRDefault="00591062" w:rsidP="007C417F">
            <w:pPr>
              <w:spacing w:line="276" w:lineRule="auto"/>
              <w:ind w:right="-1"/>
              <w:jc w:val="center"/>
              <w:rPr>
                <w:rFonts w:cs="Arial"/>
              </w:rPr>
            </w:pPr>
            <w:r w:rsidRPr="00B05C27">
              <w:rPr>
                <w:rFonts w:cs="Arial"/>
              </w:rPr>
              <w:t>________________________________</w:t>
            </w:r>
          </w:p>
          <w:p w:rsidR="00591062" w:rsidRPr="00B05C27" w:rsidRDefault="00591062" w:rsidP="007C417F">
            <w:pPr>
              <w:spacing w:after="0" w:line="276" w:lineRule="auto"/>
              <w:ind w:right="-1"/>
              <w:jc w:val="center"/>
              <w:rPr>
                <w:rFonts w:cs="Arial"/>
              </w:rPr>
            </w:pPr>
            <w:r w:rsidRPr="00B05C27">
              <w:rPr>
                <w:rFonts w:cs="Arial"/>
              </w:rPr>
              <w:t>M. en D. Tania Lorena Lugo Paz</w:t>
            </w:r>
          </w:p>
          <w:p w:rsidR="00591062" w:rsidRPr="00B05C27" w:rsidRDefault="00591062" w:rsidP="007C417F">
            <w:pPr>
              <w:spacing w:line="276" w:lineRule="auto"/>
              <w:ind w:right="-1"/>
              <w:jc w:val="center"/>
              <w:rPr>
                <w:rFonts w:cs="Arial"/>
              </w:rPr>
            </w:pPr>
            <w:r w:rsidRPr="00B05C27">
              <w:rPr>
                <w:rFonts w:cs="Arial"/>
                <w:b/>
              </w:rPr>
              <w:t>Directora General del IFREM</w:t>
            </w:r>
          </w:p>
        </w:tc>
        <w:tc>
          <w:tcPr>
            <w:tcW w:w="4625" w:type="dxa"/>
            <w:shd w:val="clear" w:color="auto" w:fill="auto"/>
          </w:tcPr>
          <w:p w:rsidR="00591062" w:rsidRDefault="00591062" w:rsidP="007C417F">
            <w:pPr>
              <w:spacing w:line="276" w:lineRule="auto"/>
              <w:ind w:right="-1"/>
              <w:jc w:val="center"/>
              <w:rPr>
                <w:rFonts w:cs="Arial"/>
              </w:rPr>
            </w:pPr>
          </w:p>
          <w:p w:rsidR="00591062" w:rsidRPr="00B05C27" w:rsidRDefault="00591062" w:rsidP="007C417F">
            <w:pPr>
              <w:spacing w:line="276" w:lineRule="auto"/>
              <w:ind w:right="-1"/>
              <w:jc w:val="center"/>
              <w:rPr>
                <w:rFonts w:cs="Arial"/>
              </w:rPr>
            </w:pPr>
          </w:p>
          <w:p w:rsidR="00591062" w:rsidRPr="00B05C27" w:rsidRDefault="00591062" w:rsidP="007C417F">
            <w:pPr>
              <w:spacing w:line="276" w:lineRule="auto"/>
              <w:ind w:right="-1"/>
              <w:jc w:val="center"/>
              <w:rPr>
                <w:rFonts w:cs="Arial"/>
              </w:rPr>
            </w:pPr>
            <w:r w:rsidRPr="00B05C27">
              <w:rPr>
                <w:rFonts w:cs="Arial"/>
              </w:rPr>
              <w:t>________________________________</w:t>
            </w:r>
          </w:p>
          <w:p w:rsidR="00591062" w:rsidRPr="00B05C27" w:rsidRDefault="00591062" w:rsidP="007C417F">
            <w:pPr>
              <w:spacing w:after="0" w:line="276" w:lineRule="auto"/>
              <w:ind w:left="544" w:right="-1" w:hanging="261"/>
              <w:jc w:val="center"/>
              <w:rPr>
                <w:rFonts w:cs="Arial"/>
              </w:rPr>
            </w:pPr>
            <w:r w:rsidRPr="00B05C27">
              <w:rPr>
                <w:rFonts w:cs="Arial"/>
              </w:rPr>
              <w:t>L.A.E. Patricia Herrera Vallejo</w:t>
            </w:r>
          </w:p>
          <w:p w:rsidR="00591062" w:rsidRPr="00B05C27" w:rsidRDefault="00591062" w:rsidP="007C417F">
            <w:pPr>
              <w:spacing w:line="276" w:lineRule="auto"/>
              <w:ind w:right="-1"/>
              <w:jc w:val="center"/>
              <w:rPr>
                <w:rFonts w:cs="Arial"/>
              </w:rPr>
            </w:pPr>
            <w:r w:rsidRPr="00B05C27">
              <w:rPr>
                <w:rFonts w:cs="Arial"/>
                <w:b/>
              </w:rPr>
              <w:t>Directora de Administración y Finanzas</w:t>
            </w:r>
          </w:p>
        </w:tc>
      </w:tr>
      <w:tr w:rsidR="00591062" w:rsidRPr="00B05C27" w:rsidTr="00843E0A">
        <w:tblPrEx>
          <w:tblCellMar>
            <w:left w:w="70" w:type="dxa"/>
            <w:right w:w="70" w:type="dxa"/>
          </w:tblCellMar>
        </w:tblPrEx>
        <w:trPr>
          <w:trHeight w:val="187"/>
          <w:jc w:val="center"/>
        </w:trPr>
        <w:tc>
          <w:tcPr>
            <w:tcW w:w="10237" w:type="dxa"/>
            <w:gridSpan w:val="2"/>
            <w:shd w:val="clear" w:color="auto" w:fill="auto"/>
            <w:noWrap/>
            <w:vAlign w:val="bottom"/>
            <w:hideMark/>
          </w:tcPr>
          <w:p w:rsidR="00591062" w:rsidRDefault="00591062" w:rsidP="007C417F">
            <w:pPr>
              <w:spacing w:line="276" w:lineRule="auto"/>
              <w:ind w:right="-1"/>
              <w:rPr>
                <w:rFonts w:cs="Arial"/>
                <w:sz w:val="2"/>
              </w:rPr>
            </w:pPr>
          </w:p>
          <w:p w:rsidR="00591062" w:rsidRPr="008E7569" w:rsidRDefault="00591062" w:rsidP="007C417F">
            <w:pPr>
              <w:spacing w:line="276" w:lineRule="auto"/>
              <w:ind w:right="-1"/>
              <w:rPr>
                <w:rFonts w:cs="Arial"/>
                <w:sz w:val="2"/>
              </w:rPr>
            </w:pPr>
          </w:p>
          <w:p w:rsidR="00591062" w:rsidRPr="00B05C27" w:rsidRDefault="00591062" w:rsidP="007C417F">
            <w:pPr>
              <w:spacing w:line="276" w:lineRule="auto"/>
              <w:ind w:right="-1"/>
              <w:jc w:val="center"/>
              <w:rPr>
                <w:rFonts w:cs="Arial"/>
              </w:rPr>
            </w:pPr>
            <w:r w:rsidRPr="00B05C27">
              <w:rPr>
                <w:rFonts w:cs="Arial"/>
              </w:rPr>
              <w:t>________________________________</w:t>
            </w:r>
          </w:p>
          <w:p w:rsidR="00591062" w:rsidRPr="00B05C27" w:rsidRDefault="00591062" w:rsidP="007C417F">
            <w:pPr>
              <w:spacing w:after="0" w:line="276" w:lineRule="auto"/>
              <w:ind w:right="-1"/>
              <w:jc w:val="center"/>
              <w:rPr>
                <w:rFonts w:cs="Arial"/>
              </w:rPr>
            </w:pPr>
            <w:r w:rsidRPr="00B05C27">
              <w:rPr>
                <w:rFonts w:cs="Arial"/>
              </w:rPr>
              <w:t>Lic. Antonio Hernández Tenorio</w:t>
            </w:r>
          </w:p>
          <w:p w:rsidR="00591062" w:rsidRPr="00B05C27" w:rsidRDefault="00591062" w:rsidP="007C417F">
            <w:pPr>
              <w:spacing w:line="276" w:lineRule="auto"/>
              <w:ind w:right="-1"/>
              <w:jc w:val="center"/>
              <w:rPr>
                <w:rFonts w:cs="Arial"/>
              </w:rPr>
            </w:pPr>
            <w:r w:rsidRPr="00B05C27">
              <w:rPr>
                <w:rFonts w:cs="Arial"/>
                <w:b/>
              </w:rPr>
              <w:t>Subdirector de Finanzas</w:t>
            </w:r>
          </w:p>
        </w:tc>
      </w:tr>
    </w:tbl>
    <w:p w:rsidR="00FB5F59" w:rsidRPr="00591062" w:rsidRDefault="00FB5F59" w:rsidP="00843E0A">
      <w:pPr>
        <w:spacing w:after="240" w:line="276" w:lineRule="auto"/>
        <w:ind w:right="-1"/>
        <w:jc w:val="both"/>
        <w:rPr>
          <w:rFonts w:cs="Arial"/>
        </w:rPr>
      </w:pPr>
    </w:p>
    <w:sectPr w:rsidR="00FB5F59" w:rsidRPr="00591062" w:rsidSect="00553E8A">
      <w:headerReference w:type="default" r:id="rId32"/>
      <w:footerReference w:type="default" r:id="rId33"/>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0E" w:rsidRDefault="0058590E" w:rsidP="0033212B">
      <w:pPr>
        <w:spacing w:after="0" w:line="240" w:lineRule="auto"/>
      </w:pPr>
      <w:r>
        <w:separator/>
      </w:r>
    </w:p>
  </w:endnote>
  <w:endnote w:type="continuationSeparator" w:id="0">
    <w:p w:rsidR="0058590E" w:rsidRDefault="0058590E"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7" w:usb1="00000000" w:usb2="00000000" w:usb3="00000000" w:csb0="00000093" w:csb1="00000000"/>
  </w:font>
  <w:font w:name="Gotham Bold">
    <w:altName w:val="Segoe UI Semibold"/>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29720"/>
      <w:docPartObj>
        <w:docPartGallery w:val="Page Numbers (Bottom of Page)"/>
        <w:docPartUnique/>
      </w:docPartObj>
    </w:sdtPr>
    <w:sdtEndPr/>
    <w:sdtContent>
      <w:p w:rsidR="00843E0A" w:rsidRDefault="00843E0A" w:rsidP="006351E0">
        <w:pPr>
          <w:tabs>
            <w:tab w:val="left" w:pos="5685"/>
            <w:tab w:val="left" w:pos="8745"/>
            <w:tab w:val="right" w:pos="10062"/>
          </w:tabs>
        </w:pPr>
      </w:p>
      <w:p w:rsidR="007B52E3" w:rsidRDefault="007B52E3"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0C20C023" wp14:editId="5F77A706">
              <wp:simplePos x="0" y="0"/>
              <wp:positionH relativeFrom="column">
                <wp:posOffset>-800735</wp:posOffset>
              </wp:positionH>
              <wp:positionV relativeFrom="paragraph">
                <wp:posOffset>-179070</wp:posOffset>
              </wp:positionV>
              <wp:extent cx="7760970" cy="14192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rsidR="007B52E3" w:rsidRDefault="007B52E3"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61703A">
          <w:rPr>
            <w:b/>
            <w:bCs/>
            <w:noProof/>
          </w:rPr>
          <w:t>25</w:t>
        </w:r>
        <w:r>
          <w:rPr>
            <w:b/>
            <w:bCs/>
          </w:rPr>
          <w:fldChar w:fldCharType="end"/>
        </w:r>
        <w:r>
          <w:rPr>
            <w:lang w:val="es-ES"/>
          </w:rPr>
          <w:t xml:space="preserve"> de 27</w:t>
        </w:r>
      </w:p>
      <w:p w:rsidR="007B52E3" w:rsidRDefault="007B52E3" w:rsidP="00FD4233">
        <w:pPr>
          <w:tabs>
            <w:tab w:val="left" w:pos="1635"/>
            <w:tab w:val="center" w:pos="5031"/>
            <w:tab w:val="left" w:pos="6360"/>
            <w:tab w:val="left" w:pos="8445"/>
            <w:tab w:val="right" w:pos="10062"/>
          </w:tabs>
        </w:pPr>
        <w:r>
          <w:tab/>
        </w:r>
        <w:r>
          <w:tab/>
        </w:r>
        <w:r>
          <w:tab/>
        </w:r>
      </w:p>
      <w:p w:rsidR="007B52E3" w:rsidRDefault="007B52E3" w:rsidP="001A70A8">
        <w:pPr>
          <w:pStyle w:val="Piedepgina"/>
          <w:jc w:val="center"/>
        </w:pPr>
      </w:p>
      <w:p w:rsidR="007B52E3" w:rsidRDefault="007B52E3" w:rsidP="00FD4233">
        <w:pPr>
          <w:pStyle w:val="Piedepgina"/>
          <w:jc w:val="right"/>
        </w:pPr>
      </w:p>
      <w:p w:rsidR="007B52E3" w:rsidRDefault="007B52E3" w:rsidP="001A70A8">
        <w:pPr>
          <w:pStyle w:val="Piedepgina"/>
          <w:jc w:val="center"/>
        </w:pPr>
      </w:p>
      <w:p w:rsidR="007B52E3" w:rsidRDefault="007B52E3" w:rsidP="00AB0FF1">
        <w:pPr>
          <w:pStyle w:val="Piedepgina"/>
          <w:tabs>
            <w:tab w:val="center" w:pos="5031"/>
            <w:tab w:val="left" w:pos="8520"/>
          </w:tabs>
        </w:pPr>
        <w:r>
          <w:tab/>
        </w:r>
        <w:r>
          <w:tab/>
        </w:r>
        <w:r>
          <w:tab/>
        </w:r>
      </w:p>
    </w:sdtContent>
  </w:sdt>
  <w:p w:rsidR="007B52E3" w:rsidRDefault="007B52E3"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0E" w:rsidRDefault="0058590E" w:rsidP="0033212B">
      <w:pPr>
        <w:spacing w:after="0" w:line="240" w:lineRule="auto"/>
      </w:pPr>
      <w:r>
        <w:separator/>
      </w:r>
    </w:p>
  </w:footnote>
  <w:footnote w:type="continuationSeparator" w:id="0">
    <w:p w:rsidR="0058590E" w:rsidRDefault="0058590E" w:rsidP="0033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E3" w:rsidRDefault="007B52E3"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72576" behindDoc="1" locked="0" layoutInCell="1" allowOverlap="1" wp14:anchorId="1A51DC58" wp14:editId="517ED0A5">
          <wp:simplePos x="0" y="0"/>
          <wp:positionH relativeFrom="page">
            <wp:posOffset>209550</wp:posOffset>
          </wp:positionH>
          <wp:positionV relativeFrom="page">
            <wp:posOffset>161925</wp:posOffset>
          </wp:positionV>
          <wp:extent cx="7356475" cy="657225"/>
          <wp:effectExtent l="0" t="0" r="0" b="0"/>
          <wp:wrapNone/>
          <wp:docPr id="37" name="Imagen 37"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52E3" w:rsidRDefault="007B52E3" w:rsidP="000316D9">
    <w:pPr>
      <w:pStyle w:val="Encabezado"/>
      <w:tabs>
        <w:tab w:val="clear" w:pos="4419"/>
        <w:tab w:val="clear" w:pos="8838"/>
      </w:tabs>
      <w:ind w:left="-1560" w:right="-1652"/>
      <w:jc w:val="center"/>
      <w:rPr>
        <w:noProof/>
        <w:lang w:eastAsia="es-MX"/>
      </w:rPr>
    </w:pPr>
  </w:p>
  <w:p w:rsidR="007B52E3" w:rsidRDefault="007B52E3" w:rsidP="000316D9">
    <w:pPr>
      <w:pStyle w:val="Encabezado"/>
      <w:tabs>
        <w:tab w:val="clear" w:pos="4419"/>
        <w:tab w:val="clear" w:pos="8838"/>
      </w:tabs>
      <w:ind w:left="-1560" w:right="-1652"/>
      <w:jc w:val="center"/>
      <w:rPr>
        <w:noProof/>
        <w:lang w:eastAsia="es-MX"/>
      </w:rPr>
    </w:pPr>
  </w:p>
  <w:p w:rsidR="007B52E3" w:rsidRDefault="007B52E3" w:rsidP="00AB0FF1">
    <w:pPr>
      <w:pStyle w:val="Encabezado"/>
      <w:tabs>
        <w:tab w:val="clear" w:pos="4419"/>
        <w:tab w:val="clear" w:pos="8838"/>
        <w:tab w:val="left" w:pos="165"/>
        <w:tab w:val="left" w:pos="1710"/>
      </w:tabs>
      <w:ind w:left="-1560" w:right="-1652"/>
      <w:rPr>
        <w:noProof/>
        <w:lang w:eastAsia="es-MX"/>
      </w:rPr>
    </w:pPr>
    <w:r>
      <w:rPr>
        <w:noProof/>
        <w:lang w:eastAsia="es-MX"/>
      </w:rPr>
      <w:tab/>
    </w:r>
    <w:r>
      <w:rPr>
        <w:noProof/>
        <w:lang w:eastAsia="es-MX"/>
      </w:rPr>
      <w:tab/>
    </w:r>
  </w:p>
  <w:p w:rsidR="007B52E3" w:rsidRDefault="007B52E3" w:rsidP="00AB0FF1">
    <w:pPr>
      <w:pStyle w:val="Encabezado"/>
      <w:tabs>
        <w:tab w:val="clear" w:pos="4419"/>
        <w:tab w:val="clear" w:pos="8838"/>
        <w:tab w:val="left" w:pos="6345"/>
      </w:tabs>
      <w:ind w:left="-1560" w:right="-1652"/>
      <w:rPr>
        <w:noProof/>
        <w:lang w:eastAsia="es-MX"/>
      </w:rPr>
    </w:pPr>
    <w:r>
      <w:rPr>
        <w:noProof/>
        <w:lang w:eastAsia="es-MX"/>
      </w:rPr>
      <w:tab/>
    </w:r>
  </w:p>
  <w:p w:rsidR="007B52E3" w:rsidRPr="009D03C8" w:rsidRDefault="007B52E3" w:rsidP="000316D9">
    <w:pPr>
      <w:pStyle w:val="Encabezado"/>
      <w:tabs>
        <w:tab w:val="clear" w:pos="4419"/>
        <w:tab w:val="clear" w:pos="8838"/>
      </w:tabs>
      <w:ind w:left="-1560" w:right="-1652"/>
      <w:jc w:val="center"/>
    </w:pPr>
    <w:r>
      <w:rPr>
        <w:rFonts w:ascii="Gotham Bold" w:hAnsi="Gotham Bold"/>
      </w:rPr>
      <w:t>“2019. Año del Centésimo Aniversario Luctuoso de Emiliano Zapata Salazar. El Caudillo del Sur”.</w:t>
    </w:r>
  </w:p>
  <w:p w:rsidR="007B52E3" w:rsidRPr="00DF66A9" w:rsidRDefault="007B52E3"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22136D0"/>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728BD"/>
    <w:multiLevelType w:val="hybridMultilevel"/>
    <w:tmpl w:val="497EDE4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CAE7C0B"/>
    <w:multiLevelType w:val="hybridMultilevel"/>
    <w:tmpl w:val="497EDE4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7437978"/>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2B6C21"/>
    <w:multiLevelType w:val="multilevel"/>
    <w:tmpl w:val="5E929742"/>
    <w:lvl w:ilvl="0">
      <w:start w:val="1"/>
      <w:numFmt w:val="decimal"/>
      <w:lvlText w:val="%1."/>
      <w:lvlJc w:val="left"/>
      <w:pPr>
        <w:ind w:left="360"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6A9284A"/>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AD84045"/>
    <w:multiLevelType w:val="hybridMultilevel"/>
    <w:tmpl w:val="86EEDAF2"/>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3FA14BF1"/>
    <w:multiLevelType w:val="hybridMultilevel"/>
    <w:tmpl w:val="49221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2C641A"/>
    <w:multiLevelType w:val="hybridMultilevel"/>
    <w:tmpl w:val="A8E4D0E4"/>
    <w:lvl w:ilvl="0" w:tplc="65DABA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9454E5"/>
    <w:multiLevelType w:val="hybridMultilevel"/>
    <w:tmpl w:val="1346B96A"/>
    <w:lvl w:ilvl="0" w:tplc="2B62B0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757B43"/>
    <w:multiLevelType w:val="hybridMultilevel"/>
    <w:tmpl w:val="400A324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16"/>
  </w:num>
  <w:num w:numId="6">
    <w:abstractNumId w:val="3"/>
  </w:num>
  <w:num w:numId="7">
    <w:abstractNumId w:val="12"/>
  </w:num>
  <w:num w:numId="8">
    <w:abstractNumId w:val="14"/>
  </w:num>
  <w:num w:numId="9">
    <w:abstractNumId w:val="15"/>
  </w:num>
  <w:num w:numId="10">
    <w:abstractNumId w:val="11"/>
  </w:num>
  <w:num w:numId="11">
    <w:abstractNumId w:val="8"/>
  </w:num>
  <w:num w:numId="12">
    <w:abstractNumId w:val="1"/>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2B"/>
    <w:rsid w:val="000027DB"/>
    <w:rsid w:val="00010FD9"/>
    <w:rsid w:val="00012845"/>
    <w:rsid w:val="0001352F"/>
    <w:rsid w:val="00015E63"/>
    <w:rsid w:val="00016F2A"/>
    <w:rsid w:val="0001768C"/>
    <w:rsid w:val="00021DE1"/>
    <w:rsid w:val="00022C7E"/>
    <w:rsid w:val="000265E6"/>
    <w:rsid w:val="00026EBB"/>
    <w:rsid w:val="000316D9"/>
    <w:rsid w:val="0003577A"/>
    <w:rsid w:val="0003731C"/>
    <w:rsid w:val="00037C59"/>
    <w:rsid w:val="000405AF"/>
    <w:rsid w:val="00043D55"/>
    <w:rsid w:val="00045845"/>
    <w:rsid w:val="000526C7"/>
    <w:rsid w:val="000564CF"/>
    <w:rsid w:val="00057473"/>
    <w:rsid w:val="00061AB7"/>
    <w:rsid w:val="00062DFB"/>
    <w:rsid w:val="00064186"/>
    <w:rsid w:val="0007108F"/>
    <w:rsid w:val="00072B06"/>
    <w:rsid w:val="00073B8C"/>
    <w:rsid w:val="0008290A"/>
    <w:rsid w:val="00082CB1"/>
    <w:rsid w:val="00083D56"/>
    <w:rsid w:val="00094250"/>
    <w:rsid w:val="00094DD0"/>
    <w:rsid w:val="0009517D"/>
    <w:rsid w:val="000A081E"/>
    <w:rsid w:val="000A228A"/>
    <w:rsid w:val="000A2ADF"/>
    <w:rsid w:val="000A30E0"/>
    <w:rsid w:val="000A3489"/>
    <w:rsid w:val="000A3DA3"/>
    <w:rsid w:val="000A4773"/>
    <w:rsid w:val="000A4CD9"/>
    <w:rsid w:val="000A4FB8"/>
    <w:rsid w:val="000A52F1"/>
    <w:rsid w:val="000A7CAE"/>
    <w:rsid w:val="000B03BB"/>
    <w:rsid w:val="000B07D7"/>
    <w:rsid w:val="000B0F33"/>
    <w:rsid w:val="000C0132"/>
    <w:rsid w:val="000C08D7"/>
    <w:rsid w:val="000C5056"/>
    <w:rsid w:val="000C5544"/>
    <w:rsid w:val="000D01F5"/>
    <w:rsid w:val="000D09FF"/>
    <w:rsid w:val="000D1290"/>
    <w:rsid w:val="000D1B63"/>
    <w:rsid w:val="000D40F1"/>
    <w:rsid w:val="000D5865"/>
    <w:rsid w:val="000E5435"/>
    <w:rsid w:val="000E57F1"/>
    <w:rsid w:val="000E650B"/>
    <w:rsid w:val="000E7537"/>
    <w:rsid w:val="000F4FF2"/>
    <w:rsid w:val="000F737A"/>
    <w:rsid w:val="001135F5"/>
    <w:rsid w:val="00114174"/>
    <w:rsid w:val="001167C1"/>
    <w:rsid w:val="00121D31"/>
    <w:rsid w:val="00123396"/>
    <w:rsid w:val="00124778"/>
    <w:rsid w:val="00124F83"/>
    <w:rsid w:val="00125235"/>
    <w:rsid w:val="00130EA5"/>
    <w:rsid w:val="00136FAC"/>
    <w:rsid w:val="00140429"/>
    <w:rsid w:val="001436FB"/>
    <w:rsid w:val="00143879"/>
    <w:rsid w:val="00152B8F"/>
    <w:rsid w:val="00153C26"/>
    <w:rsid w:val="00154103"/>
    <w:rsid w:val="001554DD"/>
    <w:rsid w:val="00155A9D"/>
    <w:rsid w:val="001570DC"/>
    <w:rsid w:val="001600FB"/>
    <w:rsid w:val="00160821"/>
    <w:rsid w:val="00163812"/>
    <w:rsid w:val="001678EA"/>
    <w:rsid w:val="00173CC3"/>
    <w:rsid w:val="00173DBF"/>
    <w:rsid w:val="00175DCD"/>
    <w:rsid w:val="001800B6"/>
    <w:rsid w:val="00180232"/>
    <w:rsid w:val="001811A8"/>
    <w:rsid w:val="00181B3F"/>
    <w:rsid w:val="00183F2F"/>
    <w:rsid w:val="00194F29"/>
    <w:rsid w:val="001A70A8"/>
    <w:rsid w:val="001B0613"/>
    <w:rsid w:val="001B1326"/>
    <w:rsid w:val="001B3BFD"/>
    <w:rsid w:val="001B4811"/>
    <w:rsid w:val="001B6A78"/>
    <w:rsid w:val="001B79F0"/>
    <w:rsid w:val="001C1913"/>
    <w:rsid w:val="001C32DD"/>
    <w:rsid w:val="001C33D8"/>
    <w:rsid w:val="001C36BA"/>
    <w:rsid w:val="001C6622"/>
    <w:rsid w:val="001C72C4"/>
    <w:rsid w:val="001D237E"/>
    <w:rsid w:val="001D5057"/>
    <w:rsid w:val="001D5210"/>
    <w:rsid w:val="001D5A6E"/>
    <w:rsid w:val="001D74CB"/>
    <w:rsid w:val="001D793E"/>
    <w:rsid w:val="001E06EF"/>
    <w:rsid w:val="001E1B89"/>
    <w:rsid w:val="001E396C"/>
    <w:rsid w:val="001E4762"/>
    <w:rsid w:val="001E4D68"/>
    <w:rsid w:val="001E5489"/>
    <w:rsid w:val="001F05AD"/>
    <w:rsid w:val="001F1FF9"/>
    <w:rsid w:val="001F5305"/>
    <w:rsid w:val="00200343"/>
    <w:rsid w:val="00201773"/>
    <w:rsid w:val="0020245B"/>
    <w:rsid w:val="00213972"/>
    <w:rsid w:val="00216916"/>
    <w:rsid w:val="002174D6"/>
    <w:rsid w:val="002201A1"/>
    <w:rsid w:val="00221377"/>
    <w:rsid w:val="00221CB3"/>
    <w:rsid w:val="00225CA1"/>
    <w:rsid w:val="00226C82"/>
    <w:rsid w:val="002279D7"/>
    <w:rsid w:val="002332C2"/>
    <w:rsid w:val="00234940"/>
    <w:rsid w:val="0023626F"/>
    <w:rsid w:val="002406D4"/>
    <w:rsid w:val="00240E9D"/>
    <w:rsid w:val="0024210F"/>
    <w:rsid w:val="00242134"/>
    <w:rsid w:val="00243580"/>
    <w:rsid w:val="00245317"/>
    <w:rsid w:val="0024535F"/>
    <w:rsid w:val="00246044"/>
    <w:rsid w:val="002465BB"/>
    <w:rsid w:val="00251395"/>
    <w:rsid w:val="00256473"/>
    <w:rsid w:val="00256F96"/>
    <w:rsid w:val="00264D0E"/>
    <w:rsid w:val="00267222"/>
    <w:rsid w:val="002734FE"/>
    <w:rsid w:val="00273EB5"/>
    <w:rsid w:val="00274345"/>
    <w:rsid w:val="00276066"/>
    <w:rsid w:val="00280535"/>
    <w:rsid w:val="00280B40"/>
    <w:rsid w:val="0028147E"/>
    <w:rsid w:val="0028355C"/>
    <w:rsid w:val="002859B7"/>
    <w:rsid w:val="00287658"/>
    <w:rsid w:val="00287E5C"/>
    <w:rsid w:val="002911AD"/>
    <w:rsid w:val="00292418"/>
    <w:rsid w:val="00293DA7"/>
    <w:rsid w:val="00296101"/>
    <w:rsid w:val="002A193B"/>
    <w:rsid w:val="002A7A96"/>
    <w:rsid w:val="002B0BED"/>
    <w:rsid w:val="002B23B8"/>
    <w:rsid w:val="002B6494"/>
    <w:rsid w:val="002B7DCD"/>
    <w:rsid w:val="002C089B"/>
    <w:rsid w:val="002C1500"/>
    <w:rsid w:val="002C2C79"/>
    <w:rsid w:val="002C44BF"/>
    <w:rsid w:val="002C6A51"/>
    <w:rsid w:val="002D0E71"/>
    <w:rsid w:val="002D109B"/>
    <w:rsid w:val="002D29BC"/>
    <w:rsid w:val="002D4356"/>
    <w:rsid w:val="002D5D22"/>
    <w:rsid w:val="002E0E52"/>
    <w:rsid w:val="002E2BBF"/>
    <w:rsid w:val="002E378E"/>
    <w:rsid w:val="002E3F91"/>
    <w:rsid w:val="002E4880"/>
    <w:rsid w:val="002E63CE"/>
    <w:rsid w:val="002F1339"/>
    <w:rsid w:val="002F561B"/>
    <w:rsid w:val="002F5CF8"/>
    <w:rsid w:val="002F7710"/>
    <w:rsid w:val="00300C9C"/>
    <w:rsid w:val="00301158"/>
    <w:rsid w:val="003042BB"/>
    <w:rsid w:val="003047F9"/>
    <w:rsid w:val="00306181"/>
    <w:rsid w:val="003135E5"/>
    <w:rsid w:val="00316DEB"/>
    <w:rsid w:val="00320C0E"/>
    <w:rsid w:val="003217AE"/>
    <w:rsid w:val="00322CA9"/>
    <w:rsid w:val="0032595A"/>
    <w:rsid w:val="0033212B"/>
    <w:rsid w:val="00333772"/>
    <w:rsid w:val="00336040"/>
    <w:rsid w:val="003432D8"/>
    <w:rsid w:val="00343555"/>
    <w:rsid w:val="00343EFA"/>
    <w:rsid w:val="003476D9"/>
    <w:rsid w:val="00347A93"/>
    <w:rsid w:val="0035214D"/>
    <w:rsid w:val="003547B9"/>
    <w:rsid w:val="00356AAE"/>
    <w:rsid w:val="00356C4C"/>
    <w:rsid w:val="00356CF2"/>
    <w:rsid w:val="00361EF9"/>
    <w:rsid w:val="00362C2A"/>
    <w:rsid w:val="00363D07"/>
    <w:rsid w:val="003648E4"/>
    <w:rsid w:val="003651B1"/>
    <w:rsid w:val="0036630F"/>
    <w:rsid w:val="00366CD0"/>
    <w:rsid w:val="00367E78"/>
    <w:rsid w:val="00370BA2"/>
    <w:rsid w:val="00372A64"/>
    <w:rsid w:val="003734DF"/>
    <w:rsid w:val="00373AD7"/>
    <w:rsid w:val="00373C05"/>
    <w:rsid w:val="00374D28"/>
    <w:rsid w:val="003807BD"/>
    <w:rsid w:val="00383861"/>
    <w:rsid w:val="0038425C"/>
    <w:rsid w:val="00392564"/>
    <w:rsid w:val="00394024"/>
    <w:rsid w:val="003A05A0"/>
    <w:rsid w:val="003A3A0B"/>
    <w:rsid w:val="003A63F2"/>
    <w:rsid w:val="003A7B09"/>
    <w:rsid w:val="003B2588"/>
    <w:rsid w:val="003B3E10"/>
    <w:rsid w:val="003C037F"/>
    <w:rsid w:val="003C1F1B"/>
    <w:rsid w:val="003D677E"/>
    <w:rsid w:val="003E5B9A"/>
    <w:rsid w:val="003E779C"/>
    <w:rsid w:val="003F0258"/>
    <w:rsid w:val="003F07F3"/>
    <w:rsid w:val="003F18B1"/>
    <w:rsid w:val="003F517E"/>
    <w:rsid w:val="003F6775"/>
    <w:rsid w:val="003F6EAF"/>
    <w:rsid w:val="003F77FC"/>
    <w:rsid w:val="004011BF"/>
    <w:rsid w:val="00407A26"/>
    <w:rsid w:val="00407C3C"/>
    <w:rsid w:val="004161C8"/>
    <w:rsid w:val="00416696"/>
    <w:rsid w:val="00416D8B"/>
    <w:rsid w:val="0041778B"/>
    <w:rsid w:val="00422466"/>
    <w:rsid w:val="00422EE1"/>
    <w:rsid w:val="00424CE4"/>
    <w:rsid w:val="00425087"/>
    <w:rsid w:val="00425ED0"/>
    <w:rsid w:val="004264A2"/>
    <w:rsid w:val="0043257C"/>
    <w:rsid w:val="00432E72"/>
    <w:rsid w:val="00435EDC"/>
    <w:rsid w:val="004378BA"/>
    <w:rsid w:val="00440F0A"/>
    <w:rsid w:val="00441158"/>
    <w:rsid w:val="00443064"/>
    <w:rsid w:val="004443F1"/>
    <w:rsid w:val="004469C7"/>
    <w:rsid w:val="004472ED"/>
    <w:rsid w:val="004500FD"/>
    <w:rsid w:val="004520EC"/>
    <w:rsid w:val="00452CB3"/>
    <w:rsid w:val="00452FAB"/>
    <w:rsid w:val="004559AD"/>
    <w:rsid w:val="0045633F"/>
    <w:rsid w:val="00457D93"/>
    <w:rsid w:val="00457F14"/>
    <w:rsid w:val="00461CA3"/>
    <w:rsid w:val="00465387"/>
    <w:rsid w:val="00470F5A"/>
    <w:rsid w:val="004723C3"/>
    <w:rsid w:val="00473507"/>
    <w:rsid w:val="00475177"/>
    <w:rsid w:val="004756FF"/>
    <w:rsid w:val="00477F60"/>
    <w:rsid w:val="004804B4"/>
    <w:rsid w:val="0048444A"/>
    <w:rsid w:val="0048474F"/>
    <w:rsid w:val="004852AC"/>
    <w:rsid w:val="004852C4"/>
    <w:rsid w:val="004860DC"/>
    <w:rsid w:val="00493A69"/>
    <w:rsid w:val="00494444"/>
    <w:rsid w:val="0049527E"/>
    <w:rsid w:val="004A0297"/>
    <w:rsid w:val="004A0A66"/>
    <w:rsid w:val="004A1DEA"/>
    <w:rsid w:val="004A2C5A"/>
    <w:rsid w:val="004A3EEB"/>
    <w:rsid w:val="004A5E62"/>
    <w:rsid w:val="004A7DE6"/>
    <w:rsid w:val="004B02A5"/>
    <w:rsid w:val="004B580C"/>
    <w:rsid w:val="004B6E4E"/>
    <w:rsid w:val="004B7331"/>
    <w:rsid w:val="004C0175"/>
    <w:rsid w:val="004C21AF"/>
    <w:rsid w:val="004C2625"/>
    <w:rsid w:val="004C34C6"/>
    <w:rsid w:val="004C4D2F"/>
    <w:rsid w:val="004C657B"/>
    <w:rsid w:val="004C6C82"/>
    <w:rsid w:val="004D1CD8"/>
    <w:rsid w:val="004D31AC"/>
    <w:rsid w:val="004D3578"/>
    <w:rsid w:val="004E32A4"/>
    <w:rsid w:val="004E5AD9"/>
    <w:rsid w:val="004E5C54"/>
    <w:rsid w:val="004E62E7"/>
    <w:rsid w:val="004F62FB"/>
    <w:rsid w:val="00500D5E"/>
    <w:rsid w:val="005021B6"/>
    <w:rsid w:val="00502422"/>
    <w:rsid w:val="0050315F"/>
    <w:rsid w:val="005061FC"/>
    <w:rsid w:val="00511D50"/>
    <w:rsid w:val="00516075"/>
    <w:rsid w:val="0052527A"/>
    <w:rsid w:val="00530C8F"/>
    <w:rsid w:val="005315E2"/>
    <w:rsid w:val="00531E46"/>
    <w:rsid w:val="00531EB5"/>
    <w:rsid w:val="0053225F"/>
    <w:rsid w:val="00535EEE"/>
    <w:rsid w:val="00540099"/>
    <w:rsid w:val="005401DA"/>
    <w:rsid w:val="00540D74"/>
    <w:rsid w:val="005422C9"/>
    <w:rsid w:val="0054345B"/>
    <w:rsid w:val="00543F0C"/>
    <w:rsid w:val="0054413A"/>
    <w:rsid w:val="0054468D"/>
    <w:rsid w:val="0054544A"/>
    <w:rsid w:val="0054583C"/>
    <w:rsid w:val="00545FCF"/>
    <w:rsid w:val="00546879"/>
    <w:rsid w:val="00551BEC"/>
    <w:rsid w:val="00553AFE"/>
    <w:rsid w:val="00553E8A"/>
    <w:rsid w:val="00561128"/>
    <w:rsid w:val="00561944"/>
    <w:rsid w:val="005664C2"/>
    <w:rsid w:val="00566ACC"/>
    <w:rsid w:val="00567F22"/>
    <w:rsid w:val="005749BF"/>
    <w:rsid w:val="00575F71"/>
    <w:rsid w:val="00576382"/>
    <w:rsid w:val="0057742E"/>
    <w:rsid w:val="00580993"/>
    <w:rsid w:val="005838D0"/>
    <w:rsid w:val="00583F1C"/>
    <w:rsid w:val="0058590E"/>
    <w:rsid w:val="00585C33"/>
    <w:rsid w:val="00591062"/>
    <w:rsid w:val="00592EEE"/>
    <w:rsid w:val="00597F23"/>
    <w:rsid w:val="005A04FC"/>
    <w:rsid w:val="005A152D"/>
    <w:rsid w:val="005A19BD"/>
    <w:rsid w:val="005A2590"/>
    <w:rsid w:val="005A2D24"/>
    <w:rsid w:val="005A30FD"/>
    <w:rsid w:val="005A3ADB"/>
    <w:rsid w:val="005A71C4"/>
    <w:rsid w:val="005B07E5"/>
    <w:rsid w:val="005B0C56"/>
    <w:rsid w:val="005B0D19"/>
    <w:rsid w:val="005B1A6C"/>
    <w:rsid w:val="005B1BC5"/>
    <w:rsid w:val="005B249B"/>
    <w:rsid w:val="005B2D41"/>
    <w:rsid w:val="005B3276"/>
    <w:rsid w:val="005B362E"/>
    <w:rsid w:val="005B5595"/>
    <w:rsid w:val="005B7E9C"/>
    <w:rsid w:val="005C0109"/>
    <w:rsid w:val="005C38DA"/>
    <w:rsid w:val="005C5D67"/>
    <w:rsid w:val="005C7E42"/>
    <w:rsid w:val="005D19DA"/>
    <w:rsid w:val="005E1C2B"/>
    <w:rsid w:val="005E1F09"/>
    <w:rsid w:val="005E71C8"/>
    <w:rsid w:val="005F2A70"/>
    <w:rsid w:val="005F49EE"/>
    <w:rsid w:val="005F5123"/>
    <w:rsid w:val="005F6990"/>
    <w:rsid w:val="005F78B1"/>
    <w:rsid w:val="00601E78"/>
    <w:rsid w:val="00601EF7"/>
    <w:rsid w:val="006036C9"/>
    <w:rsid w:val="00605468"/>
    <w:rsid w:val="00616310"/>
    <w:rsid w:val="0061703A"/>
    <w:rsid w:val="00625B63"/>
    <w:rsid w:val="006263F4"/>
    <w:rsid w:val="00626624"/>
    <w:rsid w:val="00627139"/>
    <w:rsid w:val="00627646"/>
    <w:rsid w:val="00633775"/>
    <w:rsid w:val="006349FF"/>
    <w:rsid w:val="006351E0"/>
    <w:rsid w:val="00641BEC"/>
    <w:rsid w:val="00643245"/>
    <w:rsid w:val="006469D5"/>
    <w:rsid w:val="00650A58"/>
    <w:rsid w:val="00650E02"/>
    <w:rsid w:val="0065176D"/>
    <w:rsid w:val="006520D8"/>
    <w:rsid w:val="006550DA"/>
    <w:rsid w:val="00656782"/>
    <w:rsid w:val="006606B4"/>
    <w:rsid w:val="00663398"/>
    <w:rsid w:val="00664E0B"/>
    <w:rsid w:val="0066623A"/>
    <w:rsid w:val="00666E99"/>
    <w:rsid w:val="006672D5"/>
    <w:rsid w:val="00670AFA"/>
    <w:rsid w:val="00674E6E"/>
    <w:rsid w:val="00677C31"/>
    <w:rsid w:val="00680B0D"/>
    <w:rsid w:val="006879C5"/>
    <w:rsid w:val="00687E64"/>
    <w:rsid w:val="0069079F"/>
    <w:rsid w:val="0069441D"/>
    <w:rsid w:val="00697072"/>
    <w:rsid w:val="006A26F4"/>
    <w:rsid w:val="006B39D4"/>
    <w:rsid w:val="006B7822"/>
    <w:rsid w:val="006B7E1E"/>
    <w:rsid w:val="006C2B12"/>
    <w:rsid w:val="006C38BA"/>
    <w:rsid w:val="006C60C9"/>
    <w:rsid w:val="006D0054"/>
    <w:rsid w:val="006D0936"/>
    <w:rsid w:val="006D59EE"/>
    <w:rsid w:val="006D64B9"/>
    <w:rsid w:val="006D7A83"/>
    <w:rsid w:val="006E3956"/>
    <w:rsid w:val="006E7E9B"/>
    <w:rsid w:val="006F0622"/>
    <w:rsid w:val="006F13E1"/>
    <w:rsid w:val="006F3847"/>
    <w:rsid w:val="006F452D"/>
    <w:rsid w:val="006F4BB9"/>
    <w:rsid w:val="007063EF"/>
    <w:rsid w:val="007068B0"/>
    <w:rsid w:val="00707787"/>
    <w:rsid w:val="007079A7"/>
    <w:rsid w:val="00711A9F"/>
    <w:rsid w:val="00714562"/>
    <w:rsid w:val="00714FBB"/>
    <w:rsid w:val="00717D74"/>
    <w:rsid w:val="0072028F"/>
    <w:rsid w:val="00721F8D"/>
    <w:rsid w:val="007239A4"/>
    <w:rsid w:val="007240D6"/>
    <w:rsid w:val="0072571C"/>
    <w:rsid w:val="00725891"/>
    <w:rsid w:val="00725C9B"/>
    <w:rsid w:val="00726A0A"/>
    <w:rsid w:val="007301D1"/>
    <w:rsid w:val="00731A5E"/>
    <w:rsid w:val="007345BE"/>
    <w:rsid w:val="00735DD5"/>
    <w:rsid w:val="007408E5"/>
    <w:rsid w:val="007443F9"/>
    <w:rsid w:val="007459BA"/>
    <w:rsid w:val="007504F6"/>
    <w:rsid w:val="0075184C"/>
    <w:rsid w:val="00752500"/>
    <w:rsid w:val="00752C13"/>
    <w:rsid w:val="00753983"/>
    <w:rsid w:val="0075427E"/>
    <w:rsid w:val="0075655B"/>
    <w:rsid w:val="00756B31"/>
    <w:rsid w:val="00757FE6"/>
    <w:rsid w:val="00761311"/>
    <w:rsid w:val="007623BC"/>
    <w:rsid w:val="007628FC"/>
    <w:rsid w:val="00763B0C"/>
    <w:rsid w:val="00764597"/>
    <w:rsid w:val="007646CA"/>
    <w:rsid w:val="00765B40"/>
    <w:rsid w:val="00780FBF"/>
    <w:rsid w:val="00781304"/>
    <w:rsid w:val="00783D18"/>
    <w:rsid w:val="00783DEF"/>
    <w:rsid w:val="00784929"/>
    <w:rsid w:val="00784C3E"/>
    <w:rsid w:val="0079110E"/>
    <w:rsid w:val="0079137D"/>
    <w:rsid w:val="00791488"/>
    <w:rsid w:val="00791C27"/>
    <w:rsid w:val="00792087"/>
    <w:rsid w:val="00792CCB"/>
    <w:rsid w:val="00793AE1"/>
    <w:rsid w:val="0079423F"/>
    <w:rsid w:val="00795F73"/>
    <w:rsid w:val="007971CE"/>
    <w:rsid w:val="007A46CB"/>
    <w:rsid w:val="007A67F3"/>
    <w:rsid w:val="007A7E25"/>
    <w:rsid w:val="007B0AE7"/>
    <w:rsid w:val="007B3BFE"/>
    <w:rsid w:val="007B52E3"/>
    <w:rsid w:val="007B5B7F"/>
    <w:rsid w:val="007C042A"/>
    <w:rsid w:val="007C593C"/>
    <w:rsid w:val="007C5FDC"/>
    <w:rsid w:val="007C6090"/>
    <w:rsid w:val="007C7046"/>
    <w:rsid w:val="007D01C2"/>
    <w:rsid w:val="007D292F"/>
    <w:rsid w:val="007D2F15"/>
    <w:rsid w:val="007D3EBF"/>
    <w:rsid w:val="007D400C"/>
    <w:rsid w:val="007E1BD5"/>
    <w:rsid w:val="007E2496"/>
    <w:rsid w:val="007E2E82"/>
    <w:rsid w:val="007E4E7D"/>
    <w:rsid w:val="007E59A7"/>
    <w:rsid w:val="007E6643"/>
    <w:rsid w:val="007F0F78"/>
    <w:rsid w:val="007F1BA7"/>
    <w:rsid w:val="007F1C30"/>
    <w:rsid w:val="007F5F1A"/>
    <w:rsid w:val="007F7B65"/>
    <w:rsid w:val="007F7F08"/>
    <w:rsid w:val="008021B2"/>
    <w:rsid w:val="00802B5E"/>
    <w:rsid w:val="00803C02"/>
    <w:rsid w:val="00804268"/>
    <w:rsid w:val="0080451F"/>
    <w:rsid w:val="0080755B"/>
    <w:rsid w:val="00811740"/>
    <w:rsid w:val="008119D8"/>
    <w:rsid w:val="008131C5"/>
    <w:rsid w:val="00820188"/>
    <w:rsid w:val="00821F53"/>
    <w:rsid w:val="00822865"/>
    <w:rsid w:val="00823DC6"/>
    <w:rsid w:val="00825DCC"/>
    <w:rsid w:val="00826352"/>
    <w:rsid w:val="00827824"/>
    <w:rsid w:val="00827B1A"/>
    <w:rsid w:val="00830650"/>
    <w:rsid w:val="00831437"/>
    <w:rsid w:val="0083237F"/>
    <w:rsid w:val="008328D1"/>
    <w:rsid w:val="00834FF2"/>
    <w:rsid w:val="0084311D"/>
    <w:rsid w:val="00843E0A"/>
    <w:rsid w:val="00843E6B"/>
    <w:rsid w:val="008539AE"/>
    <w:rsid w:val="0086125E"/>
    <w:rsid w:val="00862B11"/>
    <w:rsid w:val="00864416"/>
    <w:rsid w:val="008662B0"/>
    <w:rsid w:val="00867002"/>
    <w:rsid w:val="0087085A"/>
    <w:rsid w:val="008732A1"/>
    <w:rsid w:val="00875C64"/>
    <w:rsid w:val="00875E19"/>
    <w:rsid w:val="00876140"/>
    <w:rsid w:val="0088225A"/>
    <w:rsid w:val="008921C4"/>
    <w:rsid w:val="00892230"/>
    <w:rsid w:val="00896138"/>
    <w:rsid w:val="0089650D"/>
    <w:rsid w:val="00896EB2"/>
    <w:rsid w:val="00897355"/>
    <w:rsid w:val="00897969"/>
    <w:rsid w:val="00897BE1"/>
    <w:rsid w:val="008A012E"/>
    <w:rsid w:val="008A022B"/>
    <w:rsid w:val="008A52B6"/>
    <w:rsid w:val="008A7301"/>
    <w:rsid w:val="008B181B"/>
    <w:rsid w:val="008B6E8F"/>
    <w:rsid w:val="008C034D"/>
    <w:rsid w:val="008C055D"/>
    <w:rsid w:val="008C1095"/>
    <w:rsid w:val="008C2D66"/>
    <w:rsid w:val="008D0126"/>
    <w:rsid w:val="008D0BF7"/>
    <w:rsid w:val="008D12EB"/>
    <w:rsid w:val="008D1C5A"/>
    <w:rsid w:val="008D33A4"/>
    <w:rsid w:val="008D3C8C"/>
    <w:rsid w:val="008D3E04"/>
    <w:rsid w:val="008D565C"/>
    <w:rsid w:val="008D6F7B"/>
    <w:rsid w:val="008E7569"/>
    <w:rsid w:val="008F0D9F"/>
    <w:rsid w:val="008F14E4"/>
    <w:rsid w:val="008F1E48"/>
    <w:rsid w:val="008F3247"/>
    <w:rsid w:val="008F398D"/>
    <w:rsid w:val="008F4043"/>
    <w:rsid w:val="008F4238"/>
    <w:rsid w:val="008F4CB0"/>
    <w:rsid w:val="00904FB4"/>
    <w:rsid w:val="009057C4"/>
    <w:rsid w:val="00907D12"/>
    <w:rsid w:val="00910D00"/>
    <w:rsid w:val="00912857"/>
    <w:rsid w:val="0091309B"/>
    <w:rsid w:val="009142E1"/>
    <w:rsid w:val="00921052"/>
    <w:rsid w:val="0092183E"/>
    <w:rsid w:val="009258E5"/>
    <w:rsid w:val="00926548"/>
    <w:rsid w:val="00930E4B"/>
    <w:rsid w:val="00933A7E"/>
    <w:rsid w:val="009359E2"/>
    <w:rsid w:val="0094010C"/>
    <w:rsid w:val="009402E4"/>
    <w:rsid w:val="0094283C"/>
    <w:rsid w:val="00946589"/>
    <w:rsid w:val="009473A6"/>
    <w:rsid w:val="00947C18"/>
    <w:rsid w:val="0095033D"/>
    <w:rsid w:val="00950E16"/>
    <w:rsid w:val="00952388"/>
    <w:rsid w:val="00954369"/>
    <w:rsid w:val="0095616A"/>
    <w:rsid w:val="009564FE"/>
    <w:rsid w:val="00956F45"/>
    <w:rsid w:val="00962936"/>
    <w:rsid w:val="00962AD1"/>
    <w:rsid w:val="00962EB1"/>
    <w:rsid w:val="0096540A"/>
    <w:rsid w:val="00970C90"/>
    <w:rsid w:val="00973469"/>
    <w:rsid w:val="00975D4B"/>
    <w:rsid w:val="00977941"/>
    <w:rsid w:val="00981A6F"/>
    <w:rsid w:val="00982F2A"/>
    <w:rsid w:val="00983C0A"/>
    <w:rsid w:val="0098739E"/>
    <w:rsid w:val="00991145"/>
    <w:rsid w:val="00996471"/>
    <w:rsid w:val="00997782"/>
    <w:rsid w:val="009A3642"/>
    <w:rsid w:val="009A3A01"/>
    <w:rsid w:val="009B23DC"/>
    <w:rsid w:val="009B4ECA"/>
    <w:rsid w:val="009B6214"/>
    <w:rsid w:val="009B64BB"/>
    <w:rsid w:val="009B6EC5"/>
    <w:rsid w:val="009C11CF"/>
    <w:rsid w:val="009C3A16"/>
    <w:rsid w:val="009C44FD"/>
    <w:rsid w:val="009C64D2"/>
    <w:rsid w:val="009C672B"/>
    <w:rsid w:val="009D4658"/>
    <w:rsid w:val="009D5598"/>
    <w:rsid w:val="009D7C62"/>
    <w:rsid w:val="009E0BA9"/>
    <w:rsid w:val="009E1FE3"/>
    <w:rsid w:val="009E4120"/>
    <w:rsid w:val="009E444C"/>
    <w:rsid w:val="009E528C"/>
    <w:rsid w:val="009E557D"/>
    <w:rsid w:val="009E5A17"/>
    <w:rsid w:val="009E5F12"/>
    <w:rsid w:val="009F239C"/>
    <w:rsid w:val="009F683B"/>
    <w:rsid w:val="009F6B76"/>
    <w:rsid w:val="00A02EAF"/>
    <w:rsid w:val="00A119BF"/>
    <w:rsid w:val="00A1410C"/>
    <w:rsid w:val="00A23E00"/>
    <w:rsid w:val="00A24B10"/>
    <w:rsid w:val="00A2671E"/>
    <w:rsid w:val="00A26D6F"/>
    <w:rsid w:val="00A31A8B"/>
    <w:rsid w:val="00A328A0"/>
    <w:rsid w:val="00A32EDA"/>
    <w:rsid w:val="00A3578F"/>
    <w:rsid w:val="00A40C5C"/>
    <w:rsid w:val="00A41AEE"/>
    <w:rsid w:val="00A42651"/>
    <w:rsid w:val="00A44016"/>
    <w:rsid w:val="00A51DEC"/>
    <w:rsid w:val="00A569E7"/>
    <w:rsid w:val="00A6055F"/>
    <w:rsid w:val="00A62738"/>
    <w:rsid w:val="00A63604"/>
    <w:rsid w:val="00A65071"/>
    <w:rsid w:val="00A6593D"/>
    <w:rsid w:val="00A66718"/>
    <w:rsid w:val="00A672D7"/>
    <w:rsid w:val="00A707BA"/>
    <w:rsid w:val="00A70EB4"/>
    <w:rsid w:val="00A73A68"/>
    <w:rsid w:val="00A74195"/>
    <w:rsid w:val="00A74B2E"/>
    <w:rsid w:val="00A75D5B"/>
    <w:rsid w:val="00A76BB0"/>
    <w:rsid w:val="00A7721D"/>
    <w:rsid w:val="00A77264"/>
    <w:rsid w:val="00A80AFC"/>
    <w:rsid w:val="00A82606"/>
    <w:rsid w:val="00A83D46"/>
    <w:rsid w:val="00A84344"/>
    <w:rsid w:val="00A879BD"/>
    <w:rsid w:val="00A90B63"/>
    <w:rsid w:val="00A924A8"/>
    <w:rsid w:val="00A9735F"/>
    <w:rsid w:val="00AA05BC"/>
    <w:rsid w:val="00AA43B8"/>
    <w:rsid w:val="00AA52EB"/>
    <w:rsid w:val="00AA7849"/>
    <w:rsid w:val="00AB0FF1"/>
    <w:rsid w:val="00AB1E5E"/>
    <w:rsid w:val="00AB4738"/>
    <w:rsid w:val="00AB4D91"/>
    <w:rsid w:val="00AB5BD0"/>
    <w:rsid w:val="00AC3664"/>
    <w:rsid w:val="00AC55F6"/>
    <w:rsid w:val="00AD2C10"/>
    <w:rsid w:val="00AD2CD9"/>
    <w:rsid w:val="00AD53F5"/>
    <w:rsid w:val="00AD6BC1"/>
    <w:rsid w:val="00AE0997"/>
    <w:rsid w:val="00AE25F2"/>
    <w:rsid w:val="00AE5877"/>
    <w:rsid w:val="00AE62F2"/>
    <w:rsid w:val="00AF00BD"/>
    <w:rsid w:val="00AF1DA3"/>
    <w:rsid w:val="00AF281C"/>
    <w:rsid w:val="00AF34C2"/>
    <w:rsid w:val="00B0168C"/>
    <w:rsid w:val="00B043A9"/>
    <w:rsid w:val="00B05C27"/>
    <w:rsid w:val="00B05C98"/>
    <w:rsid w:val="00B1158B"/>
    <w:rsid w:val="00B134C8"/>
    <w:rsid w:val="00B13F7E"/>
    <w:rsid w:val="00B210BD"/>
    <w:rsid w:val="00B21998"/>
    <w:rsid w:val="00B274E8"/>
    <w:rsid w:val="00B32860"/>
    <w:rsid w:val="00B36CC4"/>
    <w:rsid w:val="00B41652"/>
    <w:rsid w:val="00B42C27"/>
    <w:rsid w:val="00B42CAE"/>
    <w:rsid w:val="00B44A58"/>
    <w:rsid w:val="00B44E44"/>
    <w:rsid w:val="00B45292"/>
    <w:rsid w:val="00B455C0"/>
    <w:rsid w:val="00B52D61"/>
    <w:rsid w:val="00B53B61"/>
    <w:rsid w:val="00B55FC5"/>
    <w:rsid w:val="00B62631"/>
    <w:rsid w:val="00B62870"/>
    <w:rsid w:val="00B64830"/>
    <w:rsid w:val="00B70F1A"/>
    <w:rsid w:val="00B7172F"/>
    <w:rsid w:val="00B726A0"/>
    <w:rsid w:val="00B73277"/>
    <w:rsid w:val="00B82165"/>
    <w:rsid w:val="00B824B4"/>
    <w:rsid w:val="00B83713"/>
    <w:rsid w:val="00B84DA9"/>
    <w:rsid w:val="00B87561"/>
    <w:rsid w:val="00B90C03"/>
    <w:rsid w:val="00B92B9D"/>
    <w:rsid w:val="00B943ED"/>
    <w:rsid w:val="00B96795"/>
    <w:rsid w:val="00B971FE"/>
    <w:rsid w:val="00BA5651"/>
    <w:rsid w:val="00BA606D"/>
    <w:rsid w:val="00BB127A"/>
    <w:rsid w:val="00BB1290"/>
    <w:rsid w:val="00BB297A"/>
    <w:rsid w:val="00BB4121"/>
    <w:rsid w:val="00BB4D84"/>
    <w:rsid w:val="00BC286A"/>
    <w:rsid w:val="00BD0D53"/>
    <w:rsid w:val="00BD2268"/>
    <w:rsid w:val="00BD28D1"/>
    <w:rsid w:val="00BD56D0"/>
    <w:rsid w:val="00BD6960"/>
    <w:rsid w:val="00BD786F"/>
    <w:rsid w:val="00BE0CA7"/>
    <w:rsid w:val="00BE10ED"/>
    <w:rsid w:val="00BE207C"/>
    <w:rsid w:val="00BE3351"/>
    <w:rsid w:val="00BE3870"/>
    <w:rsid w:val="00BE79FD"/>
    <w:rsid w:val="00BF02B4"/>
    <w:rsid w:val="00BF6C99"/>
    <w:rsid w:val="00C01A3D"/>
    <w:rsid w:val="00C058E1"/>
    <w:rsid w:val="00C06264"/>
    <w:rsid w:val="00C07266"/>
    <w:rsid w:val="00C11228"/>
    <w:rsid w:val="00C1237F"/>
    <w:rsid w:val="00C129D4"/>
    <w:rsid w:val="00C15F10"/>
    <w:rsid w:val="00C30B07"/>
    <w:rsid w:val="00C348F6"/>
    <w:rsid w:val="00C44DDF"/>
    <w:rsid w:val="00C5035E"/>
    <w:rsid w:val="00C55043"/>
    <w:rsid w:val="00C56618"/>
    <w:rsid w:val="00C623FE"/>
    <w:rsid w:val="00C63CD3"/>
    <w:rsid w:val="00C6572E"/>
    <w:rsid w:val="00C67D65"/>
    <w:rsid w:val="00C72AA4"/>
    <w:rsid w:val="00C73A77"/>
    <w:rsid w:val="00C74680"/>
    <w:rsid w:val="00C77462"/>
    <w:rsid w:val="00C77DB6"/>
    <w:rsid w:val="00C81796"/>
    <w:rsid w:val="00C8241D"/>
    <w:rsid w:val="00C847E1"/>
    <w:rsid w:val="00C85319"/>
    <w:rsid w:val="00C8748B"/>
    <w:rsid w:val="00C90295"/>
    <w:rsid w:val="00C911D0"/>
    <w:rsid w:val="00C9135B"/>
    <w:rsid w:val="00C94F64"/>
    <w:rsid w:val="00C97C99"/>
    <w:rsid w:val="00CA1A4D"/>
    <w:rsid w:val="00CA43A1"/>
    <w:rsid w:val="00CA4EC6"/>
    <w:rsid w:val="00CA5A4F"/>
    <w:rsid w:val="00CA5DA4"/>
    <w:rsid w:val="00CA6384"/>
    <w:rsid w:val="00CA6DC8"/>
    <w:rsid w:val="00CB04D2"/>
    <w:rsid w:val="00CB1BBF"/>
    <w:rsid w:val="00CB3A6C"/>
    <w:rsid w:val="00CB4004"/>
    <w:rsid w:val="00CB539C"/>
    <w:rsid w:val="00CB583E"/>
    <w:rsid w:val="00CC0759"/>
    <w:rsid w:val="00CC4633"/>
    <w:rsid w:val="00CC5E86"/>
    <w:rsid w:val="00CD01E6"/>
    <w:rsid w:val="00CD2403"/>
    <w:rsid w:val="00CD2FC1"/>
    <w:rsid w:val="00CD3581"/>
    <w:rsid w:val="00CE10AA"/>
    <w:rsid w:val="00CE12DB"/>
    <w:rsid w:val="00CE4959"/>
    <w:rsid w:val="00CE6BBD"/>
    <w:rsid w:val="00CF06C5"/>
    <w:rsid w:val="00CF2803"/>
    <w:rsid w:val="00CF4562"/>
    <w:rsid w:val="00CF47ED"/>
    <w:rsid w:val="00CF4F39"/>
    <w:rsid w:val="00D06EFA"/>
    <w:rsid w:val="00D076ED"/>
    <w:rsid w:val="00D109DF"/>
    <w:rsid w:val="00D10F1B"/>
    <w:rsid w:val="00D110A0"/>
    <w:rsid w:val="00D126AB"/>
    <w:rsid w:val="00D12E4B"/>
    <w:rsid w:val="00D21642"/>
    <w:rsid w:val="00D21F01"/>
    <w:rsid w:val="00D24128"/>
    <w:rsid w:val="00D275F1"/>
    <w:rsid w:val="00D33267"/>
    <w:rsid w:val="00D35C3D"/>
    <w:rsid w:val="00D43516"/>
    <w:rsid w:val="00D502B1"/>
    <w:rsid w:val="00D5122D"/>
    <w:rsid w:val="00D5420F"/>
    <w:rsid w:val="00D55A33"/>
    <w:rsid w:val="00D5776F"/>
    <w:rsid w:val="00D60D6E"/>
    <w:rsid w:val="00D6341F"/>
    <w:rsid w:val="00D63F1C"/>
    <w:rsid w:val="00D67BE0"/>
    <w:rsid w:val="00D71196"/>
    <w:rsid w:val="00D716CD"/>
    <w:rsid w:val="00D80D18"/>
    <w:rsid w:val="00D82DDE"/>
    <w:rsid w:val="00D94475"/>
    <w:rsid w:val="00D9479F"/>
    <w:rsid w:val="00D963C7"/>
    <w:rsid w:val="00D96406"/>
    <w:rsid w:val="00DA1660"/>
    <w:rsid w:val="00DA18A2"/>
    <w:rsid w:val="00DA21F3"/>
    <w:rsid w:val="00DA3A6E"/>
    <w:rsid w:val="00DA5AAC"/>
    <w:rsid w:val="00DA5FD6"/>
    <w:rsid w:val="00DA61F2"/>
    <w:rsid w:val="00DA679D"/>
    <w:rsid w:val="00DA7A18"/>
    <w:rsid w:val="00DB0DDD"/>
    <w:rsid w:val="00DB1C44"/>
    <w:rsid w:val="00DB1D36"/>
    <w:rsid w:val="00DB6C54"/>
    <w:rsid w:val="00DC3551"/>
    <w:rsid w:val="00DC646E"/>
    <w:rsid w:val="00DC7066"/>
    <w:rsid w:val="00DD0AF8"/>
    <w:rsid w:val="00DD1E55"/>
    <w:rsid w:val="00DD22DA"/>
    <w:rsid w:val="00DE24BF"/>
    <w:rsid w:val="00DE2AD7"/>
    <w:rsid w:val="00DE4911"/>
    <w:rsid w:val="00DE5319"/>
    <w:rsid w:val="00DE6048"/>
    <w:rsid w:val="00DE7DD9"/>
    <w:rsid w:val="00DF4636"/>
    <w:rsid w:val="00DF66A9"/>
    <w:rsid w:val="00DF7D09"/>
    <w:rsid w:val="00E00E79"/>
    <w:rsid w:val="00E0294A"/>
    <w:rsid w:val="00E05277"/>
    <w:rsid w:val="00E07F00"/>
    <w:rsid w:val="00E11A22"/>
    <w:rsid w:val="00E11E1F"/>
    <w:rsid w:val="00E12BB5"/>
    <w:rsid w:val="00E12F5D"/>
    <w:rsid w:val="00E1612D"/>
    <w:rsid w:val="00E16E9D"/>
    <w:rsid w:val="00E23144"/>
    <w:rsid w:val="00E24300"/>
    <w:rsid w:val="00E31028"/>
    <w:rsid w:val="00E32501"/>
    <w:rsid w:val="00E32A0C"/>
    <w:rsid w:val="00E341A2"/>
    <w:rsid w:val="00E41006"/>
    <w:rsid w:val="00E41E6E"/>
    <w:rsid w:val="00E422F5"/>
    <w:rsid w:val="00E43B56"/>
    <w:rsid w:val="00E443D3"/>
    <w:rsid w:val="00E448B1"/>
    <w:rsid w:val="00E465D8"/>
    <w:rsid w:val="00E467FA"/>
    <w:rsid w:val="00E50301"/>
    <w:rsid w:val="00E510D0"/>
    <w:rsid w:val="00E55CF9"/>
    <w:rsid w:val="00E568EC"/>
    <w:rsid w:val="00E5716D"/>
    <w:rsid w:val="00E57AD9"/>
    <w:rsid w:val="00E57CBD"/>
    <w:rsid w:val="00E60728"/>
    <w:rsid w:val="00E61E33"/>
    <w:rsid w:val="00E61F04"/>
    <w:rsid w:val="00E61F40"/>
    <w:rsid w:val="00E6311E"/>
    <w:rsid w:val="00E641BF"/>
    <w:rsid w:val="00E64384"/>
    <w:rsid w:val="00E64653"/>
    <w:rsid w:val="00E653A0"/>
    <w:rsid w:val="00E66C97"/>
    <w:rsid w:val="00E676EF"/>
    <w:rsid w:val="00E6781A"/>
    <w:rsid w:val="00E709F0"/>
    <w:rsid w:val="00E720E3"/>
    <w:rsid w:val="00E721E7"/>
    <w:rsid w:val="00E77535"/>
    <w:rsid w:val="00E81ECD"/>
    <w:rsid w:val="00E82F75"/>
    <w:rsid w:val="00E867FA"/>
    <w:rsid w:val="00E9477B"/>
    <w:rsid w:val="00E95451"/>
    <w:rsid w:val="00E976FE"/>
    <w:rsid w:val="00EA4065"/>
    <w:rsid w:val="00EA4400"/>
    <w:rsid w:val="00EA6D5A"/>
    <w:rsid w:val="00EA757A"/>
    <w:rsid w:val="00EA7AE4"/>
    <w:rsid w:val="00EB1261"/>
    <w:rsid w:val="00EB2377"/>
    <w:rsid w:val="00EB3551"/>
    <w:rsid w:val="00EB5246"/>
    <w:rsid w:val="00EB64C0"/>
    <w:rsid w:val="00EB6E02"/>
    <w:rsid w:val="00EC149A"/>
    <w:rsid w:val="00EC23C6"/>
    <w:rsid w:val="00EC5B61"/>
    <w:rsid w:val="00EC6092"/>
    <w:rsid w:val="00EC720F"/>
    <w:rsid w:val="00ED2044"/>
    <w:rsid w:val="00ED38C8"/>
    <w:rsid w:val="00ED431A"/>
    <w:rsid w:val="00ED5153"/>
    <w:rsid w:val="00ED6682"/>
    <w:rsid w:val="00ED76CF"/>
    <w:rsid w:val="00EE10F9"/>
    <w:rsid w:val="00EE1EC6"/>
    <w:rsid w:val="00EE1FC3"/>
    <w:rsid w:val="00EE3BD0"/>
    <w:rsid w:val="00EE5418"/>
    <w:rsid w:val="00EE7677"/>
    <w:rsid w:val="00EE7866"/>
    <w:rsid w:val="00EF2A85"/>
    <w:rsid w:val="00EF4204"/>
    <w:rsid w:val="00EF5977"/>
    <w:rsid w:val="00EF7678"/>
    <w:rsid w:val="00EF77CA"/>
    <w:rsid w:val="00F00AA3"/>
    <w:rsid w:val="00F00D56"/>
    <w:rsid w:val="00F020B9"/>
    <w:rsid w:val="00F020C8"/>
    <w:rsid w:val="00F023BD"/>
    <w:rsid w:val="00F02EFA"/>
    <w:rsid w:val="00F05D92"/>
    <w:rsid w:val="00F06C44"/>
    <w:rsid w:val="00F10AE7"/>
    <w:rsid w:val="00F10CB7"/>
    <w:rsid w:val="00F10E83"/>
    <w:rsid w:val="00F11549"/>
    <w:rsid w:val="00F12180"/>
    <w:rsid w:val="00F14985"/>
    <w:rsid w:val="00F17365"/>
    <w:rsid w:val="00F175E7"/>
    <w:rsid w:val="00F20297"/>
    <w:rsid w:val="00F2057A"/>
    <w:rsid w:val="00F20AAD"/>
    <w:rsid w:val="00F3085F"/>
    <w:rsid w:val="00F313BD"/>
    <w:rsid w:val="00F31910"/>
    <w:rsid w:val="00F32CF0"/>
    <w:rsid w:val="00F35597"/>
    <w:rsid w:val="00F36762"/>
    <w:rsid w:val="00F37593"/>
    <w:rsid w:val="00F44CB5"/>
    <w:rsid w:val="00F45F3D"/>
    <w:rsid w:val="00F4606C"/>
    <w:rsid w:val="00F55D2C"/>
    <w:rsid w:val="00F5646F"/>
    <w:rsid w:val="00F565DF"/>
    <w:rsid w:val="00F6076C"/>
    <w:rsid w:val="00F60AB5"/>
    <w:rsid w:val="00F622EB"/>
    <w:rsid w:val="00F67709"/>
    <w:rsid w:val="00F71A41"/>
    <w:rsid w:val="00F73632"/>
    <w:rsid w:val="00F73D8E"/>
    <w:rsid w:val="00F740C7"/>
    <w:rsid w:val="00F813CB"/>
    <w:rsid w:val="00F82804"/>
    <w:rsid w:val="00F82C58"/>
    <w:rsid w:val="00F82DBE"/>
    <w:rsid w:val="00F847C4"/>
    <w:rsid w:val="00F8488C"/>
    <w:rsid w:val="00F8640E"/>
    <w:rsid w:val="00F930CE"/>
    <w:rsid w:val="00F94D44"/>
    <w:rsid w:val="00F96525"/>
    <w:rsid w:val="00FA28B7"/>
    <w:rsid w:val="00FA2D87"/>
    <w:rsid w:val="00FA3A4F"/>
    <w:rsid w:val="00FA3FDE"/>
    <w:rsid w:val="00FA463D"/>
    <w:rsid w:val="00FB0D80"/>
    <w:rsid w:val="00FB24D8"/>
    <w:rsid w:val="00FB5AB4"/>
    <w:rsid w:val="00FB5E0A"/>
    <w:rsid w:val="00FB5F59"/>
    <w:rsid w:val="00FB767C"/>
    <w:rsid w:val="00FC22A0"/>
    <w:rsid w:val="00FC25D9"/>
    <w:rsid w:val="00FC5E13"/>
    <w:rsid w:val="00FC6FBF"/>
    <w:rsid w:val="00FC7446"/>
    <w:rsid w:val="00FC76CB"/>
    <w:rsid w:val="00FD029D"/>
    <w:rsid w:val="00FD2D30"/>
    <w:rsid w:val="00FD4233"/>
    <w:rsid w:val="00FD7146"/>
    <w:rsid w:val="00FD7994"/>
    <w:rsid w:val="00FE0C67"/>
    <w:rsid w:val="00FE2481"/>
    <w:rsid w:val="00FE4403"/>
    <w:rsid w:val="00FE61B1"/>
    <w:rsid w:val="00FE7283"/>
    <w:rsid w:val="00FF0DE8"/>
    <w:rsid w:val="00FF0E08"/>
    <w:rsid w:val="00FF2149"/>
    <w:rsid w:val="00FF5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3886C"/>
  <w15:docId w15:val="{8AA4D162-A0F2-4D81-A5C1-56411A15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22418371">
      <w:bodyDiv w:val="1"/>
      <w:marLeft w:val="0"/>
      <w:marRight w:val="0"/>
      <w:marTop w:val="0"/>
      <w:marBottom w:val="0"/>
      <w:divBdr>
        <w:top w:val="none" w:sz="0" w:space="0" w:color="auto"/>
        <w:left w:val="none" w:sz="0" w:space="0" w:color="auto"/>
        <w:bottom w:val="none" w:sz="0" w:space="0" w:color="auto"/>
        <w:right w:val="none" w:sz="0" w:space="0" w:color="auto"/>
      </w:divBdr>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682705298">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bmv.com.mx/docs-pub/eventoca/eventoca_851313_1.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ifrem.edomex.gob.mx/organigrama" TargetMode="External"/><Relationship Id="rId27" Type="http://schemas.openxmlformats.org/officeDocument/2006/relationships/image" Target="media/image19.emf"/><Relationship Id="rId30" Type="http://schemas.openxmlformats.org/officeDocument/2006/relationships/hyperlink" Target="https://www.bmv.com.mx/docs-pub/eventoca/eventoca_881399_2.pdf" TargetMode="External"/><Relationship Id="rId35" Type="http://schemas.openxmlformats.org/officeDocument/2006/relationships/theme" Target="theme/theme1.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3.jpe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897F1-DE98-4C65-9236-9E2D8C90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29</Pages>
  <Words>8192</Words>
  <Characters>45056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rodriguez cruz</dc:creator>
  <cp:lastModifiedBy>Pepe</cp:lastModifiedBy>
  <cp:revision>7</cp:revision>
  <cp:lastPrinted>2019-06-17T20:03:00Z</cp:lastPrinted>
  <dcterms:created xsi:type="dcterms:W3CDTF">2019-07-17T19:06:00Z</dcterms:created>
  <dcterms:modified xsi:type="dcterms:W3CDTF">2019-07-17T21:57:00Z</dcterms:modified>
</cp:coreProperties>
</file>